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E37DF" w14:textId="77777777" w:rsidR="006051CB" w:rsidRDefault="00000000">
      <w:r>
        <w:t>In cooperation with OTP Bank Hungary the Bank's risk profile is assessed in order to determine whether the Bank Group allocates sufficient capital against the various risks and to assess future capital requirement either for regulatory purposes or from the internal understanding for its risk profile coverage according to its strategy.</w:t>
      </w:r>
    </w:p>
    <w:p w14:paraId="045254FC" w14:textId="77777777" w:rsidR="006051CB" w:rsidRDefault="00000000">
      <w:r>
        <w:t>The risk management is a process that investigates, analyses and tracks the development of existing and emerging risks in order to avoid them or to reduce the negative effect of their eventual occurrence.</w:t>
      </w:r>
    </w:p>
    <w:p w14:paraId="6592FB65" w14:textId="77777777" w:rsidR="006051CB" w:rsidRDefault="00000000">
      <w:r>
        <w:t>DSK Bank Group and OTP banking group strive to develop processes for risk management which correspond to the applicable regulatory requirements and follow the good banking practices.</w:t>
      </w:r>
    </w:p>
    <w:p w14:paraId="52C34634" w14:textId="77777777" w:rsidR="006051CB" w:rsidRDefault="00000000">
      <w:r>
        <w:t>DSK Bank Group and OTP banking group follow a common and consistent risk management policy, which corresponds to the risk profile of the banking group and is consistent with its size.</w:t>
      </w:r>
    </w:p>
    <w:p w14:paraId="2869240A" w14:textId="77777777" w:rsidR="006051CB" w:rsidRDefault="00000000">
      <w:r>
        <w:t>Stress test scenarios can range from adverse macroeconomic developments to measuring sensitivity to certain factors which increase the risk for specific risk types or for the entire Bank.</w:t>
      </w:r>
    </w:p>
    <w:p w14:paraId="649863BB" w14:textId="77777777" w:rsidR="006051CB" w:rsidRDefault="00000000">
      <w:r>
        <w:t>It is an integral building block from the annual business and risk management framework.</w:t>
      </w:r>
    </w:p>
    <w:p w14:paraId="4536DD71" w14:textId="77777777" w:rsidR="006051CB" w:rsidRDefault="00000000">
      <w:r>
        <w:t>The compliance function is fulfilled by the Compliance Directorate of DSK Bank.</w:t>
      </w:r>
    </w:p>
    <w:p w14:paraId="64DA1017" w14:textId="09B81349" w:rsidR="006051CB" w:rsidRDefault="00000000">
      <w:r>
        <w:t>It performs its activities in accordance with the legislative requirements, by focusing on controlling and managing the compliance risks associated with key areas of compliance, and namely data protection, consumer protection, ethical issues, conflict-of-interest situations, adherence to international sanctions, anti-money laundering and counter-terrorism financing AMLCFT, and capital market compliance.</w:t>
      </w:r>
    </w:p>
    <w:p w14:paraId="1CA82C9B" w14:textId="77777777" w:rsidR="006051CB" w:rsidRDefault="00000000">
      <w:r>
        <w:t>Compliance Directorate is also responsible for ensuring compliance with international tax agreements, participates in the process of coordination of internal banking documents and products and considers their compliance with the current legal framework and the supervisory requirements from the perspective of the key areas of compliance, and performs legislation monitoring.</w:t>
      </w:r>
    </w:p>
    <w:p w14:paraId="7AC3FF83" w14:textId="77777777" w:rsidR="006051CB" w:rsidRDefault="00000000">
      <w:r>
        <w:t>Accordingly, the first line of defence plays a key role in establishing and operating a strong risk management of an institution and in complying with legal and supervisory requirements.</w:t>
      </w:r>
    </w:p>
    <w:p w14:paraId="4C2E3030" w14:textId="77777777" w:rsidR="006051CB" w:rsidRDefault="00000000">
      <w:r>
        <w:t>The internal audit function brings a systematic, disciplined approach to evaluate, and improve the effectiveness of governance, risk management, and control processes, as well as to enhance the reputation of DSK Bank.</w:t>
      </w:r>
    </w:p>
    <w:p w14:paraId="22FB74FC" w14:textId="77777777" w:rsidR="006051CB" w:rsidRDefault="00000000">
      <w:r>
        <w:lastRenderedPageBreak/>
        <w:t>DSK Bank Group and OTP Group have developed processes for risk management which correspond to the applicable regulatory requirements and follow the best banking practices.</w:t>
      </w:r>
    </w:p>
    <w:p w14:paraId="23C3AF55" w14:textId="77777777" w:rsidR="006051CB" w:rsidRDefault="00000000">
      <w:r>
        <w:t>DSK Bank Group and OTP Group follow a common and consistent risk management policy, which corresponds to the level of development of the Bank Group and is consistent with its size.</w:t>
      </w:r>
    </w:p>
    <w:p w14:paraId="57E0CAF4" w14:textId="7B5665AD" w:rsidR="006051CB" w:rsidRDefault="00000000">
      <w:r>
        <w:t>DSK Bank Group Disclosure 9 of development and implementation of the Risk Strategy and determination of the risks undertaken in since they define respectively the framework and the boundaries within which the Bank</w:t>
      </w:r>
      <w:r w:rsidR="00301241">
        <w:t xml:space="preserve"> </w:t>
      </w:r>
      <w:r>
        <w:t>the Group is to operate and maintain close interlinkages with other relevant Bank documents</w:t>
      </w:r>
      <w:r w:rsidR="00301241">
        <w:t xml:space="preserve"> </w:t>
      </w:r>
      <w:r>
        <w:t>policies</w:t>
      </w:r>
      <w:r w:rsidR="00301241">
        <w:t xml:space="preserve"> </w:t>
      </w:r>
      <w:r>
        <w:t>frameworks, processes, and plans.</w:t>
      </w:r>
    </w:p>
    <w:p w14:paraId="65D6D9AA" w14:textId="77777777" w:rsidR="006051CB" w:rsidRDefault="00000000">
      <w:r>
        <w:t>Plans and manages the implementation of risk management related projects.</w:t>
      </w:r>
    </w:p>
    <w:p w14:paraId="7E694597" w14:textId="77777777" w:rsidR="006051CB" w:rsidRDefault="00000000">
      <w:r>
        <w:t>The employees and responsible units in each subsidiary of the Group take decisions on credits according to the provided powers per the internal Rules.</w:t>
      </w:r>
    </w:p>
    <w:p w14:paraId="279FB535" w14:textId="77777777" w:rsidR="006051CB" w:rsidRDefault="00000000">
      <w:r>
        <w:t>Creates and maintains the internal bank regulatory framework, which regulates the credit monitoring activities for corporate clients.</w:t>
      </w:r>
    </w:p>
    <w:p w14:paraId="34F775C4" w14:textId="75C89E06" w:rsidR="006051CB" w:rsidRDefault="00000000">
      <w:r>
        <w:t>Sustainability Development Section with the following functions Ensures sustainable development through implementation and update of the Bank s strategy regarding the environmental, social and governance ESG issues and management of the related ESG risks.</w:t>
      </w:r>
    </w:p>
    <w:p w14:paraId="146DACEF" w14:textId="77777777" w:rsidR="006051CB" w:rsidRDefault="00000000">
      <w:r>
        <w:t>Performs independent assessment of the compliance of credit exposures with established international taxonomies.</w:t>
      </w:r>
    </w:p>
    <w:p w14:paraId="4E90004D" w14:textId="77777777" w:rsidR="006051CB" w:rsidRDefault="00000000">
      <w:r>
        <w:t>Climate-related and environmental risk management is on the top of the agenda for DSK Bank.</w:t>
      </w:r>
    </w:p>
    <w:p w14:paraId="05685BA6" w14:textId="77777777" w:rsidR="006051CB" w:rsidRDefault="00000000">
      <w:r>
        <w:t>The Banking Group is committed to considering all relevant factors in loan origination and to further incorporate them into existing risk management frameworks taking a proportionate and risk-based approach.</w:t>
      </w:r>
    </w:p>
    <w:p w14:paraId="0F90A256" w14:textId="77777777" w:rsidR="006051CB" w:rsidRDefault="00000000">
      <w:r>
        <w:t>The Banking Group aims to minimize potential financial loss, inefficiencies and reputational damage arising from operational risk through continuous improvements on its operational risk management framework, and by designing and implementing effective controls to reduce operational risk while supporting business development.</w:t>
      </w:r>
    </w:p>
    <w:p w14:paraId="3AB0651B" w14:textId="77777777" w:rsidR="006051CB" w:rsidRDefault="00000000">
      <w:r>
        <w:t xml:space="preserve">Reputation risk The main goal of reputation risk management is not to allow unfavourable perceived image of the Bank Group, loss of trust of clients, counterparties, shareholders, investors, regulatory bodies, rating agencies could therefore lead to lower sales and market share, deteriorated relations with contractors and customers, as well as weakened financial indicators, losses imposed by negative public attitude, publications and statements in the </w:t>
      </w:r>
      <w:r>
        <w:lastRenderedPageBreak/>
        <w:t>mass media and e-media and other affecting the institution events which lead to a reduction in the client base or income or to court procedures.</w:t>
      </w:r>
    </w:p>
    <w:p w14:paraId="1C238890" w14:textId="77777777" w:rsidR="006051CB" w:rsidRDefault="00000000">
      <w:r>
        <w:t>The Banking Group aims at preserving a sustainable reputation as a reliable business partner and continuing building positive image through various programs, initiatives, corporate social responsibility, transparent communication and public relations management.</w:t>
      </w:r>
    </w:p>
    <w:p w14:paraId="1A3AC84B" w14:textId="2C634976" w:rsidR="006051CB" w:rsidRDefault="00000000">
      <w:r>
        <w:t>DSK Bank Group has adopted the following categorisation of operational risk events Event-Type Category Definition Internal fraud Any intentional act or omission, most often related to non-compliance with or circumvention of laws, regulations or internal prescriptions, in which at least one employee of DSK Group participates and which aims at the perpetrator or another person receiving undue benefits, at the expense of loss or damage suffered by the victim.</w:t>
      </w:r>
    </w:p>
    <w:p w14:paraId="5C229FC4" w14:textId="77777777" w:rsidR="006051CB" w:rsidRDefault="00000000">
      <w:r>
        <w:t>External fraud Any intentional act or omission, most often related to non-compliance with or circumvention of laws, regulations or internal prescriptions, in which no employee of DSK Group participates and which aims at the perpetrator or another person receiving undue benefits, at the expense of loss or damage suffered by the victim.</w:t>
      </w:r>
    </w:p>
    <w:p w14:paraId="3757F6B9" w14:textId="77777777" w:rsidR="006051CB" w:rsidRDefault="00000000">
      <w:r>
        <w:t>Responsibility for identifying and managing risk lies upon the so-called Process owners, which are subsidiaries, appointed by the Heads of the Divisions to be responsible for the organisation and the methodological and operational control over the operational risk management in DSK Bank and supports Every year the bank performs a stress test for operational risk.</w:t>
      </w:r>
    </w:p>
    <w:p w14:paraId="44A0ECDA" w14:textId="77777777" w:rsidR="006051CB" w:rsidRDefault="00000000">
      <w:r>
        <w:t>The model risk management aims to build an environment with proper controls by identifying the used models, their categorisation and evaluation, as well as compliance with the requirements of the implemented controls.</w:t>
      </w:r>
    </w:p>
    <w:p w14:paraId="6CAB3245" w14:textId="0800B7FD" w:rsidR="006051CB" w:rsidRDefault="00000000">
      <w:r>
        <w:t xml:space="preserve">It represents an environmental, social or governance event or condition that, if it occurs, could cause a negative material impact on the value of the investment </w:t>
      </w:r>
      <w:r w:rsidR="00301241">
        <w:t>and or</w:t>
      </w:r>
      <w:r>
        <w:t xml:space="preserve"> assets, financial and earnings situation, or reputation of the Bank.</w:t>
      </w:r>
    </w:p>
    <w:p w14:paraId="7EB4816A" w14:textId="77777777" w:rsidR="006051CB" w:rsidRDefault="00000000">
      <w:r>
        <w:t>The Rules for coordination of credit, payment and deposit products of DSK Bank AD stipulates that when the development of products requires the implementation of a new process, system or activity, or the implementation of significant changes in existing ones, they must be analysed and assessed in terms of all risks associated with them, including the various categories of operational risk in order to determine their impact on the risk profile of the Bank and to ensure the introduction of appropriate measures for their management and control.</w:t>
      </w:r>
    </w:p>
    <w:p w14:paraId="6DD5C58D" w14:textId="740DCB3F" w:rsidR="006051CB" w:rsidRDefault="00000000">
      <w:r>
        <w:t xml:space="preserve">Additionally, </w:t>
      </w:r>
      <w:proofErr w:type="gramStart"/>
      <w:r>
        <w:t>in order to</w:t>
      </w:r>
      <w:proofErr w:type="gramEnd"/>
      <w:r>
        <w:t xml:space="preserve"> ensure </w:t>
      </w:r>
      <w:r w:rsidR="00301241">
        <w:t>t</w:t>
      </w:r>
      <w:r>
        <w:t>he current trends in the development of risk regarding major Bank activities are analysed and measures are proposed for its elimination or limitation.</w:t>
      </w:r>
    </w:p>
    <w:p w14:paraId="3D08B0C7" w14:textId="77777777" w:rsidR="006051CB" w:rsidRDefault="00000000">
      <w:r>
        <w:lastRenderedPageBreak/>
        <w:t>The total capital adequacy, according to the regulatory framework, ratio should be higher than 20.</w:t>
      </w:r>
    </w:p>
    <w:p w14:paraId="11729431" w14:textId="77777777" w:rsidR="006051CB" w:rsidRDefault="00000000">
      <w:r>
        <w:t>Template EU LI2 shows the main differences between the carrying amounts in the financial statements within the scope of prudential consolidation and the amounts of exposures to be treated for regulatory purposes as a basis for calculating risk-weighted exposures under each risk framework.</w:t>
      </w:r>
    </w:p>
    <w:p w14:paraId="73ABE3BB" w14:textId="77777777" w:rsidR="006051CB" w:rsidRDefault="00000000">
      <w:r>
        <w:t>The policy of the Bank Group regarding management of FXR aims bearing of currency exposures which do not generate losses endangering income of the Bank Group or its safety under observation of all regulatory boundaries.</w:t>
      </w:r>
    </w:p>
    <w:p w14:paraId="244C6529" w14:textId="77777777" w:rsidR="006051CB" w:rsidRDefault="00000000">
      <w:r>
        <w:t>Concerning the bearing of market risk the strategy of the Bank Group as a part of Bank OTP is in compliance with strategic aims adopted by the Group, local Risk appetite and characterises as a conservative one.</w:t>
      </w:r>
    </w:p>
    <w:p w14:paraId="21D1A2D9" w14:textId="77777777" w:rsidR="006051CB" w:rsidRDefault="00000000">
      <w:r>
        <w:t>It clearly defines the internal liquidity governance and the liquidity risk measurement and control practices.</w:t>
      </w:r>
    </w:p>
    <w:p w14:paraId="02612738" w14:textId="1332878B" w:rsidR="006051CB" w:rsidRDefault="00000000">
      <w:r>
        <w:t>Assets and Liabilities Committee ALCO develops the interest rate risk strategy and develops the interest rate risk management framework in accordance with the defined interest rate risk appetite.</w:t>
      </w:r>
    </w:p>
    <w:p w14:paraId="642A2E4A" w14:textId="77777777" w:rsidR="006051CB" w:rsidRDefault="00000000">
      <w:r>
        <w:t>DSK Bank Risk Committee monitors and oversees the current and future risk appetite and strategy of the Bank, considering all types of risks as well as the implementation of the strategy for capital and liquidity management, in order to assess its adequacy against the approved risk appetite and strategy.</w:t>
      </w:r>
    </w:p>
    <w:p w14:paraId="1BA8CEB8" w14:textId="77777777" w:rsidR="006051CB" w:rsidRDefault="00000000">
      <w:r>
        <w:t>Risk management process of the Bank and revision of its long-term strategy.</w:t>
      </w:r>
    </w:p>
    <w:p w14:paraId="360F3A71" w14:textId="78060250" w:rsidR="006051CB" w:rsidRDefault="00000000">
      <w:r>
        <w:t>The following principles should be followed A transparent corporate structure which ensures effective and reasonable risk management.</w:t>
      </w:r>
    </w:p>
    <w:p w14:paraId="0141D37A" w14:textId="77777777" w:rsidR="006051CB" w:rsidRDefault="00000000">
      <w:r>
        <w:t>The plan for development of the capital base is consistent with the goals for development of the Bank s activity and the acceptable levels of risk for achieving these goals.</w:t>
      </w:r>
    </w:p>
    <w:p w14:paraId="555A9B4D" w14:textId="77777777" w:rsidR="006051CB" w:rsidRDefault="00000000">
      <w:r>
        <w:t>This allows a relatively reliable assessment of the necessary development of the capital base and respective planning of an adequate capital position.</w:t>
      </w:r>
    </w:p>
    <w:p w14:paraId="1004CAB8" w14:textId="77777777" w:rsidR="006051CB" w:rsidRDefault="00000000">
      <w:r>
        <w:t>On a regular basis the Bank conducts an updated rolling forecast in order to assesses the sustainability of the approved business plan and strategy and to assesses the impact from deviations from plan on capital adequacy.</w:t>
      </w:r>
    </w:p>
    <w:p w14:paraId="22E1A972" w14:textId="148695F9" w:rsidR="006051CB" w:rsidRDefault="00000000">
      <w:r>
        <w:t>The necessity of capital calculated according to regulatory requirements, as well as according to the according to DSK Bank s policy and based on the supervisory assessment SREP.</w:t>
      </w:r>
    </w:p>
    <w:p w14:paraId="462E4185" w14:textId="0A3426F6" w:rsidR="006051CB" w:rsidRDefault="00000000">
      <w:r>
        <w:lastRenderedPageBreak/>
        <w:t>In case the ability to provide capital to cover the higher of the two with a reasonable reserve above the minimum capital requirement according to the regulatory requirements or the result reached under ICAAP is under question, the Bank reviews its objectives and risk profile.</w:t>
      </w:r>
    </w:p>
    <w:p w14:paraId="7794739D" w14:textId="77777777" w:rsidR="006051CB" w:rsidRDefault="00000000">
      <w:r>
        <w:t>In accordance with the regulatory capital framework, intangible assets must be deducted at AFR equity level since they are not easily disposable in case of crisis event.</w:t>
      </w:r>
    </w:p>
    <w:p w14:paraId="1524483F" w14:textId="77777777" w:rsidR="006051CB" w:rsidRDefault="00000000">
      <w:r>
        <w:t>This capital buffer is a result mainly from the followed policy for capitalisation of profit from previous years, as well as a reasonable risk management and defining risk appetite in the activity.</w:t>
      </w:r>
    </w:p>
    <w:p w14:paraId="2BF45641" w14:textId="77777777" w:rsidR="006051CB" w:rsidRDefault="00000000">
      <w:r>
        <w:t>Additionally, DSK Bank conducted a stress test for climate-related and environmental transition risk impact in a 3-year-term perspective.</w:t>
      </w:r>
    </w:p>
    <w:p w14:paraId="579DCC63" w14:textId="67AFB7AC" w:rsidR="006051CB" w:rsidRDefault="00000000">
      <w:r>
        <w:t>The liquidity risk management principles of the Bank are following all regulatory and OTP Group LRMP.</w:t>
      </w:r>
    </w:p>
    <w:p w14:paraId="5BB6C476" w14:textId="77777777" w:rsidR="006051CB" w:rsidRDefault="00000000">
      <w:r>
        <w:t>It clearly defines the internal liquidity governance and the liquidity risk measurement and control practices.</w:t>
      </w:r>
    </w:p>
    <w:p w14:paraId="0D9BBC2F" w14:textId="32C82A93" w:rsidR="006051CB" w:rsidRDefault="00000000">
      <w:r>
        <w:t>Additional capital for operational risk DSK Bank Group Disclosure 32 For the purpose of the normative perspective under ICAAP the bank assesses the capital needed for operational risk coverage applying the Advanced Measurement Approach AMA which is also applied for the assessment of the regulatory requirement for operational risk according to Pillar I requirements.</w:t>
      </w:r>
    </w:p>
    <w:p w14:paraId="2A8F1E55" w14:textId="77777777" w:rsidR="006051CB" w:rsidRDefault="00000000">
      <w:r>
        <w:t>In the economic perspective DSK Bank assesses additionally aspects related to internal and external fraud, business disruption risk, cyber risk, compliance risk, as well as environmental risk.</w:t>
      </w:r>
    </w:p>
    <w:p w14:paraId="4F8B72C0" w14:textId="77777777" w:rsidR="006051CB" w:rsidRDefault="00000000">
      <w:r>
        <w:t>Shortage on the labour market - The high intensity of regulatory initiatives and projects and the simultaneous launching of bank-wide projects requires allocation of additional expertise and human resources in order to ensure smooth run the bank activities and successful implementation of the projects.</w:t>
      </w:r>
    </w:p>
    <w:p w14:paraId="33BE21B8" w14:textId="77777777" w:rsidR="006051CB" w:rsidRDefault="00000000">
      <w:r>
        <w:t>DSK Bank targets sustainable development of its human resources considering the dynamic regulatory and operating environment and the strategic advantage provided by the available high-level expertise at the Bank.</w:t>
      </w:r>
    </w:p>
    <w:p w14:paraId="20204DE3" w14:textId="77777777" w:rsidR="006051CB" w:rsidRDefault="00000000">
      <w:r>
        <w:t>The results from the ICAAP stress test shall be used for assessment of the capital depletion in case of adverse development of the environment which in its essence is comparable with the determined by the competent authority P2G.</w:t>
      </w:r>
    </w:p>
    <w:p w14:paraId="1258C03B" w14:textId="77777777" w:rsidR="006051CB" w:rsidRDefault="00000000">
      <w:r>
        <w:t>Furthermore, under the economic and stressed internal assessment an additional capital charge of BGN 6 140 is anticipated for environmental risk impacting counterparty credit risk.</w:t>
      </w:r>
    </w:p>
    <w:p w14:paraId="71D344D6" w14:textId="441621BE" w:rsidR="006051CB" w:rsidRDefault="00000000">
      <w:r>
        <w:lastRenderedPageBreak/>
        <w:t>The operational risk add-ons including Cyber resilience, Compliance risk and environmental risk amount to BGN 29 095 thousand.</w:t>
      </w:r>
    </w:p>
    <w:p w14:paraId="5104C8CB" w14:textId="77777777" w:rsidR="006051CB" w:rsidRDefault="00000000">
      <w:r>
        <w:t>This approach enables the management of bank to recognise potential threats in the operating environment within its early screening processes and timely react to evolving adverse developments.</w:t>
      </w:r>
    </w:p>
    <w:p w14:paraId="3F97E1BF" w14:textId="77777777" w:rsidR="006051CB" w:rsidRDefault="00000000">
      <w:r>
        <w:t>Such situation shall be assessed as the first hard criterium indicating potential issues with the solvency position of the bank which need to be addressed by implementing short-to-mid term measures or recovery tools in order to restore compliance with the internal management buffer.</w:t>
      </w:r>
    </w:p>
    <w:p w14:paraId="40BC3999" w14:textId="77777777" w:rsidR="006051CB" w:rsidRDefault="00000000">
      <w:r>
        <w:t>Following the reverse stress test approach which is based on the combined effect from credit risk losses and severe idiosyncratic event, the bank applied an assumption for the most severe event with operational and compliance risk character, namely a massive GDPR.</w:t>
      </w:r>
    </w:p>
    <w:p w14:paraId="0FFA7AED" w14:textId="77777777" w:rsidR="006051CB" w:rsidRDefault="00000000">
      <w:r>
        <w:t>DSK Bank Group Disclosure 37 Group s remuneration policy and practices.</w:t>
      </w:r>
    </w:p>
    <w:p w14:paraId="174A8F7F" w14:textId="77777777" w:rsidR="006051CB" w:rsidRDefault="00000000">
      <w:r>
        <w:t>The RemCo ensures that all employees and identified staff are appropriately remunerated in accordance with the Group s strategy as well as its long-term and short-term performance.</w:t>
      </w:r>
    </w:p>
    <w:p w14:paraId="226FB3DC" w14:textId="1993BE16" w:rsidR="006051CB" w:rsidRDefault="00000000">
      <w:r>
        <w:t>The personal scope of the Remuneration Policy has been determined on three levels - consolidated-level personal scope includes those staff members identified at consolidated level whose professional activity has a material impact on the risk profile of the entire OTP Group.</w:t>
      </w:r>
    </w:p>
    <w:p w14:paraId="3253C5A8" w14:textId="77777777" w:rsidR="006051CB" w:rsidRDefault="00000000">
      <w:r>
        <w:t>DSK Bank applies the same rules as for the identified staff for all the other managers out of the scope of the Remuneration policy but directly reporting to executive directors.</w:t>
      </w:r>
    </w:p>
    <w:p w14:paraId="52D2837D" w14:textId="2A1B990E" w:rsidR="006051CB" w:rsidRDefault="00000000">
      <w:r>
        <w:t xml:space="preserve">Information relating to Design and structure of the remuneration system for identified staff based remuneration variable element subject to the preliminary and subsequent evaluation of risks is relevant to realisation level of the targets at bank </w:t>
      </w:r>
      <w:r w:rsidR="00B32695">
        <w:t>group bank</w:t>
      </w:r>
      <w:r>
        <w:t xml:space="preserve"> and individual level.</w:t>
      </w:r>
    </w:p>
    <w:p w14:paraId="710B3ADC" w14:textId="3BE04951" w:rsidR="006051CB" w:rsidRDefault="00000000">
      <w:r>
        <w:t>The basic principle of the performance measurement and assessment system is to link the rate of performance-based remuneration with ex-ante and ex-post assessment of risks to the degree of the accomplishment of Bank strategic-level and objectives in the framework of a two-level performance measurement system to the level of fulfilment of strategic goals, and individual objectives numerical indicators, individual targets and competences By placing emphasis on institutional targets, the two-level system contributes to the clear definition and monitoring of priorities, and ensures the better tracking of individual performances, thereby improving the flexibility of the performance assessment system.</w:t>
      </w:r>
    </w:p>
    <w:p w14:paraId="56DDEBB4" w14:textId="77777777" w:rsidR="006051CB" w:rsidRDefault="00000000">
      <w:r>
        <w:t>The Remuneration Policy stipulates differentiated income levels conforming to the value of the jobs and based on classifications.</w:t>
      </w:r>
    </w:p>
    <w:p w14:paraId="1AA833E1" w14:textId="77777777" w:rsidR="006051CB" w:rsidRDefault="00000000">
      <w:r>
        <w:lastRenderedPageBreak/>
        <w:t>The fact that the amount of the fixed remuneration for the persons belonging to the scope of the Policy is high enough to provide compensation for the professional work and is in line with the level of education, ranking, the required level of experience and skills, and the relevant business sector ensures the enforcement of a flexible remuneration policy.</w:t>
      </w:r>
    </w:p>
    <w:p w14:paraId="41DB1043" w14:textId="4BA2B53B" w:rsidR="006051CB" w:rsidRDefault="00000000">
      <w:r>
        <w:t>The main criterion for performance measurement related to performance-based remuneration is return on risk adjusted capital RORAC+ ROECOE, which is included in the strategic goals for each assessed person.</w:t>
      </w:r>
    </w:p>
    <w:p w14:paraId="0C0BA5CC" w14:textId="77777777" w:rsidR="006051CB" w:rsidRDefault="00000000">
      <w:r>
        <w:t>The performance remuneration based on performance appraisal of the managers identified on consolidation level in the scope of the Remuneration Policy takes place uniformly in the form of cash bonus and shares in the proportion of 50-50%.</w:t>
      </w:r>
    </w:p>
    <w:p w14:paraId="35E43337" w14:textId="77777777" w:rsidR="006051CB" w:rsidRDefault="00000000">
      <w:r>
        <w:t>The performance remuneration based on performance appraisal of the managers identified on sub- consolidation and local level in the scope of the Remuneration Policy takes place uniformly in the form of cash bonus and synthetic shares, in the proportion of 50-50%.</w:t>
      </w:r>
    </w:p>
    <w:p w14:paraId="0E8D8FFD" w14:textId="32B410DB" w:rsidR="006051CB" w:rsidRDefault="00000000">
      <w:r>
        <w:t>It is possible to omit the application of the deferral and share based payment rules in case of those consolidated, sub-consolidated or local level identified positions, where the established performance- based remuneration on a yearly basis 1 does not exceed EUR 50 000 provided that the ratio of performance-based remuneration to total remuneration.</w:t>
      </w:r>
    </w:p>
    <w:p w14:paraId="67D98991" w14:textId="26697262" w:rsidR="006051CB" w:rsidRDefault="00000000">
      <w:r>
        <w:t>The ratio of the fixed and performance-based remuneration connected to the various positions of additional persons belonging to the scope of the Remuneration Policy is established, based on the subject to the consideration of the aspects below - performance appraisal system and method of defining the risk levels.</w:t>
      </w:r>
    </w:p>
    <w:p w14:paraId="1F7F6368" w14:textId="77777777" w:rsidR="006051CB" w:rsidRDefault="00000000">
      <w:r>
        <w:t>Individual bonus amounts are defined within the annual performance appraisal process, based on the principles of transparency and clarity to ensure a direct link between variable remuneration and performance.</w:t>
      </w:r>
    </w:p>
    <w:p w14:paraId="75155D8D" w14:textId="77777777" w:rsidR="006051CB" w:rsidRDefault="00000000">
      <w:r>
        <w:t>The selection decision-making process is in accordance with Policy on Assessment of Suitability of function holders of DSK Bank and Banking group in compliance with the standards of the OTP Banking Group.</w:t>
      </w:r>
    </w:p>
    <w:p w14:paraId="4FB2E315" w14:textId="77777777" w:rsidR="006051CB" w:rsidRDefault="00000000">
      <w:r>
        <w:t>The policy is to establish the basic rules of the selection, suitability, evaluation criteria and test methodology, applying the diversity policy and to clarify the tasks and responsibilities related to suitability assessments, which meet the requirements of the legislation and the recommendations of OTP Group.</w:t>
      </w:r>
    </w:p>
    <w:sectPr w:rsidR="006051C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1637252328">
    <w:abstractNumId w:val="8"/>
  </w:num>
  <w:num w:numId="2" w16cid:durableId="857961122">
    <w:abstractNumId w:val="6"/>
  </w:num>
  <w:num w:numId="3" w16cid:durableId="2018996833">
    <w:abstractNumId w:val="5"/>
  </w:num>
  <w:num w:numId="4" w16cid:durableId="1939170585">
    <w:abstractNumId w:val="4"/>
  </w:num>
  <w:num w:numId="5" w16cid:durableId="838732455">
    <w:abstractNumId w:val="7"/>
  </w:num>
  <w:num w:numId="6" w16cid:durableId="1637681210">
    <w:abstractNumId w:val="3"/>
  </w:num>
  <w:num w:numId="7" w16cid:durableId="140854989">
    <w:abstractNumId w:val="2"/>
  </w:num>
  <w:num w:numId="8" w16cid:durableId="197358368">
    <w:abstractNumId w:val="1"/>
  </w:num>
  <w:num w:numId="9" w16cid:durableId="19826872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1241"/>
    <w:rsid w:val="00326F90"/>
    <w:rsid w:val="004F5755"/>
    <w:rsid w:val="006051CB"/>
    <w:rsid w:val="00AA1D8D"/>
    <w:rsid w:val="00B32695"/>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916ABA"/>
  <w14:defaultImageDpi w14:val="300"/>
  <w15:docId w15:val="{05F32CE3-404E-0C4C-B445-69D54B43D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2646</Words>
  <Characters>15087</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3</cp:revision>
  <dcterms:created xsi:type="dcterms:W3CDTF">2013-12-23T23:15:00Z</dcterms:created>
  <dcterms:modified xsi:type="dcterms:W3CDTF">2025-08-03T17:19:00Z</dcterms:modified>
  <cp:category/>
</cp:coreProperties>
</file>