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FBAF" w14:textId="77777777" w:rsidR="006335E7" w:rsidRDefault="00000000">
      <w:r>
        <w:t>In the context of the Groups initiatives for the optimization of its regulatory capital, in December 2023, the Bank proceeded with the execution of another synthetic risk transfer transaction project Wave IV in the form of a financial guarantee, providing credit protection over the mezzanine loss of a portfolio of performing SME and Large Corporate loans amounting to € 1.</w:t>
      </w:r>
    </w:p>
    <w:p w14:paraId="11F34B2F" w14:textId="77777777" w:rsidR="006335E7" w:rsidRDefault="00000000">
      <w:r>
        <w:t>International Operations business model and solid fundamentals allow to effectively respond to the challenges, safeguarding their profitability, promote sustainable prosperity in the local communities and create value for their clients, employees, shareholders, and the society at large.</w:t>
      </w:r>
    </w:p>
    <w:p w14:paraId="3D97FF0D" w14:textId="77777777" w:rsidR="006335E7" w:rsidRDefault="00000000">
      <w:r>
        <w:t>Risk management The Group acknowledges that taking risks is an integral part of its operations in order to achieve its business objectives.</w:t>
      </w:r>
    </w:p>
    <w:p w14:paraId="0B205950" w14:textId="77777777" w:rsidR="006335E7" w:rsidRDefault="00000000">
      <w:r>
        <w:t>Due to the fact that economic, industry, regulatory and operating conditions will continue to change, risk management mechanisms are set in a manner that enable the Group to identify and deal with the risks associated with those changes.</w:t>
      </w:r>
    </w:p>
    <w:p w14:paraId="730EFF64" w14:textId="3C93313F" w:rsidR="006335E7" w:rsidRDefault="00000000">
      <w:r>
        <w:t xml:space="preserve">As such, the Group has allocated significant resources for upgrading and maintaining its policies, methods and infrastructure up to date, </w:t>
      </w:r>
      <w:proofErr w:type="gramStart"/>
      <w:r>
        <w:t>in order to</w:t>
      </w:r>
      <w:proofErr w:type="gramEnd"/>
      <w:r>
        <w:t xml:space="preserve"> ensure compliance with the requirements of the European Central Bank and of the Single Resolution Board</w:t>
      </w:r>
      <w:r w:rsidR="005B4B4A">
        <w:t xml:space="preserve">, </w:t>
      </w:r>
      <w:r>
        <w:t>the guidelines of the European Banking Authority and the Basel Committee for Banking Supervision as well as the best international banking practices.</w:t>
      </w:r>
    </w:p>
    <w:p w14:paraId="21689B69" w14:textId="77777777" w:rsidR="006335E7" w:rsidRDefault="00000000">
      <w:r>
        <w:t>The risk management policies implemented by the Group are reviewed on a regular basis.</w:t>
      </w:r>
    </w:p>
    <w:p w14:paraId="451EDD31" w14:textId="77777777" w:rsidR="006335E7" w:rsidRDefault="00000000">
      <w:r>
        <w:t>Risk management function provides the framework, procedures and guidance to enable all employees to proactively identify, manage and monitor the risks in their own areas and improve the control and co-ordination of risk taking across their business.</w:t>
      </w:r>
    </w:p>
    <w:p w14:paraId="4C1876AB" w14:textId="77777777" w:rsidR="006335E7" w:rsidRDefault="00000000">
      <w:r>
        <w:t>The objectives are to support the Groups business growth, balance a strong capital position with higher returns on equity and to ensure the Groups adherence to regulatory requirements.</w:t>
      </w:r>
    </w:p>
    <w:p w14:paraId="618D5E1A" w14:textId="77777777" w:rsidR="006335E7" w:rsidRDefault="00000000">
      <w:r>
        <w:t>The Group aiming to ensure a collective view on the risks linked to the execution of its strategy, acknowledges the new developments at an early stage and assesses the potential impact.</w:t>
      </w:r>
    </w:p>
    <w:p w14:paraId="075FFF70" w14:textId="77777777" w:rsidR="006335E7" w:rsidRDefault="00000000">
      <w:r>
        <w:t>It also oversees the implementation of the strategies for capital and liquidity management as well as for all other relevant risks, such as credit and market risks, non-financial risks such as operational, reputational conduct, legal, cyber, outsourcing climate and environmental, in order to assess their adequacy against the approved risk appetite limits.</w:t>
      </w:r>
    </w:p>
    <w:p w14:paraId="08D7260F" w14:textId="4FD67232" w:rsidR="006335E7" w:rsidRDefault="00000000">
      <w:r>
        <w:t>It comprises of the Group Credit</w:t>
      </w:r>
      <w:r w:rsidR="005B4B4A">
        <w:t xml:space="preserve">, </w:t>
      </w:r>
      <w:r>
        <w:t>the Group Credit Control</w:t>
      </w:r>
      <w:r w:rsidR="005B4B4A">
        <w:t xml:space="preserve">, </w:t>
      </w:r>
      <w:r>
        <w:t>the Group Credit Risk Capital Adequacy Control</w:t>
      </w:r>
      <w:r w:rsidR="005B4B4A">
        <w:t xml:space="preserve">, </w:t>
      </w:r>
      <w:r>
        <w:t>the Group Market and Counterparty Risk</w:t>
      </w:r>
      <w:r w:rsidR="005B4B4A">
        <w:t xml:space="preserve">, </w:t>
      </w:r>
      <w:r>
        <w:t>the Group Operational and Non-Financial Risks</w:t>
      </w:r>
      <w:r w:rsidR="005B4B4A">
        <w:t xml:space="preserve">, </w:t>
      </w:r>
      <w:r>
        <w:t>the Group Model Validation and Governance</w:t>
      </w:r>
      <w:r w:rsidR="005B4B4A">
        <w:t xml:space="preserve">, </w:t>
      </w:r>
      <w:r>
        <w:t xml:space="preserve">the Group Risk </w:t>
      </w:r>
      <w:r>
        <w:lastRenderedPageBreak/>
        <w:t>Management Strategy Planning Operations &amp; Climate Risk GRMSPO&amp;CR, the Supervisory Relations and Resolution Planning</w:t>
      </w:r>
      <w:r w:rsidR="005B4B4A">
        <w:t xml:space="preserve">, </w:t>
      </w:r>
      <w:r>
        <w:t>and the Risk Analytics Units.</w:t>
      </w:r>
    </w:p>
    <w:p w14:paraId="40DBD408" w14:textId="77777777" w:rsidR="006335E7" w:rsidRDefault="00000000">
      <w:r>
        <w:t>As part of its overall system of internal controls, Eurobank Ergasias Services and Holdings S.</w:t>
      </w:r>
    </w:p>
    <w:p w14:paraId="4C6214CA" w14:textId="77777777" w:rsidR="006335E7" w:rsidRDefault="00000000">
      <w:r>
        <w:t>Has engaged in a Service Level Agreement with Eurobank S.</w:t>
      </w:r>
    </w:p>
    <w:p w14:paraId="69C47A13" w14:textId="77777777" w:rsidR="006335E7" w:rsidRDefault="00000000">
      <w:r>
        <w:t>The banking subsidiary of the Group in order to receive supporting and advisory services in all areas of risk management undertaken by the Group.</w:t>
      </w:r>
    </w:p>
    <w:p w14:paraId="318C0BF0" w14:textId="77777777" w:rsidR="006335E7" w:rsidRDefault="00000000">
      <w:r>
        <w:t>Finally, it monitors regulatory developments, emerging trends and best practices proposing relevant policy updates or product enhancements when necessary.</w:t>
      </w:r>
    </w:p>
    <w:p w14:paraId="64B2B247" w14:textId="77777777" w:rsidR="006335E7" w:rsidRDefault="00000000">
      <w:r>
        <w:t>GMCR maintains and updates the limits monitoring systems and ensures the correctness and compliance of all financial institutions limits with the Banks policies as approved by the Groups relevant bodies.</w:t>
      </w:r>
    </w:p>
    <w:p w14:paraId="366E418F" w14:textId="77777777" w:rsidR="006335E7" w:rsidRDefault="00000000">
      <w:r>
        <w:t>Finally, the Group already monitors the impact from the new regulatory framework for market risk Fundamental Review of the Trading Book-FRTB and monitors the evolution of the relevant capital charges until its official application, based on a set of established systems and procedures.</w:t>
      </w:r>
    </w:p>
    <w:p w14:paraId="3ED5D6C7" w14:textId="77777777" w:rsidR="006335E7" w:rsidRDefault="00000000">
      <w:r>
        <w:t>Group Treasury is responsible for the implementation of the Group's liquidity strategy, the daily management of the Groups liquidity and for the preparation and monitoring of the Groups liquidity budget, while GMCR is responsible for measuring, control, monitoring and reporting the liquidity of the Group to the G-ALCO, BRC, BoD and to the regulatory bodies.</w:t>
      </w:r>
    </w:p>
    <w:p w14:paraId="2C9D633D" w14:textId="77777777" w:rsidR="006335E7" w:rsidRDefault="00000000">
      <w:r>
        <w:t>Eurobank has adopted a Themes-based risk taxonomy, developed along the lines of the industry reference taxonomies, for risk management and reporting purposes.</w:t>
      </w:r>
    </w:p>
    <w:p w14:paraId="2CF4F7EC" w14:textId="77777777" w:rsidR="006335E7" w:rsidRDefault="00000000">
      <w:r>
        <w:t>Specifically, climate related and environmental risks are defined as the risks deriving from potential loss or negative impact to the Group, including lossdamage to physical assets, disruption of business or system failures, transition expenditures and reputational effects from the adverse consequences of climate change and environmental degradation.</w:t>
      </w:r>
    </w:p>
    <w:p w14:paraId="4CD7EDA1" w14:textId="77777777" w:rsidR="006335E7" w:rsidRDefault="00000000">
      <w:r>
        <w:t>Climate-related and environmental risks include the following, a Climate related and environmental physical risk, Physical risk refers to the financial impact of a changing climate, including more frequent extreme weather events and gradual changes in climate, as well as the impact of environmental degradation.</w:t>
      </w:r>
    </w:p>
    <w:p w14:paraId="12C40B9D" w14:textId="77777777" w:rsidR="006335E7" w:rsidRDefault="00000000">
      <w:r>
        <w:t>The Group is adopting a strategic approach towards sustainability, climate change risk identification and risk management, signifying the great importance that is given in the risks and opportunities arising from the transitioning to a low-carbon and more circular economy.</w:t>
      </w:r>
    </w:p>
    <w:p w14:paraId="05FE3C83" w14:textId="5A6BCFF4" w:rsidR="006335E7" w:rsidRDefault="00000000">
      <w:r>
        <w:t xml:space="preserve">In this context, the Bank has approved and implements its Financed Impact Strategy, which focuses on, Clients engagement and awareness to adapt their business so as to address </w:t>
      </w:r>
      <w:r>
        <w:lastRenderedPageBreak/>
        <w:t xml:space="preserve">climate change challenges, </w:t>
      </w:r>
      <w:r w:rsidR="005B4B4A">
        <w:t>A</w:t>
      </w:r>
      <w:r>
        <w:t>ctions for supporting clients in their transition efforts towards a more ESG-friendly economic environment, Enablers and tools such as frameworks and products to underpin Sustainable Financing, The assessment and management of climate-related risk of exposures.</w:t>
      </w:r>
    </w:p>
    <w:p w14:paraId="05642318" w14:textId="5566B2BE" w:rsidR="006335E7" w:rsidRDefault="00000000">
      <w:r>
        <w:t>To facilitate the classification of sustainablegreen financing opportunities in a structural manner, the Bank has developed its Sustainable Finance Framework</w:t>
      </w:r>
      <w:r w:rsidR="005B4B4A">
        <w:t>.</w:t>
      </w:r>
    </w:p>
    <w:p w14:paraId="6DA2F75A" w14:textId="77777777" w:rsidR="006335E7" w:rsidRDefault="00000000">
      <w:r>
        <w:t>Through its SFF, the Bank is able to classify sustainable lending solutions offered to its clients, specifying the applied classification approach and the activities defined as eligible to access sustainable financing eligible green and social assets.</w:t>
      </w:r>
    </w:p>
    <w:p w14:paraId="11069E69" w14:textId="61FB4075" w:rsidR="006335E7" w:rsidRDefault="00000000">
      <w:r>
        <w:t>Furthermore, the Group has updated its governance structure by introducing and defining the roles and responsibilities in relation to ESG and climate related and environmental CR&amp;E risks, embedding regulatory guidelines and market practices involving various key stakeholder</w:t>
      </w:r>
      <w:r w:rsidR="00120303">
        <w:t>s</w:t>
      </w:r>
      <w:r w:rsidR="00434EF8">
        <w:t xml:space="preserve">, </w:t>
      </w:r>
      <w:r w:rsidR="00120303">
        <w:t>b</w:t>
      </w:r>
      <w:r>
        <w:t>usiness functions, Units, and Committees.</w:t>
      </w:r>
    </w:p>
    <w:p w14:paraId="45F7DB8A" w14:textId="77777777" w:rsidR="006335E7" w:rsidRDefault="00000000">
      <w:r>
        <w:t>Specifically, the Unit operates as the Project office responsible for the implementation of the Climate related and Environmental risks roadmap Program Field, with a coordinating and supervisory role on all related project streams to ensure alignment with the Banks business strategy and the regulatory authorities expectations.</w:t>
      </w:r>
    </w:p>
    <w:p w14:paraId="50AE1C37" w14:textId="77777777" w:rsidR="006335E7" w:rsidRDefault="00000000">
      <w:r>
        <w:t>In this context, the Unit ensures the implementation of corresponding environmental and sustainability initiatives frameworks, policies, procedures and products and compliance with relevant existing and upcoming regulations, under an ongoing bank-wide program, in line with the supervisory agreed roadmap, which is accelerated where possible.</w:t>
      </w:r>
    </w:p>
    <w:p w14:paraId="427D5714" w14:textId="05C85503" w:rsidR="006335E7" w:rsidRDefault="00000000">
      <w:r>
        <w:t>Specifically, in the context of implementing the approved Sustainable Finance Framework</w:t>
      </w:r>
      <w:r w:rsidR="005B4B4A">
        <w:t xml:space="preserve">, </w:t>
      </w:r>
      <w:r>
        <w:t>the Unit is responsible for assessing the sustainability features of new loans and products according to the criteria set within the SFF.</w:t>
      </w:r>
    </w:p>
    <w:p w14:paraId="5D825FB9" w14:textId="77777777" w:rsidR="006335E7" w:rsidRDefault="00000000">
      <w:r>
        <w:t>The climate risk scenario analysis with the participation of 110 significant banks aims to gain insights into the capacity of the financial system to support the transition to a lower carbon economy under conditions of stress.</w:t>
      </w:r>
    </w:p>
    <w:p w14:paraId="6D9F24A8" w14:textId="77777777" w:rsidR="006335E7" w:rsidRDefault="00000000">
      <w:r>
        <w:t>The Group is in the process of successfully completing this exercise, and continues to work in order to implement its climate risk action plan, to further integrate climate risks into its business strategy and risk management practices, and to support its clients towards climate transition and sustainable business growth.</w:t>
      </w:r>
    </w:p>
    <w:p w14:paraId="0D4E22D1" w14:textId="77777777" w:rsidR="006335E7" w:rsidRDefault="00000000">
      <w:r>
        <w:t>The front line business and operations are accountable for this responsibility as they own the rewards and are the primary risk generators, Line 2 Monitor risk and controls in support of Executive Management, providing oversight, challenge, advice and group-wide direction.</w:t>
      </w:r>
    </w:p>
    <w:p w14:paraId="099A610E" w14:textId="77777777" w:rsidR="006335E7" w:rsidRDefault="00000000">
      <w:r>
        <w:t xml:space="preserve">Further information on the Groups financial risk management objectives and policies, including the policy for hedging each major type of transaction for which hedge accounting </w:t>
      </w:r>
      <w:r>
        <w:lastRenderedPageBreak/>
        <w:t>is used is set out in the notes 2, 5 and 19 to the consolidated financial statements for the year ended 31 December 2023.</w:t>
      </w:r>
    </w:p>
    <w:p w14:paraId="028A0140" w14:textId="77777777" w:rsidR="006335E7" w:rsidRDefault="00000000">
      <w:r>
        <w:t>On monetary policy developments, the Governing Council of the ECB, in line with its strong commitment to its price stability mandate, proceeded with ten rounds of interest rate hikes in 2022 and in 2023 the most recent one in September 2023, raising the three key ECB interest rates by 450 basis points on aggregate.</w:t>
      </w:r>
    </w:p>
    <w:p w14:paraId="035E9958" w14:textId="77777777" w:rsidR="006335E7" w:rsidRDefault="00000000">
      <w:r>
        <w:t>Particularly, strong demand for real estate in 2023, with sales at a 16-year high, will support construction activity, however, the market outlook is linked to developments in the Middle East war due to the Israelis significant market share last year.</w:t>
      </w:r>
    </w:p>
    <w:p w14:paraId="5F2D7513" w14:textId="77777777" w:rsidR="006335E7" w:rsidRDefault="00000000">
      <w:r>
        <w:t>In addition, Eurobank Holdings intends to proceed also with the distribution of profits to the employees in accordance with its remuneration policy, subject to the approval of the Annual General Meeting of its shareholders.</w:t>
      </w:r>
    </w:p>
    <w:p w14:paraId="7941989D" w14:textId="77777777" w:rsidR="006335E7" w:rsidRDefault="00000000">
      <w:r>
        <w:t>In addition, the Audit Committee ensured on a quarterly basis that a the non-audit services assigned to KPMG, have been reviewed and approved as required and b there is a proper balance between the audit and non-audit fees paid to KPMG, in accordance with the relevant provisions of the Groups Policy on External Auditors Independence note 46 of the consolidated financial statements.</w:t>
      </w:r>
    </w:p>
    <w:p w14:paraId="6488BB6A" w14:textId="77777777" w:rsidR="006335E7" w:rsidRDefault="00000000">
      <w:r>
        <w:t>In tandem, the Group is investing in the People Technology Sustainability three-fold, by combining cutting edge technology and the expertise of its highly trained staff, using best practices to contribute to the effort for sustainable development for all.</w:t>
      </w:r>
    </w:p>
    <w:p w14:paraId="6C8ABF6D" w14:textId="77777777" w:rsidR="006335E7" w:rsidRDefault="00000000">
      <w:r>
        <w:t>In conducting its business activities, the Group considers the particular and diverse needs of its stakeholders and focuses on creating value for them.</w:t>
      </w:r>
    </w:p>
    <w:p w14:paraId="21DEA459" w14:textId="77777777" w:rsidR="006335E7" w:rsidRDefault="00000000">
      <w:r>
        <w:t>Green procurement practices are applied, embedding environmental specifications and guidance for selection of products and suppliers, g develops an ongoing dialogue with stakeholders and supports society and local communities.</w:t>
      </w:r>
    </w:p>
    <w:p w14:paraId="7553A573" w14:textId="77777777" w:rsidR="006335E7" w:rsidRDefault="00000000">
      <w:r>
        <w:t>The Group monitors and reviews information related to its stakeholders and their requirements, shaping a specific framework of cooperation and approach to communication in each case.</w:t>
      </w:r>
    </w:p>
    <w:p w14:paraId="24FF12AF" w14:textId="77777777" w:rsidR="006335E7" w:rsidRDefault="00000000">
      <w:r>
        <w:t>The corporate governance principles of transparency, credibility, social responsibility and accountability define the framework for the achievement of the Groups objectives, govern the organization, operations and activities and reflect its values, safeguarding the interests of shareholders and of all other stakeholders.</w:t>
      </w:r>
    </w:p>
    <w:p w14:paraId="687C783F" w14:textId="77777777" w:rsidR="006335E7" w:rsidRDefault="00000000">
      <w:r>
        <w:t>A sustainability matter is material from an impact perspective when it pertains to the Banks material actual or potential, positive or negative impacts on people or the environment environmental, social and governance matters over the short, medium and long term time horizons.</w:t>
      </w:r>
    </w:p>
    <w:p w14:paraId="0A1DFD54" w14:textId="77777777" w:rsidR="006335E7" w:rsidRDefault="00000000">
      <w:r>
        <w:lastRenderedPageBreak/>
        <w:t>An integral part of the Banks approach towards Sustainable Development is the fostering of strong relationships, cooperation and mutual benefit with all stakeholders affected, positively or negatively, directly or indirectly by its activities.</w:t>
      </w:r>
    </w:p>
    <w:p w14:paraId="3B8C3D55" w14:textId="77777777" w:rsidR="006335E7" w:rsidRDefault="00000000">
      <w:r>
        <w:t>The overall Banks Materiality Assessment methodology, the validated Material Topics, Sustainability Indicators per the GRI Standards and information regarding initiatives across the ESG spectrum along with ESG data submitted by the Groups subsidiaries are included in the Annual Report Business &amp; Sustainability, which is published on Groups approach towards sustainable development The Group supports the sustainable transition of the economy and considers sustainability and climate change as an opportunity.</w:t>
      </w:r>
    </w:p>
    <w:p w14:paraId="0E19BA1A" w14:textId="77777777" w:rsidR="006335E7" w:rsidRDefault="00000000">
      <w:r>
        <w:t>A key strategic objective is to adapt its business and operation in a way that addresses climate change challenges, accommodate social needs within its banking business model, and safeguard prudent governance for itself and its counterparties, in accordance with supervisory initiatives and following international standards best practices.</w:t>
      </w:r>
    </w:p>
    <w:p w14:paraId="0C053138" w14:textId="77777777" w:rsidR="006335E7" w:rsidRDefault="00000000">
      <w:r>
        <w:t>Committed to actively contributing to the achievement of the United Nations Sustainable Development Goals SDGs and the 2030 Agenda goals, the Bank is a signatory of the UN Global Compact since 2008.</w:t>
      </w:r>
    </w:p>
    <w:p w14:paraId="3E3DE68B" w14:textId="77777777" w:rsidR="006335E7" w:rsidRDefault="00000000">
      <w:r>
        <w:t>In full compliance with its obligations relating to implementing the Principles, the Bank has issued its 3rd PRB Progress Report as part of the Annual Report 2022 Business and Sustainability.</w:t>
      </w:r>
    </w:p>
    <w:p w14:paraId="67C23AFC" w14:textId="77777777" w:rsidR="006335E7" w:rsidRDefault="00000000">
      <w:r>
        <w:t>The Sustainability Strategy has been defined in a holistic approach across two pillars of impact, the operational impact arising from its own activities and the financed impact resulting from the Banks lending and investing activities to specific sectors and clients.</w:t>
      </w:r>
    </w:p>
    <w:p w14:paraId="215DC33E" w14:textId="77777777" w:rsidR="006335E7" w:rsidRDefault="00000000">
      <w:r>
        <w:t>These two pillars of impact aim to capture the essence of the Banks business effect on the climate, the protection of the natural environment, its contribution to addressing societal challenges at large, the prosperity of its own people, its contribution to raising business capacity in the markets where the Bank operates, and the internal processes that build and secure the confidence of its stakeholders.</w:t>
      </w:r>
    </w:p>
    <w:p w14:paraId="2517F85E" w14:textId="072CE83F" w:rsidR="006335E7" w:rsidRDefault="00000000">
      <w:r>
        <w:t>Eurobank has designed, approved and is currently implementing the Groups Sustainability Strategy including targets and commitments along the two key pillars</w:t>
      </w:r>
      <w:r w:rsidR="00434EF8">
        <w:t>.</w:t>
      </w:r>
    </w:p>
    <w:p w14:paraId="239FF5A2" w14:textId="77777777" w:rsidR="006335E7" w:rsidRDefault="00000000">
      <w:r>
        <w:t>Environmental impact with the objective to minimize negative impact across the Banks value chain to promote environmental stewardship.</w:t>
      </w:r>
    </w:p>
    <w:p w14:paraId="4A9F0644" w14:textId="77777777" w:rsidR="006335E7" w:rsidRDefault="00000000">
      <w:r>
        <w:t>The aim is to minimize Scope 1 and 2 emissions, become a paperless banking network and extend circular economy practices.</w:t>
      </w:r>
    </w:p>
    <w:p w14:paraId="51C0444E" w14:textId="77777777" w:rsidR="006335E7" w:rsidRDefault="00000000">
      <w:r>
        <w:t>Employers impact with the objective to empower people to perform at their best through an environment that promotes ethics and integrity.</w:t>
      </w:r>
    </w:p>
    <w:p w14:paraId="580949DD" w14:textId="77777777" w:rsidR="006335E7" w:rsidRDefault="00000000">
      <w:r>
        <w:lastRenderedPageBreak/>
        <w:t>Social and business impact with the objective to drive positive change for entrepreneurs and wider communities to foster sustainable development and ensure social prosperity.</w:t>
      </w:r>
    </w:p>
    <w:p w14:paraId="776381D7" w14:textId="77777777" w:rsidR="006335E7" w:rsidRDefault="00000000">
      <w:r>
        <w:t>The aim is to intensify sustainable procurement practices, rationalize Socio-Economic Impact as well as boost transparency and ESG capacity.</w:t>
      </w:r>
    </w:p>
    <w:p w14:paraId="3F791E26" w14:textId="77777777" w:rsidR="006335E7" w:rsidRDefault="00000000">
      <w:r>
        <w:t>Making progress along the two pillars of the Sustainability Strategy, the Bank aims to maximize its contribution to achieving the Paris Climate Agreements targets and the UN Sustainable Development Goals.</w:t>
      </w:r>
    </w:p>
    <w:p w14:paraId="24867A30" w14:textId="77777777" w:rsidR="006335E7" w:rsidRDefault="00000000">
      <w:r>
        <w:t>Through a set of actions with measurable targets, the Sustainability Strategy reflects the Groups vision in the short, medium and long term in relation to the environment, its social footprint, with focus on its people, and the ESG impact on the market and its portfolio.</w:t>
      </w:r>
    </w:p>
    <w:p w14:paraId="560A49DE" w14:textId="77777777" w:rsidR="006335E7" w:rsidRDefault="00000000">
      <w:r>
        <w:t>Indicative achievements are as follows, Environmental impact o Operational Net Zero Action Plan including carbon reduction curves in place.</w:t>
      </w:r>
    </w:p>
    <w:p w14:paraId="63C0BFF5" w14:textId="77777777" w:rsidR="006335E7" w:rsidRDefault="00000000">
      <w:r>
        <w:t>Employers impact o Launch of the myProsperity initiative inspirational talks by external experts in July 2023, as part of the Banks Wellbeing Framework.</w:t>
      </w:r>
    </w:p>
    <w:p w14:paraId="749112EF" w14:textId="77777777" w:rsidR="006335E7" w:rsidRDefault="00000000">
      <w:r>
        <w:t>The operational impact initiatives are detailed in the Annual Report Business &amp; Sustainability Progress on Financed Impact against targets for 2023 The Group is committed to specific Financed Impact targets which include both qualitative and quantitative elements.</w:t>
      </w:r>
    </w:p>
    <w:p w14:paraId="7C906178" w14:textId="77777777" w:rsidR="006335E7" w:rsidRDefault="00000000">
      <w:r>
        <w:t>Sectoral targets Renewable energy 35% of new disbursements in the energy sector will be directed to Renewable Energy Sources financing.</w:t>
      </w:r>
    </w:p>
    <w:p w14:paraId="49F8222B" w14:textId="77777777" w:rsidR="006335E7" w:rsidRDefault="00000000">
      <w:r>
        <w:t>Align loan portfolio and investments with a net zero carbon footprint by 2050 by developing a robust action plan and roadmap including intermediate targets to net zero and commitment.</w:t>
      </w:r>
    </w:p>
    <w:p w14:paraId="4F43A2E9" w14:textId="77777777" w:rsidR="006335E7" w:rsidRDefault="00000000">
      <w:r>
        <w:t>Actively support clients climate transition journey with an ambition to further increase sustainable financing going forward.</w:t>
      </w:r>
    </w:p>
    <w:p w14:paraId="70CDB5EF" w14:textId="77777777" w:rsidR="006335E7" w:rsidRDefault="00000000">
      <w:r>
        <w:t>In line with Eurobanks commitment to the UNEP FI Principles for Responsible Banking, development of the Sustainability Strategy is aligned with the requirements for identifying the most significant positive and negative impacts on the societies and environment where it operates.</w:t>
      </w:r>
    </w:p>
    <w:p w14:paraId="1EC9843E" w14:textId="77777777" w:rsidR="006335E7" w:rsidRDefault="00000000">
      <w:r>
        <w:t>BoD oversight with respect to Sustainability Strategy is addressed through the inclusion of ESG items in the Board Meetings agenda, as per international best practice.</w:t>
      </w:r>
    </w:p>
    <w:p w14:paraId="33E30016" w14:textId="77777777" w:rsidR="006335E7" w:rsidRDefault="00000000">
      <w:r>
        <w:t>In addition, the Bank has assigned an executive member as the BoD member responsible for climate and environmental risks.</w:t>
      </w:r>
    </w:p>
    <w:p w14:paraId="2687235C" w14:textId="413F78D4" w:rsidR="006335E7" w:rsidRDefault="00000000">
      <w:r>
        <w:lastRenderedPageBreak/>
        <w:t>As part of his duties, the member responsible updates the Board Risk Committees</w:t>
      </w:r>
      <w:r w:rsidR="005B4B4A">
        <w:t xml:space="preserve">, </w:t>
      </w:r>
      <w:r>
        <w:t>which in accordance with their Terms of Reference are responsible to oversee, among others, the climate change and environmental related risks at least on a semi-annual basis.</w:t>
      </w:r>
    </w:p>
    <w:p w14:paraId="29645252" w14:textId="77777777" w:rsidR="006335E7" w:rsidRDefault="00000000">
      <w:r>
        <w:t>Eurobank has also established the Environmental, Social &amp; Governance Management Committee ESG ManCo, chaired by the BoD member responsible for climate-related and environmental risks.</w:t>
      </w:r>
    </w:p>
    <w:p w14:paraId="08B6DBB9" w14:textId="77777777" w:rsidR="006335E7" w:rsidRDefault="00000000">
      <w:r>
        <w:t>The ESG ManCo provides strategic direction on Environmental, Social &amp; Governance initiatives, reviews the Sustainability Strategy prior to approval, intergrates the elements of the Sustainability Strategy into the Eurobanks business model and operations, approves eligible assets of Green Bond Frameworks, regularly measures and analyses the progress of the ESG goals and performance targets, as well as ensures the proper implementation of ESG related policies and procedures in accordance with supervisory requirements and voluntary commitments.</w:t>
      </w:r>
    </w:p>
    <w:p w14:paraId="6A180A11" w14:textId="77777777" w:rsidR="006335E7" w:rsidRDefault="00000000">
      <w:r>
        <w:t>Further information on the ESG governance structure for the oversight and management of sustainability and climate related &amp; environmental matters is provided in the TCFD Climate-related and Environmental Risk Report.</w:t>
      </w:r>
    </w:p>
    <w:p w14:paraId="3747216B" w14:textId="77777777" w:rsidR="006335E7" w:rsidRDefault="00000000">
      <w:r>
        <w:t>Having already performed an assessment of CR&amp;E data availability in its internal systems against regulatory requirements expectations, the Group continues to enhance its environmental risk data aggregation capabilities and IT infrastructure accordingly, while also using appropriate controls and safeguards to ensure the accuracy and completeness of the compiled information.</w:t>
      </w:r>
    </w:p>
    <w:p w14:paraId="3ED9C749" w14:textId="77777777" w:rsidR="006335E7" w:rsidRDefault="00000000">
      <w:r>
        <w:t>Internal ESG awareness and capacity building The Group is placing great emphasis on building capacity among its employees, so they be able to support its clients on their sustainability journey and their green transition.</w:t>
      </w:r>
    </w:p>
    <w:p w14:paraId="43BF04F3" w14:textId="77777777" w:rsidR="006335E7" w:rsidRDefault="00000000">
      <w:r>
        <w:t>To this end, in addition to launching ESG initiatives for its clients, the Bank implements an ESG upskilling plan for its employees.</w:t>
      </w:r>
    </w:p>
    <w:p w14:paraId="122DB86B" w14:textId="77777777" w:rsidR="006335E7" w:rsidRDefault="00000000">
      <w:r>
        <w:t>This remarkable recognition was based on an assessment of the Bank's performance and management practices across a wide range of ESG impacts including Human Capital, Data Protection and Security, Business Ethics, Corporate Governance, Product Governance, and Integration of ESG criteria into financial activities.</w:t>
      </w:r>
    </w:p>
    <w:p w14:paraId="7F08A80D" w14:textId="77777777" w:rsidR="006335E7" w:rsidRDefault="00000000">
      <w:r>
        <w:t>The implementation of these management systems is supported by relevant e-learning training programs.</w:t>
      </w:r>
    </w:p>
    <w:p w14:paraId="0A23E9FF" w14:textId="77777777" w:rsidR="006335E7" w:rsidRDefault="00000000">
      <w:r>
        <w:t>Furthermore, the Bank, has established sustainability practices in procurement, in order to select, where possible, environmentally and socially responsible goods and suppliers.</w:t>
      </w:r>
    </w:p>
    <w:p w14:paraId="1ED48513" w14:textId="77777777" w:rsidR="006335E7" w:rsidRDefault="00000000">
      <w:r>
        <w:t xml:space="preserve">The environmental performance, with respect to the improvement of the operational environmental footprint, is monitored through specific environmental indicators in order to </w:t>
      </w:r>
      <w:r>
        <w:lastRenderedPageBreak/>
        <w:t>identify any deviations and take corrective actions and is included in the Annual Report Business &amp; Sustainability and the Environmental Report as per EMAS Regulation.</w:t>
      </w:r>
    </w:p>
    <w:p w14:paraId="5A01EE89" w14:textId="77777777" w:rsidR="006335E7" w:rsidRDefault="00000000">
      <w:r>
        <w:t>In the context of minimising its environmental impact, the Bank has implemented an integrated action plan to reduce paper consumption and fully digitize its operations.</w:t>
      </w:r>
    </w:p>
    <w:p w14:paraId="1728E64C" w14:textId="77777777" w:rsidR="006335E7" w:rsidRDefault="00000000">
      <w:r>
        <w:t>According to its Water Management Policy, the Bank aims to responsibly manage the use of water resources and efforts for savings.</w:t>
      </w:r>
    </w:p>
    <w:p w14:paraId="1717B400" w14:textId="77777777" w:rsidR="006335E7" w:rsidRDefault="00000000">
      <w:r>
        <w:t>In the view of circular economy and the Banks commitment to implementing comprehensive waste management practices, aiming to recycle or redirect all solid waste it generates, the Bank has achieved a 3.</w:t>
      </w:r>
    </w:p>
    <w:p w14:paraId="036114EF" w14:textId="77777777" w:rsidR="006335E7" w:rsidRDefault="00000000">
      <w:r>
        <w:t>In accordance with the applicable legislative requirements Greek Climate Law 49362022 and international best practices, the Bank was certified according to the International Standard ISO 14064 for the quantification and reporting of greenhouse gas emissions Category 1-7, with the aim of the reduction of greenhouse gas emissions and its environmental footprint.</w:t>
      </w:r>
    </w:p>
    <w:p w14:paraId="3E6CB964" w14:textId="77777777" w:rsidR="006335E7" w:rsidRDefault="00000000">
      <w:r>
        <w:t>Through the certified management systems, Eurobank monitors its performance and minimises its carbon footprint by, Setting specific targets.</w:t>
      </w:r>
    </w:p>
    <w:p w14:paraId="6C10FD61" w14:textId="77777777" w:rsidR="006335E7" w:rsidRDefault="00000000">
      <w:r>
        <w:t>This choice underscores Eurobank's commitment to a modern approach to resource management with a focus on Sustainability.</w:t>
      </w:r>
    </w:p>
    <w:p w14:paraId="62D55A16" w14:textId="77777777" w:rsidR="006335E7" w:rsidRDefault="00000000">
      <w:r>
        <w:t>The relocation to the new Headquarters building has a direct and significant effect on the environmental impact, including a 37% reduction in energy consumption per employee or a 47% reduction in energy consumption per square meter.</w:t>
      </w:r>
    </w:p>
    <w:p w14:paraId="2DEDF4C1" w14:textId="77777777" w:rsidR="006335E7" w:rsidRDefault="00000000">
      <w:r>
        <w:t>Changes in conversion coefficients may affect the emissions targets.</w:t>
      </w:r>
    </w:p>
    <w:p w14:paraId="1CD36622" w14:textId="77777777" w:rsidR="006335E7" w:rsidRDefault="00000000">
      <w:r>
        <w:t>Starting from its recruitment process, the Group aims to establish a long-term and mutually beneficial relationship with every employee.</w:t>
      </w:r>
    </w:p>
    <w:p w14:paraId="7501EDE8" w14:textId="77777777" w:rsidR="006335E7" w:rsidRDefault="00000000">
      <w:r>
        <w:t>To ensure equal and fair opportunities to all employees, the Group follows several guidelines surrounding Compensation &amp; Benefits, Recruitment, People &amp; Talent Development, Performance Management, Kniship and Health &amp; Safety, Learning, Engagement &amp; Communication.</w:t>
      </w:r>
    </w:p>
    <w:p w14:paraId="6610C907" w14:textId="77777777" w:rsidR="006335E7" w:rsidRDefault="00000000">
      <w:r>
        <w:t>The Group recognizes that diversity is a key component of a responsible business strategy in support of its international operations.</w:t>
      </w:r>
    </w:p>
    <w:p w14:paraId="2CFCF307" w14:textId="77777777" w:rsidR="006335E7" w:rsidRDefault="00000000">
      <w:r>
        <w:t>Furthermore, the Bank has set up the Eurobank Group's Occupational Pension Fund, seeking to provide longterm support to all its employees, while committing to strong ESG standards.</w:t>
      </w:r>
    </w:p>
    <w:p w14:paraId="7F041314" w14:textId="77777777" w:rsidR="006335E7" w:rsidRDefault="00000000">
      <w:r>
        <w:t xml:space="preserve">More specifically, a LinkedIn Learning Solutions, The strategic partnership with LinkedIn Learning allows all Group employees in Greece to access the platforms online learning </w:t>
      </w:r>
      <w:r>
        <w:lastRenderedPageBreak/>
        <w:t>courses and highlights the Groups actual commitment to addressing current needs of the current era and helping its people further develop their skills.</w:t>
      </w:r>
    </w:p>
    <w:p w14:paraId="5A5CE7AA" w14:textId="77777777" w:rsidR="006335E7" w:rsidRDefault="00000000">
      <w:r>
        <w:t>In addition, a specialized management development program, addressed to Retail Branch Networks Area managers, aims at the successful transition to a new model of people-based leadership, aligned with Group's principles.</w:t>
      </w:r>
    </w:p>
    <w:p w14:paraId="39305946" w14:textId="77777777" w:rsidR="006335E7" w:rsidRDefault="00000000">
      <w:r>
        <w:t>Aimed at empowering employees on more demanding roles and enhance leadership capabilities, the Group Human Resources Division designs and implements specialized programs, such as Development &amp; Succession planning, Talent Development &amp; Management, Career Development &amp; Planning, Knowledge &amp; Experience Sharing mentoring &amp; reverse mentoring.</w:t>
      </w:r>
    </w:p>
    <w:p w14:paraId="0EDD9738" w14:textId="77777777" w:rsidR="006335E7" w:rsidRDefault="00000000">
      <w:r>
        <w:t>Talent development programs aiming at upskilling and reskilling the Talent pool run across the Bank.</w:t>
      </w:r>
    </w:p>
    <w:p w14:paraId="65FEE914" w14:textId="77777777" w:rsidR="006335E7" w:rsidRDefault="00000000">
      <w:r>
        <w:t>Both tools have a developmental focus and continuous feedback on their core.</w:t>
      </w:r>
    </w:p>
    <w:p w14:paraId="7F4084C5" w14:textId="77777777" w:rsidR="006335E7" w:rsidRDefault="00000000">
      <w:r>
        <w:t>On that basis, employees can design with support by their manager and depending on their personal needs, either a Development Plan to support further their professional advancement and career planning or an Improvement Plan which serves as roadmap to enhance their performance and address areas needing improvement.</w:t>
      </w:r>
    </w:p>
    <w:p w14:paraId="693277F8" w14:textId="77777777" w:rsidR="006335E7" w:rsidRDefault="00000000">
      <w:r>
        <w:t>Both Plans aim, through relevant training and development activities, to further develop employees skills and behaviors, bolstering their profile to match either their current role or a different one in the future.</w:t>
      </w:r>
    </w:p>
    <w:p w14:paraId="50314F6B" w14:textId="77777777" w:rsidR="006335E7" w:rsidRDefault="00000000">
      <w:r>
        <w:t>C-Level Succession Planning The Banks C-Level Succession Planning framework is assessed annually following a structured and comprehensive process, according to the guidelines of the Banks Nomination and Corporate Governance Committee and the BoD of the Bank.</w:t>
      </w:r>
    </w:p>
    <w:p w14:paraId="0EC08C0C" w14:textId="77777777" w:rsidR="006335E7" w:rsidRDefault="00000000">
      <w:r>
        <w:t>This distinction reflects the Banks commitment to support responsible development without discrimination and its commitment in the application of Diversity, Equity &amp; Inclusion criteria and more generally of ESG in all aspects of the Group's operations.</w:t>
      </w:r>
    </w:p>
    <w:p w14:paraId="0BC9697A" w14:textId="77777777" w:rsidR="006335E7" w:rsidRDefault="00000000">
      <w:r>
        <w:t>It is a digital platform that promotes the Banks actions and initiatives, providing the employees with immediate access to important information.</w:t>
      </w:r>
    </w:p>
    <w:p w14:paraId="48E01AE0" w14:textId="77777777" w:rsidR="006335E7" w:rsidRDefault="00000000">
      <w:r>
        <w:t>This effort aligns with the Groups increasing environmental sensibilities, and the continued focus on a positive and modern employee experience.</w:t>
      </w:r>
    </w:p>
    <w:p w14:paraId="5873EDFF" w14:textId="77777777" w:rsidR="006335E7" w:rsidRDefault="00000000">
      <w:r>
        <w:t>In order to further improve said experience, a questionnaire pertaining to how Group employees experienced the first year of officially working with the Hybrid Model and what suggestions they might have for its improvement, was launched.</w:t>
      </w:r>
    </w:p>
    <w:p w14:paraId="727E3BAE" w14:textId="77777777" w:rsidR="006335E7" w:rsidRDefault="00000000">
      <w:r>
        <w:t>Recognition and Reward Policy In acknowledgment of long-term loyalty, the Group bestows commendations upon its employees marking 15 and 25 years of dedicated service.</w:t>
      </w:r>
    </w:p>
    <w:p w14:paraId="6FC47F90" w14:textId="77777777" w:rsidR="006335E7" w:rsidRDefault="00000000">
      <w:r>
        <w:lastRenderedPageBreak/>
        <w:t>Support at work HR4U The call center HR4U supports the employees of the Bank and responds daily at each employees request, taking all the necessary actions for their best service.</w:t>
      </w:r>
    </w:p>
    <w:p w14:paraId="605EB32B" w14:textId="77777777" w:rsidR="006335E7" w:rsidRDefault="00000000">
      <w:r>
        <w:t>Furthermore, the Bank's Management cooperates with the labour unions and supports the scheduled working meetings to strengthen the dialogue and to monitor the developments in the working environment.</w:t>
      </w:r>
    </w:p>
    <w:p w14:paraId="2C0C5C34" w14:textId="77777777" w:rsidR="006335E7" w:rsidRDefault="00000000">
      <w:r>
        <w:t>Through its corporate responsibility strategy, and responding to the needs of todays ever-changing environment, the Group aims to actively contribute to improving the economy and society where it operates, by adopting responsible practices that promote transparency and business ethics.</w:t>
      </w:r>
    </w:p>
    <w:p w14:paraId="7139F9B9" w14:textId="77777777" w:rsidR="006335E7" w:rsidRDefault="00000000">
      <w:r>
        <w:t>Corporate social responsibility is based on the following pillars, Education Education is a key pillar of the Bank's corporate responsibility strategy.</w:t>
      </w:r>
    </w:p>
    <w:p w14:paraId="582E2F4F" w14:textId="77777777" w:rsidR="006335E7" w:rsidRDefault="00000000">
      <w:r>
        <w:t>In 2023 the Bank supported 33 NGOs and institutions operating across Greece, which mainly support children and vulnerable social groups, with the amount of €440,000.</w:t>
      </w:r>
    </w:p>
    <w:p w14:paraId="7ED9C256" w14:textId="362D9949" w:rsidR="006335E7" w:rsidRDefault="00000000">
      <w:r>
        <w:t xml:space="preserve">Access to financial services for all </w:t>
      </w:r>
      <w:proofErr w:type="gramStart"/>
      <w:r>
        <w:t>Financial</w:t>
      </w:r>
      <w:proofErr w:type="gramEnd"/>
      <w:r>
        <w:t xml:space="preserve"> inclusion </w:t>
      </w:r>
      <w:proofErr w:type="gramStart"/>
      <w:r>
        <w:t>As</w:t>
      </w:r>
      <w:proofErr w:type="gramEnd"/>
      <w:r>
        <w:t xml:space="preserve"> part of the EaSI programme for employment and social innovation, the Bank has been working with the Action Finance Initiative</w:t>
      </w:r>
      <w:r w:rsidR="005B4B4A">
        <w:t xml:space="preserve">, </w:t>
      </w:r>
      <w:r>
        <w:t>providing micro-credit facilities up to €12,500 per individual to support the longterm unemployed, vulnerable social groups and businesspeople with limited access to bank loans.</w:t>
      </w:r>
    </w:p>
    <w:p w14:paraId="030158E1" w14:textId="77777777" w:rsidR="006335E7" w:rsidRDefault="00000000">
      <w:r>
        <w:t>Digital literacy and inclusion The Bank has launched the Eurobank Digital Academy for Business, a resource hub on digital skills for Greek companies technology as a key enabler, and digital transformation as a growth strategy and a competitive edge.</w:t>
      </w:r>
    </w:p>
    <w:p w14:paraId="65BB57F9" w14:textId="77777777" w:rsidR="006335E7" w:rsidRDefault="00000000">
      <w:r>
        <w:t>Since 2013 the egg has been continuously helping the Greek startup community to improve its competitiveness within a challenging global market, under 3 main pillars extroversion, financing and business networking.</w:t>
      </w:r>
    </w:p>
    <w:p w14:paraId="5F2ADA0D" w14:textId="77777777" w:rsidR="006335E7" w:rsidRDefault="00000000">
      <w:r>
        <w:t>The Group applies a zero-tolerance approach for any forms of violence, harassment and sexual harassment in the workplace and such violations are strictly prohibited for all.</w:t>
      </w:r>
    </w:p>
    <w:p w14:paraId="09FC1977" w14:textId="77777777" w:rsidR="006335E7" w:rsidRDefault="00000000">
      <w:r>
        <w:t>Its implementation ensures the transparency, objectivity and integrity of procurement execution, while ensuring suppliers' compliance with applicable local, national and international legislative and regulatory requirements, through appropriate mechanisms, as a prerequisite for starting and maintaining a business relationship with them.</w:t>
      </w:r>
    </w:p>
    <w:p w14:paraId="27699D8F" w14:textId="77777777" w:rsidR="006335E7" w:rsidRDefault="00000000">
      <w:r>
        <w:t>Group Procurement Unit evaluates the Bank's suppliers on the basis of qualitative and quantitative criteria, in order to assess risks such as the quality of services, the financial condition, business continuity of the supplier and its legalregulatory compliance.</w:t>
      </w:r>
    </w:p>
    <w:p w14:paraId="19CE3AB0" w14:textId="77777777" w:rsidR="006335E7" w:rsidRDefault="00000000">
      <w:r>
        <w:t xml:space="preserve">On an annual basis, the Bank conducts an evaluation for IT suppliers, consulting, technical and construction services, as well as for other goods and services, maintaining, for quality </w:t>
      </w:r>
      <w:r>
        <w:lastRenderedPageBreak/>
        <w:t>and risk management reasons, specific indicators that measure the degree of dependence of suppliers and the Bank on the relationship between them in terms of the total turnover of each party.</w:t>
      </w:r>
    </w:p>
    <w:p w14:paraId="17AE2D35" w14:textId="77777777" w:rsidR="006335E7" w:rsidRDefault="00000000">
      <w:r>
        <w:t>The overall objective is to select, where possible, environmentally and socially responsible goods from suppliers that are aligned with those principles.</w:t>
      </w:r>
    </w:p>
    <w:p w14:paraId="100917BC" w14:textId="77777777" w:rsidR="006335E7" w:rsidRDefault="00000000">
      <w:r>
        <w:t>It is noted that in 2023, the Bank, through the Group Procurement Unit, wishing to promote the principles of sustainable procurement, initiated the necessary actions for certifying its sustainable procurement practices as per the international standard ISO 20400 Sustainable Procurement Management System, thus contributing positively to society and the economy through making sustainable purchasing decisions and encouraging suppliers and other stakeholders to do the same.</w:t>
      </w:r>
    </w:p>
    <w:p w14:paraId="47E033BB" w14:textId="77777777" w:rsidR="006335E7" w:rsidRDefault="00000000">
      <w:r>
        <w:t>Anti -Corruption and Bribery Actions against corruption and bribery incidents The Group is committed to pursuing the fundamental values of integrity, transparency and accountability.</w:t>
      </w:r>
    </w:p>
    <w:p w14:paraId="7F2D5BC1" w14:textId="77777777" w:rsidR="006335E7" w:rsidRDefault="00000000">
      <w:r>
        <w:t>In this context, the Group has adopted the following policies and procedures to govern the treatment of bribery and corruption cases encountered, a Code of Conduct and Ethics, b Anti-Bribery &amp; Corruption Policy policy statement is posted on the Groups website, c Policy for Reporting Illegal or Unethical Conduct, d Management of Sponsorships and Donations.</w:t>
      </w:r>
    </w:p>
    <w:p w14:paraId="0A25FE9E" w14:textId="77777777" w:rsidR="006335E7" w:rsidRDefault="00000000">
      <w:r>
        <w:t>Recognizing that any involvement in cases of bribery not only constitutes a crime, but also reflects adversely on its reputation and client base, the Group takes the following measures aimed at limiting its exposure to bribery, a Setting out a clear approach to deal with the risk of bribery, b Establishing a robust system of internal controls that does not tolerate bribery and corruption, c Establishing mechanisms for monitoring potential incidents of bribery, d Providing confidential reporting mechanisms and encouraging their use by both staff and third parties by setting out measures for their protection.</w:t>
      </w:r>
    </w:p>
    <w:p w14:paraId="6EA59E7B" w14:textId="77777777" w:rsidR="006335E7" w:rsidRDefault="00000000">
      <w:r>
        <w:t>Group Compliance is responsible for issuing policies and procedures to combat bribery and corruption cases.</w:t>
      </w:r>
    </w:p>
    <w:p w14:paraId="62BDBF88" w14:textId="77777777" w:rsidR="006335E7" w:rsidRDefault="00000000">
      <w:r>
        <w:t>At the same time, AMLCFT and Sanctions Governance Structure, determines Roles and Responsibilities that are allocated among the Three Lines of Defence, including the role and responsibilities of the Money Laundering Reporting Officer and Group MLRO, together with ongoing training necessary to support effective execution of their roles and responsibilities.</w:t>
      </w:r>
    </w:p>
    <w:p w14:paraId="24699EFF" w14:textId="77777777" w:rsidR="006335E7" w:rsidRDefault="00000000">
      <w:r>
        <w:t>Groups implementation of the EU Taxonomy Regulation The EU Taxonomy Regulation 2020852 of the European Parliament and of the Council was adopted in 2020 by the European Parliament and represents an important step for the EU to achieve the Paris Agreement climate neutrality goals.</w:t>
      </w:r>
    </w:p>
    <w:p w14:paraId="03056745" w14:textId="474BE8C3" w:rsidR="006335E7" w:rsidRDefault="00000000">
      <w:r>
        <w:lastRenderedPageBreak/>
        <w:t>For the years 2021 and 2022, financial undertakings subject to NFRD were required to disclose the proportion of taxonomy-eligible and taxonomy non-eligible activities related to the environmental objectives of climate change adaptation and climate change mitigation</w:t>
      </w:r>
      <w:r w:rsidR="005B4B4A">
        <w:t>.</w:t>
      </w:r>
    </w:p>
    <w:p w14:paraId="01577240" w14:textId="77777777" w:rsidR="006335E7" w:rsidRDefault="00000000">
      <w:r>
        <w:t>In 2023, two new Delegated acts issued by the European Commission have been adopted, ● The Delegated Regulation 20232485, which extends the number of eligible activities in the climate change adaptation and mitigation objectives.</w:t>
      </w:r>
    </w:p>
    <w:p w14:paraId="12C6ACDD" w14:textId="77777777" w:rsidR="006335E7" w:rsidRDefault="00000000">
      <w:r>
        <w:t>For the current reporting year, credit institutions shall disclose, according to the EU Taxonomy regulation, taxonomy eligibility and taxonomy alignment information on the first two environmental objectives CCM and CCA and taxonomy eligibility information for the additional four objectives, and more specifically, a Sustainable use and protection of water and marine resources, b Transition to a circular economy, c Pollution control and prevention, and d Protection and restoration of biodiversity and ecosystems.</w:t>
      </w:r>
    </w:p>
    <w:p w14:paraId="6AE259D1" w14:textId="554F2029" w:rsidR="006335E7" w:rsidRDefault="00000000">
      <w:r>
        <w:t>Therefore, for the first time in 2023, credit institutions will publish the Green Asset Ratio</w:t>
      </w:r>
      <w:r w:rsidR="005B4B4A">
        <w:t xml:space="preserve">, </w:t>
      </w:r>
      <w:r>
        <w:t>on each of the first two environmental objectives CCM and CCA,which determines the extent to which the Groups assets finance and are invested in taxonomy-aligned economic activities, that is the ratio of the Group's taxonomyaligned assets to covered assets total assets excluding exposure to sovereigns, central banks and the trading portfolio.</w:t>
      </w:r>
    </w:p>
    <w:p w14:paraId="089C9535" w14:textId="52D1CFD8" w:rsidR="006335E7" w:rsidRDefault="00000000">
      <w:r>
        <w:t>Moreover, as required by the EU Taxonomy Regulation, activities, to be taxonomy-aligned, must meet the specific taxonomy criteria and ensure that they cause no significant harm to any of the other environmental objectives and meet minimum social safeguards</w:t>
      </w:r>
      <w:r w:rsidR="005B4B4A">
        <w:t>.</w:t>
      </w:r>
    </w:p>
    <w:p w14:paraId="7A14B58B" w14:textId="77777777" w:rsidR="006335E7" w:rsidRDefault="00000000">
      <w:r>
        <w:t>With the gradual adoption of the new Corporate Sustainability Reporting Directive by large companies, small and medium listed companies and large companies outside the EU with significant activity in the EU, the Group's KPIs are expected to improve as the number of companies subject to this new directive will increase.</w:t>
      </w:r>
    </w:p>
    <w:p w14:paraId="0785848B" w14:textId="77777777" w:rsidR="006335E7" w:rsidRDefault="00000000">
      <w:r>
        <w:t>As part of its sustainability strategy, the Group is implementing initiatives that will, among others, enable it to increase the share of taxonomy-aligned assets in the coming years, a Development of sectoral near, mid and long-term financed emissions reduction pathways, in line with science-based decarbonisation pathways.</w:t>
      </w:r>
    </w:p>
    <w:p w14:paraId="283A8351" w14:textId="77777777" w:rsidR="006335E7" w:rsidRDefault="00000000">
      <w:r>
        <w:t>The SFF has been drawn from international best practices and is based on two key guiding frameworks, The ICMA principles on sustainable financing Green Bond Principles, Green Loan Principles and Sustainabilitylinked Bond Principles and the EU Taxonomy.</w:t>
      </w:r>
    </w:p>
    <w:p w14:paraId="2C0241AA" w14:textId="77777777" w:rsidR="006335E7" w:rsidRDefault="00000000">
      <w:r>
        <w:t xml:space="preserve">Not known use of proceeds the SFF defines two other approaches, a Company Business mix Financing to companies that fulfil the eligibility green social criteria and derive </w:t>
      </w:r>
      <w:proofErr w:type="gramStart"/>
      <w:r>
        <w:t>the majority of</w:t>
      </w:r>
      <w:proofErr w:type="gramEnd"/>
      <w:r>
        <w:t xml:space="preserve"> their revenues from eligible activities.</w:t>
      </w:r>
    </w:p>
    <w:p w14:paraId="6D9DE355" w14:textId="77777777" w:rsidR="006335E7" w:rsidRDefault="00000000">
      <w:r>
        <w:t xml:space="preserve">As part of the integration of sustainable financing and the SFF into its core operations, the Group has developed governance structures and functions as well as a digital tool </w:t>
      </w:r>
      <w:r>
        <w:lastRenderedPageBreak/>
        <w:t>Sustainable Finance Framework assessment tool that facilitate the day-to-day implementation of the SFF.</w:t>
      </w:r>
    </w:p>
    <w:p w14:paraId="5D272625" w14:textId="77777777" w:rsidR="006335E7" w:rsidRDefault="00000000">
      <w:r>
        <w:t>Through the Sustainable Finance Framework assessment tool, users categorise financing to the applicable eligible activity and are guided through the assessment steps which involve substantiating alignment with the criteria of each step, including Taxonomy alignment assessment Technical Screening Criteria, Do Not Significant Harm criteria, Minimum Social Safeguards.</w:t>
      </w:r>
    </w:p>
    <w:p w14:paraId="41EF336E" w14:textId="77777777" w:rsidR="006335E7" w:rsidRDefault="00000000">
      <w:r>
        <w:t>Going forward, the Groups key priorities include the development of a strong and realistic sectoral roadmap towards net zero and the increasing client support towards climate transition and sustainable financing.</w:t>
      </w:r>
    </w:p>
    <w:p w14:paraId="1094E293" w14:textId="77777777" w:rsidR="006335E7" w:rsidRDefault="00000000">
      <w:r>
        <w:t>This information may not include economic activities under the new Delegated Acts for the additional four environmental objectives, as this information is currently limited.</w:t>
      </w:r>
    </w:p>
    <w:p w14:paraId="3AC4CC30" w14:textId="77777777" w:rsidR="006335E7" w:rsidRDefault="00000000">
      <w:r>
        <w:t>As part of the Sustainable Finance alignment procedures, standalone dedicated purpose financings are assessed to evaluate alignment with the EU Taxonomy requirements.</w:t>
      </w:r>
    </w:p>
    <w:p w14:paraId="2ADA1C6A" w14:textId="77777777" w:rsidR="006335E7" w:rsidRDefault="00000000">
      <w:r>
        <w:t>The Groups approach for the disclosures prepared as of 31 December 2023 is based on the best effort to adhere to the applicable regulations and new regulatory developments.</w:t>
      </w:r>
    </w:p>
    <w:p w14:paraId="0C80D338" w14:textId="77777777" w:rsidR="006335E7" w:rsidRDefault="00000000">
      <w:r>
        <w:t>Eligibility information for the additional four environmental objectives have not been reported for 2023 as there are no available data by the counterparties, based on the latest published taxonomy information.</w:t>
      </w:r>
    </w:p>
    <w:p w14:paraId="4533D479" w14:textId="0CC979DE" w:rsidR="006335E7" w:rsidRDefault="00000000">
      <w:r>
        <w:t>Tangible book value is the total equity excluding preference shares, preferred securities and non controlling interests minus intangible assets, Definition of capital and other selected ratios in accordance with the regulatory framework, which are included in the Report of DirectorsFinancial Statements, a Total Capital Adequacy ratio, Total regulatory capital as defined by Regulation No 5752013 as in force, based on the transitional rules for the reported period, divided by total Risk Weighted Assets</w:t>
      </w:r>
      <w:r w:rsidR="005B4B4A">
        <w:t>.</w:t>
      </w:r>
    </w:p>
    <w:p w14:paraId="706B0A95" w14:textId="5F1C3F25" w:rsidR="006335E7" w:rsidRDefault="00000000">
      <w:r>
        <w:t xml:space="preserve">Source of financial Information </w:t>
      </w:r>
      <w:proofErr w:type="gramStart"/>
      <w:r>
        <w:t>The</w:t>
      </w:r>
      <w:proofErr w:type="gramEnd"/>
      <w:r>
        <w:t xml:space="preserve"> Directors Report includes financial data and measures as derived from the Companys consolidated financial statements for the year ended 31 December 2023 and for the year ended 31 December 2022, which have been prepared in accordance with International Financial Reporting Standards</w:t>
      </w:r>
      <w:r w:rsidR="005B4B4A">
        <w:t>.</w:t>
      </w:r>
    </w:p>
    <w:p w14:paraId="5581F428" w14:textId="77777777" w:rsidR="006335E7" w:rsidRDefault="00000000">
      <w:r>
        <w:t>Adoption of the Hellenic Corporate Governance Code In compliance with art.</w:t>
      </w:r>
    </w:p>
    <w:p w14:paraId="7580904C" w14:textId="77777777" w:rsidR="006335E7" w:rsidRDefault="00000000">
      <w:r>
        <w:t>Chadolias has served within Eurobank Group as Deputy Company Secretary September 2016 January 2021, Head of Group Corporate Governance Division September 2009 August 2016 and Subsidiaries Control and Compliance Manager December 2006 September 2009.</w:t>
      </w:r>
    </w:p>
    <w:p w14:paraId="602CB7C8" w14:textId="77777777" w:rsidR="006335E7" w:rsidRDefault="00000000">
      <w:r>
        <w:t>As per the Articles of Association of HoldCoBank, in compliance with Law 45482018, the Board can consist of three, to fifteen, members.</w:t>
      </w:r>
    </w:p>
    <w:p w14:paraId="2E935D62" w14:textId="77777777" w:rsidR="006335E7" w:rsidRDefault="00000000">
      <w:r>
        <w:lastRenderedPageBreak/>
        <w:t>These IGCMs, designed to comply with legal and regulatory standards related to corporate governance, detail the comprehensive framework guiding the direction and supervision of HoldCoBank.</w:t>
      </w:r>
    </w:p>
    <w:p w14:paraId="66723764" w14:textId="77777777" w:rsidR="006335E7" w:rsidRDefault="00000000">
      <w:r>
        <w:t>Additionally, they are tasked with, monitoring and evaluating the strategy and its execution, along with assessing the attainment of objectives, ensuring effective oversight of the executive members, including monitoring and evaluating their performance, reviewing and providing feedback on proposals presented by the Executive Directors based on available information, approving, revising, and overseeing the implementation of the remuneration policy at the Group level.</w:t>
      </w:r>
    </w:p>
    <w:p w14:paraId="46C3D969" w14:textId="77777777" w:rsidR="006335E7" w:rsidRDefault="00000000">
      <w:r>
        <w:t>The non-Executive Directors have the authority to request, following HoldCo'sBank's established internal procedures, to engage with the executives of the company's senior management.</w:t>
      </w:r>
    </w:p>
    <w:p w14:paraId="62786211" w14:textId="77777777" w:rsidR="006335E7" w:rsidRDefault="00000000">
      <w:r>
        <w:t>In addition, it is noted that directorships in organizations, which do not pursue predominantly commercial objectives, do not count for regulatory purposes.</w:t>
      </w:r>
    </w:p>
    <w:p w14:paraId="3F57069C" w14:textId="77777777" w:rsidR="006335E7" w:rsidRDefault="00000000">
      <w:r>
        <w:t>Its objective is to ensure that remuneration is fair, gender-neutral, and adequate to retain and attract directors possessing the necessary skills and experience to develop and implement Eurobank Holdings business strategy.</w:t>
      </w:r>
    </w:p>
    <w:p w14:paraId="08A55FBF" w14:textId="77777777" w:rsidR="006335E7" w:rsidRDefault="00000000">
      <w:r>
        <w:t>The remuneration framework defines the salary structure and ranges, tailored to attract and retain talented individuals appropriately.</w:t>
      </w:r>
    </w:p>
    <w:p w14:paraId="4B56EA64" w14:textId="77777777" w:rsidR="006335E7" w:rsidRDefault="00000000">
      <w:r>
        <w:t>In establishing the Remuneration Policy, external and independently produced benchmarking analyses of remuneration in the financial and banking sectors in Greece are utilized.</w:t>
      </w:r>
    </w:p>
    <w:p w14:paraId="606AED85" w14:textId="77777777" w:rsidR="006335E7" w:rsidRDefault="00000000">
      <w:r>
        <w:t>This benchmarking also includes the remuneration framework for Board members, ensuring alignment with industry standards and best practices.</w:t>
      </w:r>
    </w:p>
    <w:p w14:paraId="0126F670" w14:textId="77777777" w:rsidR="006335E7" w:rsidRDefault="00000000">
      <w:r>
        <w:t>These duties collectively contribute to the effective governance, strategic direction, risk management, and sustainable growth of the HoldCoBank and its operations.</w:t>
      </w:r>
    </w:p>
    <w:p w14:paraId="4EC8E879" w14:textId="77777777" w:rsidR="006335E7" w:rsidRDefault="00000000">
      <w:r>
        <w:t>The most recent Board Strategy Day took place on 29 and 30 September 2023, with a primary focus on Transformation priorities and in-depth analyses of key transformation streams.</w:t>
      </w:r>
    </w:p>
    <w:p w14:paraId="0C8B563C" w14:textId="77777777" w:rsidR="006335E7" w:rsidRDefault="00000000">
      <w:r>
        <w:t>The key findings in different areas are as follows, Strategy, Positive impression regarding the Board's role in strategy, including review and approval of business plans and budget.</w:t>
      </w:r>
    </w:p>
    <w:p w14:paraId="5877E66E" w14:textId="77777777" w:rsidR="006335E7" w:rsidRDefault="00000000">
      <w:r>
        <w:t>Strategic HR and Remuneration, Improvement noted in remuneration practices.</w:t>
      </w:r>
    </w:p>
    <w:p w14:paraId="0ACFF15E" w14:textId="77777777" w:rsidR="006335E7" w:rsidRDefault="00000000">
      <w:r>
        <w:t>The assessment focused on evaluating whether the Board of Directors collectively possesses the necessary knowledge, skills, and experience to understand the business model, strategy, risks, and various governance-related matters.</w:t>
      </w:r>
    </w:p>
    <w:p w14:paraId="666B49BC" w14:textId="77777777" w:rsidR="006335E7" w:rsidRDefault="00000000">
      <w:r>
        <w:lastRenderedPageBreak/>
        <w:t>In addition, in the context of ACs responsibility to safeguard External Auditors independence, the AC ensures that the nature of non-audit services, prior to their being undertaken by the External Auditors, has been reviewed and approved as required and that there is proper balance between audit and non-audit work in accordance with Groups Banks policy on External Auditors Independence.</w:t>
      </w:r>
    </w:p>
    <w:p w14:paraId="3CF8A00B" w14:textId="77777777" w:rsidR="006335E7" w:rsidRDefault="00000000">
      <w:r>
        <w:t>AC MembershipComposition The HoldCoBanks AC are Committees consisted exclusively by Board members and their compositions have been approved by the General Meetings of the Shareholders as per the legal framework, following the recommendation of the NomCos to the Boards.</w:t>
      </w:r>
    </w:p>
    <w:p w14:paraId="29208B4E" w14:textId="77777777" w:rsidR="006335E7" w:rsidRDefault="00000000">
      <w:r>
        <w:t>All AC members have sufficient knowledge in the field of HoldCoBanks activities and the necessary skills and experience to carry out their duties and meet the requirement of established knowledge and experience in auditing andor accounting.</w:t>
      </w:r>
    </w:p>
    <w:p w14:paraId="608D09D9" w14:textId="77777777" w:rsidR="006335E7" w:rsidRDefault="00000000">
      <w:r>
        <w:t>However, the evaluation identified areas for improvement, notably the need for enhanced oversight on critical audit and compliance issues within major subsidiaries.</w:t>
      </w:r>
    </w:p>
    <w:p w14:paraId="1DBFB3DC" w14:textId="77777777" w:rsidR="006335E7" w:rsidRDefault="00000000">
      <w:r>
        <w:t>There was also a call for strengthening cybersecurity mechanisms and Anti- Money Laundering controls and measures.</w:t>
      </w:r>
    </w:p>
    <w:p w14:paraId="5E63B338" w14:textId="77777777" w:rsidR="006335E7" w:rsidRDefault="00000000">
      <w:r>
        <w:t>ACs Activity in 2023 For 2023, AC has amongst others, Eurobank Holdings Bank decided on its constitution reconstitution and the appointment of its Chairman approved the revised Internal Audit Mandate and Terms of Reference ToR and the revised Compliance Mandate approved the annual Plans of Internal Audit and Compliance and monitored their progress reviewed and discussed reports with information relating mainly to the Internal Audit and Compliance issues, including quarterly reports from Internal Audit and Compliance functions received updates on various legal and regulatory issues ensured that an annual evaluation of the System of Internal Controls for the year 2022 has been performed and documented by Internal Audit and prepared its own assessment report on Internal Audits evaluation.</w:t>
      </w:r>
    </w:p>
    <w:p w14:paraId="31DF634E" w14:textId="77777777" w:rsidR="006335E7" w:rsidRDefault="00000000">
      <w:r>
        <w:t>The reports were further submitted to the Board and the BoG in line with the BoG Act 25772006 reviewed the annual Compliance Sectors reports over compliance activities for the year 2022 and prepared its own assessment report thereon.</w:t>
      </w:r>
    </w:p>
    <w:p w14:paraId="61F179C1" w14:textId="77777777" w:rsidR="006335E7" w:rsidRDefault="00000000">
      <w:r>
        <w:t>The reports were further submitted to the Board and the BoG, in line with the BoG Governors Act 25772006 reviewed and depending on the case, approved or approved and further submitted to the BoD for approval information a the revised Code of Conduct and Ethics, b the revised Policy for Reporting Illegal or Unethical Conduct and the appointment of Report Receiving &amp; Monitoring Officer in Greece, c the revised Group Antitrust Compliance Policy, d the revised Compliance Policy, e the revised Conflict of Interest Group Policy, f the revised Anti-bribery and Corruption Policy g the revised Insider Dealing Guideline, h the revised Inducements Policy, i the revised AMLCFT and Sanctions Policy, j the revised Order Execution Policy.</w:t>
      </w:r>
    </w:p>
    <w:p w14:paraId="07D8D9D4" w14:textId="77777777" w:rsidR="006335E7" w:rsidRDefault="00000000">
      <w:r>
        <w:lastRenderedPageBreak/>
        <w:t>It is noted that in accordance with the Law 44492017 as in force, the HoldCoBank ACs submit an annual activity report to their Shareholders Annual General Meeting on the issues dealt with by the ACs during the previous year, also including a description of the sustainability policy followed by each entity.</w:t>
      </w:r>
    </w:p>
    <w:p w14:paraId="25293F08" w14:textId="77777777" w:rsidR="006335E7" w:rsidRDefault="00000000">
      <w:r>
        <w:t>The 2023 HoldCoBank AC Activity Reports which are also part of the 2023 HoldCoBank Annual Financial Reports, refer to the AC activity during 2023, the issues addressed and the sustainability policy.</w:t>
      </w:r>
    </w:p>
    <w:p w14:paraId="3A63E568" w14:textId="77777777" w:rsidR="006335E7" w:rsidRDefault="00000000">
      <w:r>
        <w:t>BRC MembershipComposition The BRC members are appointed by the BoD, following the recommendation of the NomCo, in accordance with the legal and regulatory framework where applicable.</w:t>
      </w:r>
    </w:p>
    <w:p w14:paraId="256495E8" w14:textId="77777777" w:rsidR="006335E7" w:rsidRDefault="00000000">
      <w:r>
        <w:t>Specifically, the BRC's oversight of local market risks and its focus on risks related to cybersecurity, data protection, and geopolitics were identified as areas that should be enhanced.</w:t>
      </w:r>
    </w:p>
    <w:p w14:paraId="1ED7B7EE" w14:textId="77777777" w:rsidR="006335E7" w:rsidRDefault="00000000">
      <w:r>
        <w:t>OSI regarding IT Outsourcing SRT Securitisations performance updates ALM tool governance framework guideline approved several policies incl.</w:t>
      </w:r>
    </w:p>
    <w:p w14:paraId="54B7E659" w14:textId="77777777" w:rsidR="006335E7" w:rsidRDefault="00000000">
      <w:r>
        <w:t>However, the evaluation also emphasized the need to maintain a focus on remuneration matters.</w:t>
      </w:r>
    </w:p>
    <w:p w14:paraId="2E0CC9B6" w14:textId="77777777" w:rsidR="006335E7" w:rsidRDefault="00000000">
      <w:r>
        <w:t>This ongoing assessment ensures that remuneration practices remain competitive and aligned with industry standards.</w:t>
      </w:r>
    </w:p>
    <w:p w14:paraId="3BA31BBE" w14:textId="77777777" w:rsidR="006335E7" w:rsidRDefault="00000000">
      <w:r>
        <w:t>However, the Eurobank NomCo has the overall responsibility to oversee that the NomCos of subsidiaries comply with its standards, modus operandi and governance framework.</w:t>
      </w:r>
    </w:p>
    <w:p w14:paraId="7B6C0C94" w14:textId="77777777" w:rsidR="006335E7" w:rsidRDefault="00000000">
      <w:r>
        <w:t>The Committee believes that more attention should be given to succession planning efforts, which should include additional training and career planning for potential successors.</w:t>
      </w:r>
    </w:p>
    <w:p w14:paraId="7B2B91AF" w14:textId="77777777" w:rsidR="006335E7" w:rsidRDefault="00000000">
      <w:r>
        <w:t>The NomCo is responsible for considering diversity when assessing the composition and structure of the Board.</w:t>
      </w:r>
    </w:p>
    <w:p w14:paraId="5180D372" w14:textId="77777777" w:rsidR="006335E7" w:rsidRDefault="00000000">
      <w:r>
        <w:t>One of the specific targets outlined in the Policy is related to gender diversity.</w:t>
      </w:r>
    </w:p>
    <w:p w14:paraId="563C9368" w14:textId="77777777" w:rsidR="006335E7" w:rsidRDefault="00000000">
      <w:r>
        <w:t>This indicates that the HoldCoBank is meeting its diversity objectives, particularly concerning gender representation on the Board.</w:t>
      </w:r>
    </w:p>
    <w:p w14:paraId="6CEFD232" w14:textId="77777777" w:rsidR="006335E7" w:rsidRDefault="00000000">
      <w:r>
        <w:t>These efforts are aimed at creating a pipeline of eligible female professionals who can potentially join the Executive Committee andor Board.</w:t>
      </w:r>
    </w:p>
    <w:p w14:paraId="475FCB10" w14:textId="77777777" w:rsidR="006335E7" w:rsidRDefault="00000000">
      <w:r>
        <w:t>Additionally, the Bank is actively involved in initiatives like the Boardroom initiative in Greece, which supports senior female leaders aiming to become Board members in major organizations.</w:t>
      </w:r>
    </w:p>
    <w:p w14:paraId="40FE0B3D" w14:textId="77777777" w:rsidR="006335E7" w:rsidRDefault="00000000">
      <w:r>
        <w:lastRenderedPageBreak/>
        <w:t>These efforts reflect a strong commitment to promoting gender diversity and supporting the professional growth of women within the organization.</w:t>
      </w:r>
    </w:p>
    <w:p w14:paraId="6D02089C" w14:textId="0C93F528" w:rsidR="006335E7" w:rsidRDefault="00000000">
      <w:r>
        <w:t xml:space="preserve">The Policy ensures that such appointments are </w:t>
      </w:r>
      <w:proofErr w:type="gramStart"/>
      <w:r>
        <w:t>made,</w:t>
      </w:r>
      <w:r w:rsidR="005B4B4A">
        <w:t>,</w:t>
      </w:r>
      <w:proofErr w:type="gramEnd"/>
      <w:r w:rsidR="005B4B4A">
        <w:t xml:space="preserve"> </w:t>
      </w:r>
      <w:r>
        <w:t>in accordance with legal and regulatory requirements.</w:t>
      </w:r>
    </w:p>
    <w:p w14:paraId="021146A1" w14:textId="77777777" w:rsidR="006335E7" w:rsidRDefault="00000000">
      <w:r>
        <w:t>Management Committees Given that there is no relevant regulatory requirement neither a business need, the CEO has not established committees at HoldCo level.</w:t>
      </w:r>
    </w:p>
    <w:p w14:paraId="6BCF4F00" w14:textId="77777777" w:rsidR="006335E7" w:rsidRDefault="00000000">
      <w:r>
        <w:t>She also held positions in Citigroup- Citibank International Plc as Head of HR Vice President, Global Corporate and Investment Banking Group, July 2006 June 2008 and Head of Training &amp; Development Assistant Vice President, Consumer Banking Group, February 2004 July 2006 She holds a MSc in Industrial Relations and Personnel Management from the London School of Economics and Political Science 1995-1996 and a BA in English Language and Literature from the University of Athens, School of Philosophy 1991-1995.</w:t>
      </w:r>
    </w:p>
    <w:p w14:paraId="0B169BE8" w14:textId="77777777" w:rsidR="006335E7" w:rsidRDefault="00000000">
      <w:r>
        <w:t>The ExBo manages the implementation of Groups strategy in line with the Boards guidance.</w:t>
      </w:r>
    </w:p>
    <w:p w14:paraId="7D67C2B5" w14:textId="77777777" w:rsidR="006335E7" w:rsidRDefault="00000000">
      <w:r>
        <w:t>The MRC understands and evaluates risks, addresses escalated issues, provides oversight of the Groups risk management framework including the implementation of risk policies and informs the BRC of the Groups risk profile.</w:t>
      </w:r>
    </w:p>
    <w:p w14:paraId="10A59923" w14:textId="77777777" w:rsidR="006335E7" w:rsidRDefault="00000000">
      <w:r>
        <w:t>The MRC does not conflict with the GCRO or the Risk Management General Divisions responsibilities for Risk governance as prescribed under the Bank of Greeces Governor Act no.</w:t>
      </w:r>
    </w:p>
    <w:p w14:paraId="3BF07F19" w14:textId="77777777" w:rsidR="006335E7" w:rsidRDefault="00000000">
      <w:r>
        <w:t>The key tasks and responsibilities of G-ALCO involve the following broad areas, Approval of general policies and guidelines, compliance with regulatory requirements, review of activitiesinvestments, risks &amp; exposures Liquidity Risk Interest Rate Risk in the Banking Book and Credit Spread Risk in the Banking Book Key reports reviewed by G-ALCO, Deposit rates evolution per business unit and market share evolution Greece LCR &amp; NSFR evolution on a monthly basis at a Solo and Group level Liquidity buffer analysis Solo, Group, and per country.</w:t>
      </w:r>
    </w:p>
    <w:p w14:paraId="1448C271" w14:textId="77777777" w:rsidR="006335E7" w:rsidRDefault="00000000">
      <w:r>
        <w:t>G ALCOs self-evaluation for 2023 is in progress, while according to G-ALCOs self-evaluation for 2022, it was determined that, i its members engagement is well appropriate, ii the G-ALCO continues to function effectively in relation to its mandate and responsibilities, with members engaging in critical discussions during meetings on key risk issues, iii in light of the increasing complexity and importance of issues arising, the evolution of the regulatory framework and emergence of additional risk considerations, G-ALCO should improve its organizational and operational efficiency with increasing frequency andor length of meetings as may be required to remain as effective.</w:t>
      </w:r>
    </w:p>
    <w:p w14:paraId="46583328" w14:textId="77777777" w:rsidR="006335E7" w:rsidRDefault="00000000">
      <w:r>
        <w:t>Furthermore, for exposures higher than 10% or 20% for selected borrowers where no single risk exists of the Banks regulatory capital the additional approval of the Management Risk Committee is required.</w:t>
      </w:r>
    </w:p>
    <w:p w14:paraId="40AF51A9" w14:textId="77777777" w:rsidR="006335E7" w:rsidRDefault="00000000">
      <w:r>
        <w:lastRenderedPageBreak/>
        <w:t>TACs propositions regarding NPE policy updates are submitted to the Board Risk Committee.</w:t>
      </w:r>
    </w:p>
    <w:p w14:paraId="20DC88DA" w14:textId="77777777" w:rsidR="006335E7" w:rsidRDefault="00000000">
      <w:r>
        <w:t>TACs main responsibilities, review internal reports regarding troubled assets management under the regulatory provisions, approve the available forbearance, resolution and closure solutions by loan sub-portfolio, and monitor their performance through Key Performance Indicators KPIs, define the criteria to assess the sustainability of credit and collateral workout solutions through the design and use of decision trees, approve, monitor and assess pilot modification programmes and supervise and provide guidance and know-how to the respective troubled assets units of Eurobanks subsidiaries abroad.</w:t>
      </w:r>
    </w:p>
    <w:p w14:paraId="477ADF79" w14:textId="77777777" w:rsidR="006335E7" w:rsidRDefault="00000000">
      <w:r>
        <w:t>In compliance with the provisions of the Management Committees Policy and its Terms of Reference, TAC is in the process of conducting the self-evaluation for 2023, while for 2022, the evaluation concluded that the committee operates effectively, in the areas of Profile and Composition, Organization &amp; Administration as well as regarding the Key Tasks and Responsibilities.</w:t>
      </w:r>
    </w:p>
    <w:p w14:paraId="4FDBFB59" w14:textId="77777777" w:rsidR="006335E7" w:rsidRDefault="00000000">
      <w:r>
        <w:t>Products &amp; Services Committee 17 Products &amp; Services Committee is responsible for creating and supervising the governance framework for the products and services offered to Eurobanks clients in Greece through the physical and alternative channels, in accordance with the supervisory and regulatory requirements.</w:t>
      </w:r>
    </w:p>
    <w:p w14:paraId="45466FBB" w14:textId="77777777" w:rsidR="006335E7" w:rsidRDefault="00000000">
      <w:r>
        <w:t>A governance framework assessing financial and non-financial risks is in place.</w:t>
      </w:r>
    </w:p>
    <w:p w14:paraId="3A393013" w14:textId="77777777" w:rsidR="006335E7" w:rsidRDefault="00000000">
      <w:r>
        <w:t>IAG comprises the Internal Audit Sector, the Forensic Audit Division, the International Audit Division and the Business Monitoring and Organisational Support Division.</w:t>
      </w:r>
    </w:p>
    <w:p w14:paraId="3EF62C42" w14:textId="77777777" w:rsidR="006335E7" w:rsidRDefault="00000000">
      <w:r>
        <w:t>QAF operates as Centre of Excellence for Audit Standards &amp; Methodology, acting as an advisor to IAG Management in topics related to quality improvement and methodology.</w:t>
      </w:r>
    </w:p>
    <w:p w14:paraId="050CB446" w14:textId="77777777" w:rsidR="006335E7" w:rsidRDefault="00000000">
      <w:r>
        <w:t>The key assurance and consulting responsibilities of IAG are to, provide reasonable assurance, in the form of an independent opinion, as to the adequacy and effectiveness of the internal control framework of the Bank and its subsidiaries.</w:t>
      </w:r>
    </w:p>
    <w:p w14:paraId="536CA22B" w14:textId="77777777" w:rsidR="006335E7" w:rsidRDefault="00000000">
      <w:r>
        <w:t>It comprises the Group Credit, the Group Credit Control, the Group Credit Risk Capital Adequacy Control, the Group Market &amp; Counterparty Risk, the Group Operational and Non-financial Risks, the Group Model Validation &amp; Governance, the Group Risk Management Strategy Planning Operations &amp; Climate Risk, the Risk Analytics and the Supervisory Relations &amp; Resolution Planning20 Units.</w:t>
      </w:r>
    </w:p>
    <w:p w14:paraId="09962311" w14:textId="6020952E" w:rsidR="006335E7" w:rsidRDefault="00000000">
      <w:r>
        <w:t>The GCRO develops and formalises the Risk Appetite Framework</w:t>
      </w:r>
      <w:r w:rsidR="005B4B4A">
        <w:t xml:space="preserve">, </w:t>
      </w:r>
      <w:r>
        <w:t>defines the Risk Appetite Statements</w:t>
      </w:r>
      <w:r w:rsidR="005B4B4A">
        <w:t xml:space="preserve">, </w:t>
      </w:r>
      <w:r>
        <w:t>and submits them to the Board Risk Committee for approval.</w:t>
      </w:r>
    </w:p>
    <w:p w14:paraId="5FCBF5AD" w14:textId="38D2F185" w:rsidR="006335E7" w:rsidRDefault="00000000">
      <w:r>
        <w:t>The GCRO oversees compliance with approved Risk Appetite Limits and reports to the BRC the compliance status and any deviations, as stipulated in the Risk Appetite Framework</w:t>
      </w:r>
      <w:r w:rsidR="005B4B4A">
        <w:t>.</w:t>
      </w:r>
    </w:p>
    <w:p w14:paraId="2E9CD806" w14:textId="77777777" w:rsidR="006335E7" w:rsidRDefault="00000000">
      <w:r>
        <w:lastRenderedPageBreak/>
        <w:t>Risk Management along with Compliance and other Units are involved in the assessment of all products and services throughout their lifecycle.</w:t>
      </w:r>
    </w:p>
    <w:p w14:paraId="5218206A" w14:textId="77777777" w:rsidR="006335E7" w:rsidRDefault="00000000">
      <w:r>
        <w:t>Line 2 Monitor risk and controls in support of Executive Management, providing oversight, challenge, advice and groupwide direction.</w:t>
      </w:r>
    </w:p>
    <w:p w14:paraId="02A0723B" w14:textId="77777777" w:rsidR="006335E7" w:rsidRDefault="00000000">
      <w:r>
        <w:t>These include the Risk Management and Compliance Units, among others.</w:t>
      </w:r>
    </w:p>
    <w:p w14:paraId="604AEE3D" w14:textId="77777777" w:rsidR="006335E7" w:rsidRDefault="00000000">
      <w:r>
        <w:t>In order to safeguard its independence, Eurobank Holdings Compliance reports functionally to the Audit Committee of Eurobank Holdings and for administrative purposes to the CEO.</w:t>
      </w:r>
    </w:p>
    <w:p w14:paraId="35A28BD4" w14:textId="77777777" w:rsidR="006335E7" w:rsidRDefault="00000000">
      <w:r>
        <w:t>The Head of Compliance attends all AC meetings and submits quarterly and annually reports per regulatory requirements summarising Compliances activity and highlighting the main compliance issues.</w:t>
      </w:r>
    </w:p>
    <w:p w14:paraId="37DB238D" w14:textId="77777777" w:rsidR="006335E7" w:rsidRDefault="00000000">
      <w:r>
        <w:t>Its mission is to promote, within Eurobank Holdings, an organizational culture that encourages ethical conduct, and a commitment to compliance with laws and regulations as well as global governance standards.</w:t>
      </w:r>
    </w:p>
    <w:p w14:paraId="6CEFA266" w14:textId="77777777" w:rsidR="006335E7" w:rsidRDefault="00000000">
      <w:r>
        <w:t>The main objective of Eurobank Holdings Compliance is to ensure that Eurobank Holdings has established an adequate system of internal controls that allows it to operate in accordance with the ethical set of values contained in its Code of Conduct and Ethics and in compliance with applicable laws, regulations and internal policies.</w:t>
      </w:r>
    </w:p>
    <w:p w14:paraId="40361C84" w14:textId="77777777" w:rsidR="006335E7" w:rsidRDefault="00000000">
      <w:r>
        <w:t>In order to safeguard its independence, Group Compliance reports functionally to the the Board of Directors through Audit Committee of the Bank and for administrative purposes21 to the CEO.</w:t>
      </w:r>
    </w:p>
    <w:p w14:paraId="76F0B85C" w14:textId="77777777" w:rsidR="006335E7" w:rsidRDefault="00000000">
      <w:r>
        <w:t>Its mission is to promote, within Eurobank and its subsidiaries Eurobank group, an organizational culture that encourages ethical conduct through integrity and a commitment to compliance with laws and regulations as well as the application of international governance standards.</w:t>
      </w:r>
    </w:p>
    <w:p w14:paraId="0BDD9B69" w14:textId="77777777" w:rsidR="006335E7" w:rsidRDefault="00000000">
      <w:r>
        <w:t>The main objective of Group Compliance is to ensure that the Eurobank group has established an adequate system of internal controls that allows it to operate in accordance with the ethical set of values contained in its Code of Conduct and Ethics and in compliance with applicable laws, regulations and internal policies, as well as international best practices.</w:t>
      </w:r>
    </w:p>
    <w:p w14:paraId="4F9FB388" w14:textId="77777777" w:rsidR="006335E7" w:rsidRDefault="00000000">
      <w:r>
        <w:t>The scope of activities of Group Compliance covers the following core regulatory topics, Financial Crime including laws and regulations on Anti Money Laundering and Countering the Financing of Terrorism and legislation aimed at combatting Tax evasion such as FATCA and CRS tax compliance.</w:t>
      </w:r>
    </w:p>
    <w:p w14:paraId="3CB73E93" w14:textId="77777777" w:rsidR="006335E7" w:rsidRDefault="00000000">
      <w:r>
        <w:t>Group Compliance has an overlay role over the regulatory framework concerning personal data protection, corporate governance, prudential regulation credit market, liquidity and operational risk, information &amp; IT security, cyber security risk, outsourcing and ESG.</w:t>
      </w:r>
    </w:p>
    <w:p w14:paraId="5CE862E5" w14:textId="77777777" w:rsidR="006335E7" w:rsidRDefault="00000000">
      <w:r>
        <w:lastRenderedPageBreak/>
        <w:t>In this context Group Compliance performs a high-level monitoring through compliance risk assessments of the alignment of the Banks activities with regulatory requirements.</w:t>
      </w:r>
    </w:p>
    <w:p w14:paraId="5A26CEB2" w14:textId="77777777" w:rsidR="006335E7" w:rsidRDefault="00000000">
      <w:r>
        <w:t>System of Internal Controls Principles of Internal Controls The Group has established a robust System of Internal Controls that aligns with international best practices and utilizes COSO terminology.</w:t>
      </w:r>
    </w:p>
    <w:p w14:paraId="1DD464E6" w14:textId="77777777" w:rsidR="006335E7" w:rsidRDefault="00000000">
      <w:r>
        <w:t>This system is designed to provide reasonable assurance regarding the achievement of objectives in key categories, Efficient and Effective Operations, The Group's internal controls ensure that operations are conducted efficiently and effectively, promoting productivity and optimal resource utilization.</w:t>
      </w:r>
    </w:p>
    <w:p w14:paraId="782F840C" w14:textId="77777777" w:rsidR="006335E7" w:rsidRDefault="00000000">
      <w:r>
        <w:t>Internal controls are designed to ensure adherence to legal requirements and mitigate regulatory risks.</w:t>
      </w:r>
    </w:p>
    <w:p w14:paraId="51E9BEEA" w14:textId="77777777" w:rsidR="006335E7" w:rsidRDefault="00000000">
      <w:r>
        <w:t>It includes factors such as management's integrity and ethical values, recruitment and training policies, organizational structure, and delegation of authority.</w:t>
      </w:r>
    </w:p>
    <w:p w14:paraId="0F4DE8E8" w14:textId="77777777" w:rsidR="006335E7" w:rsidRDefault="00000000">
      <w:r>
        <w:t>The risk management framework is dynamic and evolves to address new and emerging risks.</w:t>
      </w:r>
    </w:p>
    <w:p w14:paraId="3AECD437" w14:textId="77777777" w:rsidR="006335E7" w:rsidRDefault="00000000">
      <w:r>
        <w:t>Strategic Planning, A description of strategic planning processes is provided, including development, implementation, and periodic evaluation of strategic objectives.</w:t>
      </w:r>
    </w:p>
    <w:p w14:paraId="2A9603D8" w14:textId="77777777" w:rsidR="006335E7" w:rsidRDefault="00000000">
      <w:r>
        <w:t>Directorates and Departments, Tasks of directorates, departments, and job descriptions are defined to ensure clarity in roles and responsibilities.</w:t>
      </w:r>
    </w:p>
    <w:p w14:paraId="581E4258" w14:textId="77777777" w:rsidR="006335E7" w:rsidRDefault="00000000">
      <w:r>
        <w:t>Policies and Procedures, Policies and procedures for important operations are documented, including internal controls for risk management.</w:t>
      </w:r>
    </w:p>
    <w:p w14:paraId="1BE411BF" w14:textId="77777777" w:rsidR="006335E7" w:rsidRDefault="00000000">
      <w:r>
        <w:t>Compliance Processes, Processes for compliance with legal and regulatory frameworks are established to ensure adherence to laws and regulations.</w:t>
      </w:r>
    </w:p>
    <w:p w14:paraId="178995D2" w14:textId="77777777" w:rsidR="006335E7" w:rsidRDefault="00000000">
      <w:r>
        <w:t>Financial Information Integrity, Processes ensure the integrity and reliability of financial information through accurate reporting and controls.</w:t>
      </w:r>
    </w:p>
    <w:p w14:paraId="14454D11" w14:textId="77777777" w:rsidR="006335E7" w:rsidRDefault="00000000">
      <w:r>
        <w:t>Environmental Policies, Policies for environmental management and other ESG factors are recorded to address sustainability and social responsibility.</w:t>
      </w:r>
    </w:p>
    <w:p w14:paraId="41AA4C5C" w14:textId="77777777" w:rsidR="006335E7" w:rsidRDefault="00000000">
      <w:r>
        <w:t>These policies and procedures are part of the corporate governance system's assessment and are regularly reviewed and updated to align with best practices and regulatory requirements.</w:t>
      </w:r>
    </w:p>
    <w:p w14:paraId="3D402E54" w14:textId="77777777" w:rsidR="006335E7" w:rsidRDefault="00000000">
      <w:r>
        <w:t>Evaluation of the System of Internal Controls The Bank's AC is responsible for annually reviewing and evaluating the adequacy of the Internal Control System of both the Bank and its subsidiaries.</w:t>
      </w:r>
    </w:p>
    <w:p w14:paraId="623E1C3D" w14:textId="77777777" w:rsidR="006335E7" w:rsidRDefault="00000000">
      <w:r>
        <w:lastRenderedPageBreak/>
        <w:t>The AC utilizes oversight and reporting mechanisms established with the Audit Committees of the Bank's Subsidiaries to ensure a comprehensive assessment.</w:t>
      </w:r>
    </w:p>
    <w:p w14:paraId="03CE3432" w14:textId="77777777" w:rsidR="006335E7" w:rsidRDefault="00000000">
      <w:r>
        <w:t>The AC ensures a thorough assessment of the HoldCo's ICS to uphold standards of governance and compliance.</w:t>
      </w:r>
    </w:p>
    <w:p w14:paraId="18B50216" w14:textId="77777777" w:rsidR="006335E7" w:rsidRDefault="00000000">
      <w:r>
        <w:t>The Banks approach to sustainability is attached to its ambitious vision to reimagine its business and its operations in a transformative journey to the next decade towards a lower carbon future, an innovative digital environment that enhances the potential of its clients, a diverse, inclusive and equitable society, and a governance environment that builds trust in the market.</w:t>
      </w:r>
    </w:p>
    <w:p w14:paraId="731DC800" w14:textId="77777777" w:rsidR="006335E7" w:rsidRDefault="00000000">
      <w:r>
        <w:t>Eurobank has expressed the Environmental, Social, Governance aspect of its business through the lens of Impact generation.</w:t>
      </w:r>
    </w:p>
    <w:p w14:paraId="588EA92D" w14:textId="77777777" w:rsidR="006335E7" w:rsidRDefault="00000000">
      <w:r>
        <w:t>The Sustainability Strategy has been defined in a holistic approach across two pillars of impact, the operational impact arising from its own activities and the financed impact resulting from the Banks lending and investing activities to specific sectors and clients.</w:t>
      </w:r>
    </w:p>
    <w:p w14:paraId="73FD02E1" w14:textId="77777777" w:rsidR="006335E7" w:rsidRDefault="00000000">
      <w:r>
        <w:t>These two pillars of impact aim to capture the essence of the Banks business effect on the climate, the protection of the natural environment, its contribution to addressing societal challenges at large, the prosperity of its own people, its contribution to raising business capacity in the markets where the Bank operates, and the internal processes that build and secure the confidence of its stakeholders.</w:t>
      </w:r>
    </w:p>
    <w:p w14:paraId="4C646248" w14:textId="77777777" w:rsidR="006335E7" w:rsidRDefault="00000000">
      <w:r>
        <w:t>Eurobank has designed, approved and currently implements the Sustainability Strategy including targets and commitments along the two key pillars, A.</w:t>
      </w:r>
    </w:p>
    <w:p w14:paraId="421B3740" w14:textId="77777777" w:rsidR="006335E7" w:rsidRDefault="00000000">
      <w:r>
        <w:t>Social and business impact, Sustainable procurement, socio-economic effect, transparency.</w:t>
      </w:r>
    </w:p>
    <w:p w14:paraId="29237CF3" w14:textId="77777777" w:rsidR="006335E7" w:rsidRDefault="00000000">
      <w:r>
        <w:t>Focusing on the social aspect of ESG, Eurobank has taken actions that outline its corporate values, principles and commitments by issuing the Human Rights Statement, the Diversity, Equity and Inclusion Policy as well as the Policy against Harassment and Violence in Workplace.</w:t>
      </w:r>
    </w:p>
    <w:p w14:paraId="517D42EE" w14:textId="77777777" w:rsidR="006335E7" w:rsidRDefault="00000000">
      <w:r>
        <w:t>In order to further enhance its efforts against Harassment and Violence in Workplace, the Bank has introduced a relevant focused training program to all employees.</w:t>
      </w:r>
    </w:p>
    <w:p w14:paraId="6157CDAC" w14:textId="5556CA04" w:rsidR="006335E7" w:rsidRDefault="00000000">
      <w:r>
        <w:t>This approach outlines zerotolerance for various types of violation and discrimination as well as for the equal opportunities with fairness and meritocracy and irrespective of gender, nationality, age or other traits throughout the entire employee life cycle</w:t>
      </w:r>
      <w:r w:rsidR="00267C8B">
        <w:t xml:space="preserve">, </w:t>
      </w:r>
      <w:r>
        <w:t>recruitment and selection, learning, performance, talent and career development, reward management.</w:t>
      </w:r>
    </w:p>
    <w:p w14:paraId="007A1881" w14:textId="1708BCFE" w:rsidR="006335E7" w:rsidRDefault="00000000">
      <w:r>
        <w:t>Moreover, Eurobank has developed and implements three guiding frameworks, defining the approach and criteria for classifying its financing and investing activities as sustainable, its Sustainable Finance Framework</w:t>
      </w:r>
      <w:r w:rsidR="005B4B4A">
        <w:t xml:space="preserve">, </w:t>
      </w:r>
      <w:r>
        <w:t>which supports the identification of sustainablegreen financing opportunities finance the transition of Banks clients, its Green Bond Framework.</w:t>
      </w:r>
    </w:p>
    <w:p w14:paraId="670AB83F" w14:textId="77777777" w:rsidR="006335E7" w:rsidRDefault="00000000">
      <w:r>
        <w:lastRenderedPageBreak/>
        <w:t>Stakeholders engagement and materiality analysis An integral part of Eurobank's approach to Sustainability is to foster strong relationships of trust, cooperation and mutual benefit with all stakeholders affected by its activities, directly or indirectly.</w:t>
      </w:r>
    </w:p>
    <w:p w14:paraId="214B293F" w14:textId="77777777" w:rsidR="006335E7" w:rsidRDefault="00000000">
      <w:r>
        <w:t>A more detailed presentation of the cooperation framework, expectations and means of communication and response for each stakeholder group is included in the Annual Report 2021 Business &amp; Sustainability.</w:t>
      </w:r>
    </w:p>
    <w:p w14:paraId="5B7A2B74" w14:textId="77777777" w:rsidR="006335E7" w:rsidRDefault="00000000">
      <w:r>
        <w:t>Furthermore, as part of the Financed Impact Strategy, in order to facilitate the green transition of its clients, Eurobank has developed a dedicated approach to increase clients engagement and awareness regarding environmental risks.</w:t>
      </w:r>
    </w:p>
    <w:p w14:paraId="78E1EB9C" w14:textId="77777777" w:rsidR="006335E7" w:rsidRDefault="00000000">
      <w:r>
        <w:t>BoD oversight with respect to Sustainability Strategy is addressed through the inclusion of ESG items in the Board Meetings agenda, as per international best practice.</w:t>
      </w:r>
    </w:p>
    <w:p w14:paraId="419E5A37" w14:textId="77777777" w:rsidR="00267C8B" w:rsidRDefault="00000000">
      <w:r>
        <w:t>The Group has updated its governance structure by introducing and defining the roles and responsibilities in relation to ESG and climate related and environmental CR&amp;E risks, embedding regulatory guidelines and market practices involving various key stakeholders</w:t>
      </w:r>
      <w:r w:rsidR="00267C8B">
        <w:t xml:space="preserve">. </w:t>
      </w:r>
    </w:p>
    <w:p w14:paraId="42B92784" w14:textId="613822DD" w:rsidR="006335E7" w:rsidRDefault="00000000">
      <w:r>
        <w:t>The updated governance structure aims to further enhance effective oversight of ESG matters at Management BoD level, support the roll out of its Sustainability Strategy and the integration of ESG and C&amp;E risks.</w:t>
      </w:r>
    </w:p>
    <w:p w14:paraId="542DD688" w14:textId="77777777" w:rsidR="006335E7" w:rsidRDefault="00000000">
      <w:r>
        <w:t>In that context, the Group Risk Management Strategy Planning Operations and Climate Risk GRMSPO&amp;CR has the overall responsibility for overseeing, monitoring, and managing CR&amp;E risks.</w:t>
      </w:r>
    </w:p>
    <w:p w14:paraId="7D8C089A" w14:textId="77777777" w:rsidR="006335E7" w:rsidRDefault="00000000">
      <w:r>
        <w:t>Moreover, the HoldCoBank BoD has assigned an executive member as the responsible BoD member for climate-related and environmental risks, ensuring that material ESG issues are taken into account in the decision-making process.</w:t>
      </w:r>
    </w:p>
    <w:p w14:paraId="0032FD0D" w14:textId="77777777" w:rsidR="006335E7" w:rsidRDefault="00000000">
      <w:r>
        <w:t>A dedicated ESG Management Committee complements the ESG governance model and is chaired by the BoD member responsible for climate-related and environmental risks.</w:t>
      </w:r>
    </w:p>
    <w:p w14:paraId="3F228E00" w14:textId="77777777" w:rsidR="006335E7" w:rsidRDefault="00000000">
      <w:r>
        <w:t>Reporting and Transparency HoldCoBank issues its Annual Report Business &amp; Sustainability with a view to fully inform its stakeholders about its performance in the sustainable development pillars economy, society, environment.</w:t>
      </w:r>
    </w:p>
    <w:p w14:paraId="2BAE6B45" w14:textId="77777777" w:rsidR="006335E7" w:rsidRDefault="00000000">
      <w:r>
        <w:t>This reporting approach aims at providing comprehensive and transparent information to stakeholders, relates to Eurobanks response to their expectations and interests, and invests in continuously promoting open dialogue with them.</w:t>
      </w:r>
    </w:p>
    <w:p w14:paraId="5D56130D" w14:textId="77777777" w:rsidR="006335E7" w:rsidRDefault="00000000">
      <w:r>
        <w:t>Through the Report, EurobanHoldCo provide full disclosure on sustainability impacts such as environmental performance, energy and emissions, social impact and corporate governance, information regarding the Banks initiatives, while addressing all material stakeholder interests across the ESG spectrum.</w:t>
      </w:r>
    </w:p>
    <w:p w14:paraId="4A25C385" w14:textId="77777777" w:rsidR="006335E7" w:rsidRDefault="00000000">
      <w:r>
        <w:lastRenderedPageBreak/>
        <w:t>Additionally, besides the sustainability reporting frameworks of the GRI sectoral supplement on Financial Services, the SASB Commercial Banks Standard, as well as the Athens Stock Exchange ESG Reporting Guide, have been considered.</w:t>
      </w:r>
    </w:p>
    <w:p w14:paraId="25CAB171" w14:textId="77777777" w:rsidR="006335E7" w:rsidRDefault="00000000">
      <w:r>
        <w:t>The sustainability-related disclosures in the report are assured by a competent assurance provider in accordance with the AA1000 Assurance Standard version 3 and related Principles for inclusivity, materiality, responsiveness and impact, as per the independent auditors Limited Assurance Report which is disclosed as part of the Annual Report Business &amp; Sustainability.</w:t>
      </w:r>
    </w:p>
    <w:p w14:paraId="6C05F3A5" w14:textId="7D5FC3E1" w:rsidR="006335E7" w:rsidRDefault="00000000">
      <w:r>
        <w:t>Furthermore, the Banks environmental and energy management performance, with respect to the improvement of its operational footprint, is monitored through specific indicators and associated targets disclosed also in the Environmental Report</w:t>
      </w:r>
      <w:r w:rsidR="005B4B4A">
        <w:t>.</w:t>
      </w:r>
    </w:p>
    <w:p w14:paraId="3B60F89A" w14:textId="77777777" w:rsidR="006335E7" w:rsidRDefault="00000000">
      <w:r>
        <w:t>Within the EMAS Report framework, the Bank discloses the Green House Gas emissions record in line with the ISO14064 standard, as verified by external independent party and in line with the provisions of the national Climate Law.</w:t>
      </w:r>
    </w:p>
    <w:p w14:paraId="122E08EF" w14:textId="77777777" w:rsidR="006335E7" w:rsidRDefault="00000000">
      <w:r>
        <w:t>Moreover, HoldcoBank actively participates in internationally recognized ESG ratings to highlight the continuous improvement in its environmental, social and governance performance, upgrade the relevant disclosures, and further enhance investor confidence in its practices.</w:t>
      </w:r>
    </w:p>
    <w:p w14:paraId="0B197C43" w14:textId="77777777" w:rsidR="006335E7" w:rsidRDefault="00000000">
      <w:r>
        <w:t>In accordance with the Law 44492017 as amended, the Audit Committee of Eurobank Ergasias Services and Holdings S.</w:t>
      </w:r>
    </w:p>
    <w:p w14:paraId="6BC0DC19" w14:textId="77777777" w:rsidR="006335E7" w:rsidRDefault="00000000">
      <w:r>
        <w:t>Eurobank Holdings or HoldCo or Company should submit an annual report to the Shareholders Annual General Meeting on the issues dealt with by the AC during the previous year, also including therein a description of the sustainability policy followed by the entity.</w:t>
      </w:r>
    </w:p>
    <w:p w14:paraId="60C8890A" w14:textId="77777777" w:rsidR="006335E7" w:rsidRDefault="00000000">
      <w:r>
        <w:t>All AC members have sufficient knowledge in the field of HoldCo activities and the necessary skills and experience to carry out their duties and meet the requirement of established knowledge and experience in auditing andor accounting.</w:t>
      </w:r>
    </w:p>
    <w:p w14:paraId="083E3C4C" w14:textId="565B9A92" w:rsidR="006335E7" w:rsidRDefault="00000000">
      <w:r>
        <w:t>In addition, all meetings were attended by the Internal Audit</w:t>
      </w:r>
      <w:r w:rsidR="005B4B4A">
        <w:t xml:space="preserve">, </w:t>
      </w:r>
      <w:r>
        <w:t>while the General Manager of Group Compliance was attending the meetings depending on the subject under discussion.</w:t>
      </w:r>
    </w:p>
    <w:p w14:paraId="569BE628" w14:textId="77777777" w:rsidR="006335E7" w:rsidRDefault="00000000">
      <w:r>
        <w:t>Highlights of Issues of Importance during 2023 Internal Controls System and Risk Management 17.</w:t>
      </w:r>
    </w:p>
    <w:p w14:paraId="35D96F5D" w14:textId="77777777" w:rsidR="006335E7" w:rsidRDefault="00000000">
      <w:r>
        <w:t>The AC, in accordance with its Terms of Reference, reviews the adequacy of the Internal Control and Risk Management systems and the compliance with rules and regulations of the monitoring process.</w:t>
      </w:r>
    </w:p>
    <w:p w14:paraId="71920CA9" w14:textId="77777777" w:rsidR="006335E7" w:rsidRDefault="00000000">
      <w:r>
        <w:lastRenderedPageBreak/>
        <w:t>Throughout the year 2023, the AC Members received update by IA and Compliance, covering matters of the System of Internal Controls, Risk Management, Compliance with rules and regulations and legal issues.</w:t>
      </w:r>
    </w:p>
    <w:p w14:paraId="0AFCB359" w14:textId="77777777" w:rsidR="006335E7" w:rsidRDefault="00000000">
      <w:r>
        <w:t>The AC, in accordance with its Terms of Reference, monitors the financial reporting process and submits recommendations and proposals to ensure its integrity.</w:t>
      </w:r>
    </w:p>
    <w:p w14:paraId="1B790BDD" w14:textId="77777777" w:rsidR="006335E7" w:rsidRDefault="00000000">
      <w:r>
        <w:t>The AC, in accordance with its Terms of Reference, is responsible for the selection, performance and independence of the External Auditors, KPMG.</w:t>
      </w:r>
    </w:p>
    <w:p w14:paraId="0DC8EF69" w14:textId="77777777" w:rsidR="006335E7" w:rsidRDefault="00000000">
      <w:r>
        <w:t>In addition, the AC reviews the scope of audit work and audit approach and assesses the process for identifying and responding to key audit and internal control risks.</w:t>
      </w:r>
    </w:p>
    <w:p w14:paraId="7095459D" w14:textId="77777777" w:rsidR="006335E7" w:rsidRDefault="00000000">
      <w:r>
        <w:t>The AC has received the External Auditors Independence written confirmation, while it monitored the independence of the External Auditors through the Auditors independence monitoring tool submitted quarterly by Group Finance, depicting the value of non-audit services provided as compared to the limits set by the Group External Auditors Independence Policy that was also updated during 2023.</w:t>
      </w:r>
    </w:p>
    <w:p w14:paraId="299C9A43" w14:textId="77777777" w:rsidR="006335E7" w:rsidRDefault="00000000">
      <w:r>
        <w:t>In line with the Group External Auditors Independence Policy, the AC in 2023 reviewed and approved all non-audit services including the audit assurance related work re Fairfax Financial Holdings annual requirement on the reconciliation of IFRS consolidated Total Equity and Profit &amp; Loss to U.</w:t>
      </w:r>
    </w:p>
    <w:p w14:paraId="77D6CA56" w14:textId="77777777" w:rsidR="006335E7" w:rsidRDefault="00000000">
      <w:r>
        <w:t>GAAP, for the year ending 31.</w:t>
      </w:r>
    </w:p>
    <w:p w14:paraId="061D48D2" w14:textId="77777777" w:rsidR="006335E7" w:rsidRDefault="00000000">
      <w:r>
        <w:t>However, the evaluation identified areas for improvement, notably the need for enhanced oversight on critical audit and compliance issues within major subsidiaries.</w:t>
      </w:r>
    </w:p>
    <w:p w14:paraId="2C7F5245" w14:textId="77777777" w:rsidR="006335E7" w:rsidRDefault="00000000">
      <w:r>
        <w:t>There was also a call for strengthening cybersecurity mechanisms and Anti-Money Laundering controls and measures.</w:t>
      </w:r>
    </w:p>
    <w:p w14:paraId="2B83DA77" w14:textId="77777777" w:rsidR="006335E7" w:rsidRDefault="00000000">
      <w:r>
        <w:t>A key strategic objective is to adapt its business and operation in a way that addresses climate change challenges, accommodate social needs within its banking business model, and safeguard prudent governance for itself and its counterparties, in accordance with supervisory initiatives and following international standards best practices.</w:t>
      </w:r>
    </w:p>
    <w:p w14:paraId="7C60BFF3" w14:textId="77777777" w:rsidR="006335E7" w:rsidRDefault="00000000">
      <w:r>
        <w:t>Committed to actively contributing to the achievement of the United Nations Sustainable Development Goals SDGs and the 2030 Agenda goals, Eurobank is a signatory of the UN Global Compact since 2008.</w:t>
      </w:r>
    </w:p>
    <w:p w14:paraId="26B0BA60" w14:textId="77777777" w:rsidR="006335E7" w:rsidRDefault="00000000">
      <w:r>
        <w:t>In full compliance with its obligations relating to implementing the Principles, Eurobank has issued its 3rd PRB Progress Report as part of the Annual Report 2022 Business &amp; Sustainability.</w:t>
      </w:r>
    </w:p>
    <w:p w14:paraId="64EABA55" w14:textId="77777777" w:rsidR="006335E7" w:rsidRDefault="00000000">
      <w:r>
        <w:t>Eurobank has expressed the Environmental, Social, Governance aspect of its business through the lens of Impact generation.</w:t>
      </w:r>
    </w:p>
    <w:p w14:paraId="1BFB3755" w14:textId="77777777" w:rsidR="006335E7" w:rsidRDefault="00000000">
      <w:r>
        <w:lastRenderedPageBreak/>
        <w:t>The Sustainability Strategy has been defined across two pillars of impact, the operational impact arising from its own activities and the financed impact resulting from the Banks lending and investing activities.</w:t>
      </w:r>
    </w:p>
    <w:p w14:paraId="0F86734D" w14:textId="77777777" w:rsidR="006335E7" w:rsidRDefault="00000000">
      <w:r>
        <w:t>Eurobank has designed, approved and currently implements the Sustainability Strategy including targets and commitments along the two key pillars.</w:t>
      </w:r>
    </w:p>
    <w:p w14:paraId="34020606" w14:textId="77777777" w:rsidR="006335E7" w:rsidRDefault="00000000">
      <w:r>
        <w:t>Environmental impact with the objective to minimize negative impact across the Banks value chain to promote environmental stewardship.</w:t>
      </w:r>
    </w:p>
    <w:p w14:paraId="4CADDEBC" w14:textId="77777777" w:rsidR="006335E7" w:rsidRDefault="00000000">
      <w:r>
        <w:t>The aim is to minimize Scope 1 and 2 emissions, become a paperless banking network and extend circular economy practices.</w:t>
      </w:r>
    </w:p>
    <w:p w14:paraId="4546A1DF" w14:textId="77777777" w:rsidR="006335E7" w:rsidRDefault="00000000">
      <w:r>
        <w:t>Social and business impact with the objective to drive positive change for entrepreneurs and wider communities to foster sustainable development and ensure social prosperity.</w:t>
      </w:r>
    </w:p>
    <w:p w14:paraId="41BCBE1B" w14:textId="77777777" w:rsidR="006335E7" w:rsidRDefault="00000000">
      <w:r>
        <w:t>The aim is to intensify sustainability in procurement practices, rationalize Socio-Economic Impact as well as boost transparency and ESG capacity.</w:t>
      </w:r>
    </w:p>
    <w:p w14:paraId="00D5E056" w14:textId="77777777" w:rsidR="006335E7" w:rsidRDefault="00000000">
      <w:r>
        <w:t>In this context, a dedicated Climate-Related &amp; Environmental Risks Materiality Assessment document was created, outlining the Climate-Related and Environmental CR&amp;E Risks Materiality Assessment of Eurobank Group.</w:t>
      </w:r>
    </w:p>
    <w:p w14:paraId="280C0482" w14:textId="77777777" w:rsidR="006335E7" w:rsidRDefault="00000000">
      <w:r>
        <w:t>The respective developments are considered in IA risk-based audit approach.</w:t>
      </w:r>
    </w:p>
    <w:p w14:paraId="7015AAB8" w14:textId="77777777" w:rsidR="006335E7" w:rsidRDefault="00000000">
      <w:r>
        <w:t>The Group has updated its governance structure by introducing and defining the roles and responsibilities in relation to ESG and climate related and environmental risks, embedding regulatory guidelines and market practices both for transition risk and physical risk within the 3 Lines of Defense.</w:t>
      </w:r>
    </w:p>
    <w:p w14:paraId="0A4342BB" w14:textId="77777777" w:rsidR="006335E7" w:rsidRDefault="00000000">
      <w:r>
        <w:t>Moreover, the HoldCoBank BoD has assigned an executive member as the responsible BoD member for climate-related and environmental risks.</w:t>
      </w:r>
    </w:p>
    <w:p w14:paraId="5163AE9D" w14:textId="77777777" w:rsidR="006335E7" w:rsidRDefault="00000000">
      <w:r>
        <w:t>The key areas where we identified greater levels of management judgement and therefore, increased levels of audit focus in the Groups estimation of ECL are, Significant Increase in Credit Risk SICR The identification of qualitative indicators for identifying a significant increase in credit risk for staging classification is judgmental taking also into account the current macroeconomic and geopolitical uncertainty.</w:t>
      </w:r>
    </w:p>
    <w:p w14:paraId="2F4D7650" w14:textId="5269BECF" w:rsidR="006335E7" w:rsidRDefault="00000000">
      <w:r>
        <w:t xml:space="preserve">Use of IT systems relevant to the financial information </w:t>
      </w:r>
      <w:proofErr w:type="gramStart"/>
      <w:r>
        <w:t>The</w:t>
      </w:r>
      <w:proofErr w:type="gramEnd"/>
      <w:r>
        <w:t xml:space="preserve"> key audit matter How the matter was addressed in our audit The Groups financial reporting processes are dependent </w:t>
      </w:r>
      <w:proofErr w:type="gramStart"/>
      <w:r>
        <w:t>to a large extent</w:t>
      </w:r>
      <w:proofErr w:type="gramEnd"/>
      <w:r>
        <w:t xml:space="preserve"> on information produced by the Groups Information Technology systems, andor automated processes and control</w:t>
      </w:r>
      <w:r w:rsidR="00267C8B">
        <w:t>s, c</w:t>
      </w:r>
      <w:r>
        <w:t>alculations, reconciliations implemented in these systems.</w:t>
      </w:r>
    </w:p>
    <w:p w14:paraId="49C0B7C0" w14:textId="77777777" w:rsidR="006335E7" w:rsidRDefault="00000000">
      <w:r>
        <w:lastRenderedPageBreak/>
        <w:t>We have evaluated in collaboration with our IT Audit specialists the general controls over the IT systems, databases and applications that support the financial reporting process of the Group.</w:t>
      </w:r>
    </w:p>
    <w:p w14:paraId="01560EAE" w14:textId="77777777" w:rsidR="006335E7" w:rsidRDefault="00000000">
      <w:r>
        <w:t>We evaluated the design of the relevant preventative and detective general IT controls over administration of access to programs and data for the systems in scope of our audit and, we tested the operating effectiveness of these relevant controls.</w:t>
      </w:r>
    </w:p>
    <w:p w14:paraId="5D7DD917" w14:textId="77777777" w:rsidR="006335E7" w:rsidRDefault="00000000">
      <w:r>
        <w:t>We evaluated the design of the relevant general IT controls of the Group over program development, program change management and computer operations for the systems in scope of our audit and, we tested the operating effectiveness of these relevant controls.</w:t>
      </w:r>
    </w:p>
    <w:p w14:paraId="3FFE23D2" w14:textId="77777777" w:rsidR="006335E7" w:rsidRDefault="00000000">
      <w:r>
        <w:t>The Audit Committee of the Company is responsible for overseeing the Companys and the Groups financial reporting process.</w:t>
      </w:r>
    </w:p>
    <w:p w14:paraId="13B0F3C7" w14:textId="77777777" w:rsidR="006335E7" w:rsidRDefault="00000000">
      <w:r>
        <w:t>As part of an audit in accordance with ISAs, which have been incorporated in Greek legislation, we exercise professional judgment and maintain professional skepticism throughout the audit.</w:t>
      </w:r>
    </w:p>
    <w:p w14:paraId="0684CD86" w14:textId="77777777" w:rsidR="006335E7" w:rsidRDefault="00000000">
      <w:r>
        <w:t>We are responsible for the direction, supervision, and performance of the group audit.</w:t>
      </w:r>
    </w:p>
    <w:p w14:paraId="2FCD31F2" w14:textId="77777777" w:rsidR="006335E7" w:rsidRDefault="00000000">
      <w:r>
        <w:t>Regulatory framework The digital files of the European Single Electronic Format are prepared in accordance with the ESEF Regulation and the 2020C 37901 Commission Interpretative Communication issued on 10 November 2020, as required by the L.</w:t>
      </w:r>
    </w:p>
    <w:p w14:paraId="6E01E774" w14:textId="77777777" w:rsidR="006335E7" w:rsidRDefault="00000000">
      <w:r>
        <w:t>35562007 and the relevant announcements of the Hellenic Capital Markets Commission and the Athens Stock Exchange the ESEF Regulatory Framework.</w:t>
      </w:r>
    </w:p>
    <w:p w14:paraId="5A194579" w14:textId="77777777" w:rsidR="006335E7" w:rsidRDefault="00000000">
      <w:r>
        <w:t>The requirements as defined in the ESEF Regulatory Framework as in force are appropriate criteria in order to express a reasonable assurance conclusion.</w:t>
      </w:r>
    </w:p>
    <w:p w14:paraId="168B2839" w14:textId="77777777" w:rsidR="006335E7" w:rsidRDefault="00000000">
      <w:r>
        <w:t>Going concern assessment The Board of Directors, acknowledging the geopolitical, macroeconomic and financial risks to the economy and the banking system and taking into account the above factors relating to, the idiosyncratic growth opportunities in Greece and the region for this and the next years, also underpinned by the mobilisation of the already approved EU funding mainly through the RRF, and, the Groups pre-provision income generating capacity, asset quality, capital adequacy and liquidity position, has been satisfied that the financial statements of the Group can be prepared on a going concern basis.</w:t>
      </w:r>
    </w:p>
    <w:p w14:paraId="7392D072" w14:textId="77777777" w:rsidR="006335E7" w:rsidRDefault="00000000">
      <w:r>
        <w:t>In addition, the amendments clarify that selecting an estimation or valuation technique and choosing the inputs to be used constitutes development of an accounting estimate and that the effects of a change in an input or technique used to develop an accounting estimate are changes in accounting estimates, if they do not result from the correction of prior period errors.</w:t>
      </w:r>
    </w:p>
    <w:p w14:paraId="62539907" w14:textId="77777777" w:rsidR="006335E7" w:rsidRDefault="00000000">
      <w:r>
        <w:t xml:space="preserve">To support the IAS 1 amendments, the Board has also developed guidance and examples to explain and demonstrate the application of the four-step materiality process, as described </w:t>
      </w:r>
      <w:r>
        <w:lastRenderedPageBreak/>
        <w:t>in IFRS Practice Statement 2 Making Materiality Judgements to accounting policy disclosures.</w:t>
      </w:r>
    </w:p>
    <w:p w14:paraId="3C2285DF" w14:textId="77777777" w:rsidR="006335E7" w:rsidRDefault="00000000">
      <w:r>
        <w:t>IAS 12, Amendment, International Tax Reform Pillar Two Model Rules The amendments introduce a mandatory temporary exception relief from the recognition and disclosure of deferred taxes arising from the implementation of the Organisation for Economic Co-operation and Developments Pillar Two model rules the Pillar Two Income taxes that are applicable as of 1 January 2024.</w:t>
      </w:r>
    </w:p>
    <w:p w14:paraId="13769E2C" w14:textId="77777777" w:rsidR="006335E7" w:rsidRDefault="00000000">
      <w:r>
        <w:t>Accordingly, the Group, as part of its risk management strategy, may enter into transactions with external counterparties to hedge partially or fully exposure to interest rates, foreign currency rates, equity prices and other market factors that are generated from its activities.</w:t>
      </w:r>
    </w:p>
    <w:p w14:paraId="489EAF83" w14:textId="77777777" w:rsidR="006335E7" w:rsidRDefault="00000000">
      <w:r>
        <w:t>In 2023, the Group introduced a new risk management strategy which is the fair value hedging of the core deposits held in Greece and Cyprus from both retail and wholesale portfolios.</w:t>
      </w:r>
    </w:p>
    <w:p w14:paraId="0AC010E8" w14:textId="77777777" w:rsidR="006335E7" w:rsidRDefault="00000000">
      <w:r>
        <w:t>Accordingly, at the inception of the hedge accounting relationship, the Group documents the relationship between hedging instruments and hedged items, as well as its risk management objective and strategy for undertaking various hedge transactions, together with the method that will be used to assess the effectiveness of the hedging relationship.</w:t>
      </w:r>
    </w:p>
    <w:p w14:paraId="05553F5E" w14:textId="77777777" w:rsidR="006335E7" w:rsidRDefault="00000000">
      <w:r>
        <w:t>For the core deposits portfolios, the Group determines their aggregated balances and allocation into time buckets by applying a modelled approach that is based on regulatory standards.</w:t>
      </w:r>
    </w:p>
    <w:p w14:paraId="326CBDA2" w14:textId="77777777" w:rsidR="006335E7" w:rsidRDefault="00000000">
      <w:r>
        <w:t>More specifically, the portfolio of core deposits to be hedged is determined by an internal designated behavioral model that utilizes a number of assumptions regarding the behavior and evolution of demand deposits balances, which are assessed, monitored and documented in accordance with the Groups risk management framework.</w:t>
      </w:r>
    </w:p>
    <w:p w14:paraId="10B3CA71" w14:textId="77777777" w:rsidR="006335E7" w:rsidRDefault="00000000">
      <w:r>
        <w:t>Such expenditure includes enhancements that increase the value of the asset and its future income-earning potential, as well as costs to comply with environmental and other legal requirements.</w:t>
      </w:r>
    </w:p>
    <w:p w14:paraId="5C6A1BAE" w14:textId="77777777" w:rsidR="006335E7" w:rsidRDefault="00000000">
      <w:r>
        <w:t>The Group considers the existence of various features, including among others, contractually linked terms, prepayment terms, deferred interest-free payments, extension and equity conversion options, terms that introduce leverage including index linked payments, as well as environmental, social and governance linked features where the contractual interest rate is adjusted if the borrower meets, or fail to meet specific sustainability performance targets.</w:t>
      </w:r>
    </w:p>
    <w:p w14:paraId="6DB4B8C0" w14:textId="77777777" w:rsidR="006335E7" w:rsidRDefault="00000000">
      <w:r>
        <w:t>Generally, the Group derives these parameters from internally developed statistical models and observed point-in-time and historical data, leveraging the existing infrastructure development for the regulatory framework and risk management practices.</w:t>
      </w:r>
    </w:p>
    <w:p w14:paraId="49209616" w14:textId="77777777" w:rsidR="006335E7" w:rsidRDefault="00000000">
      <w:r>
        <w:lastRenderedPageBreak/>
        <w:t>For 2023, the Group reassessed the need for overlay, considering the current geopolitical developments and taking into account the macroeconomic uncertainty resulting this time mainly from persistent inflationary pressures, high interest rates and open war fronts, Management incorporated in the ECL calculations as a post model adjustment, an estimation for potentially non modeled risks of € 31 million 2022, € 66 million, focusing now on both corporate and retail borrowers that are considered more sensitive to any negative macro environment developments in the foreseeable future.</w:t>
      </w:r>
    </w:p>
    <w:p w14:paraId="022A98E5" w14:textId="77777777" w:rsidR="006335E7" w:rsidRDefault="00000000">
      <w:r>
        <w:t>In this context, experienced and dedicated staff within the Groups Risk Management function monitor the risk parameters applied for the estimation of ECL.</w:t>
      </w:r>
    </w:p>
    <w:p w14:paraId="373846EF" w14:textId="0A0A6A45" w:rsidR="006335E7" w:rsidRDefault="00000000">
      <w:r>
        <w:t>Furthermore, as part of the well-defined governance framework, any revisions to the methodology used are approved by the Group competent committees and ultimately the Board Risk Committee</w:t>
      </w:r>
      <w:r w:rsidR="005B4B4A">
        <w:t>.</w:t>
      </w:r>
    </w:p>
    <w:p w14:paraId="05060C15" w14:textId="77777777" w:rsidR="006335E7" w:rsidRDefault="00000000">
      <w:r>
        <w:t>The above assessment may be particularly challenging for more complex instruments with contractual terms including leverage, prepayment or extension options, securitizations where the cash flows are linked to the underlying assets, non-recourse arrangements, as well as environmental, social and governance linked features sustainability linked.</w:t>
      </w:r>
    </w:p>
    <w:p w14:paraId="540A3029" w14:textId="07711667" w:rsidR="006335E7" w:rsidRDefault="00000000">
      <w:r>
        <w:t>For the SPPI assessment of sustainability linked instruments that include features that may change the contractual cash flows, by reducing or increasing the interest rate depending on whether the borrower meets or fails to meet predetermined ESG targets, the Group considers whether such targets are specific to the borrower, as well as whether the Notes to the Consolidated Financial Statements</w:t>
      </w:r>
      <w:r w:rsidR="005B4B4A">
        <w:t>.</w:t>
      </w:r>
    </w:p>
    <w:p w14:paraId="25E66705" w14:textId="77777777" w:rsidR="006335E7" w:rsidRDefault="00000000">
      <w:r>
        <w:t>Furthermore, the CRR as amended by the Regulation 2020873 CRR quick fix provides, among others, for the extension by two years of the ability of the banks to add back to their regulatory capital any increase in provisions for stage 1 and stage 2 expected losses compared to those that they have recognized on 1 January 2020 for their financial assets, which have not been defaulted.</w:t>
      </w:r>
    </w:p>
    <w:p w14:paraId="130AE14B" w14:textId="77777777" w:rsidR="006335E7" w:rsidRDefault="00000000">
      <w:r>
        <w:t>The proceeds from the issue will support the Groups strategy to ensure ongoing compliance with its total capital adequacy and MREL requirements, while it will be used also for the Banks general funding purposes note 34.</w:t>
      </w:r>
    </w:p>
    <w:p w14:paraId="2371AFBF" w14:textId="77777777" w:rsidR="006335E7" w:rsidRDefault="00000000">
      <w:r>
        <w:t>The Group's overall risk management strategy seeks to minimize any potential adverse effects on its financial performance, financial position and cash flows.</w:t>
      </w:r>
    </w:p>
    <w:p w14:paraId="5B700063" w14:textId="77777777" w:rsidR="006335E7" w:rsidRDefault="00000000">
      <w:r>
        <w:t>Due to the fact that economic, industry, regulatory and operating conditions will continue to change, risk management mechanisms are set in a manner that enable the Group to identify and deal with the risks associated with those changes.</w:t>
      </w:r>
    </w:p>
    <w:p w14:paraId="72CBB32C" w14:textId="746A755F" w:rsidR="006335E7" w:rsidRDefault="00000000">
      <w:r>
        <w:t xml:space="preserve">As such, the Group has allocated significant resources for upgrading its policies, methods and infrastructure, </w:t>
      </w:r>
      <w:proofErr w:type="gramStart"/>
      <w:r>
        <w:t>in order to</w:t>
      </w:r>
      <w:proofErr w:type="gramEnd"/>
      <w:r>
        <w:t xml:space="preserve"> ensure compliance with the requirements of the European Central Bank and of the Single Resolution Board</w:t>
      </w:r>
      <w:r w:rsidR="005B4B4A">
        <w:t xml:space="preserve">, </w:t>
      </w:r>
      <w:r>
        <w:t xml:space="preserve">the guidelines of the European Banking </w:t>
      </w:r>
      <w:r>
        <w:lastRenderedPageBreak/>
        <w:t>Authority and the Basel Committee for Banking Supervision and the best international banking practices.</w:t>
      </w:r>
    </w:p>
    <w:p w14:paraId="0BA59DB1" w14:textId="77777777" w:rsidR="006335E7" w:rsidRDefault="00000000">
      <w:r>
        <w:t>The risk management policies implemented by the Group are reviewed mainly annually.</w:t>
      </w:r>
    </w:p>
    <w:p w14:paraId="6B9F48C5" w14:textId="77777777" w:rsidR="006335E7" w:rsidRDefault="00000000">
      <w:r>
        <w:t>The objectives are to support the Groups business growth, balance a strong capital position with higher returns on equity and to ensure the Groups adherence to regulatory requirements.</w:t>
      </w:r>
    </w:p>
    <w:p w14:paraId="58B7939E" w14:textId="77777777" w:rsidR="006335E7" w:rsidRDefault="00000000">
      <w:r>
        <w:t>The Group aiming to ensure a collective view on the risks linked to the execution of its strategy, acknowledges the new developments at an early stage and assesses the potential impact.</w:t>
      </w:r>
    </w:p>
    <w:p w14:paraId="15A6FD60" w14:textId="77777777" w:rsidR="006335E7" w:rsidRDefault="00000000">
      <w:r>
        <w:t>The MRC supports the Group Chief Risk Officer to identify material risks, to promptly escalate them to the BRC and to ensure that the necessary policies and procedures are in place to prudently manage risks and to comply with regulatory requirements.</w:t>
      </w:r>
    </w:p>
    <w:p w14:paraId="425311B5" w14:textId="5DC6CFDE" w:rsidR="006335E7" w:rsidRDefault="00000000">
      <w:r>
        <w:t>It comprises of the Group Credit</w:t>
      </w:r>
      <w:r w:rsidR="005B4B4A">
        <w:t xml:space="preserve">, </w:t>
      </w:r>
      <w:r>
        <w:t>the Group Credit Control</w:t>
      </w:r>
      <w:r w:rsidR="005B4B4A">
        <w:t xml:space="preserve">, </w:t>
      </w:r>
      <w:r>
        <w:t>the Group Credit Risk Capital Adequacy Control</w:t>
      </w:r>
      <w:r w:rsidR="005B4B4A">
        <w:t xml:space="preserve">, </w:t>
      </w:r>
      <w:r>
        <w:t>the Group Market and Counterparty Risk</w:t>
      </w:r>
      <w:r w:rsidR="005B4B4A">
        <w:t xml:space="preserve">, </w:t>
      </w:r>
      <w:r>
        <w:t>the Group Operational and Non-Financial Risks</w:t>
      </w:r>
      <w:r w:rsidR="005B4B4A">
        <w:t xml:space="preserve">, </w:t>
      </w:r>
      <w:r>
        <w:t>the Group Model Validation and Governance</w:t>
      </w:r>
      <w:r w:rsidR="005B4B4A">
        <w:t xml:space="preserve">, </w:t>
      </w:r>
      <w:r>
        <w:t>the Group Risk Management Strategy Planning Operations &amp; Climate Risk GRMSPO&amp;CR, the Supervisory Relations and Resolution Planning</w:t>
      </w:r>
      <w:r w:rsidR="005B4B4A">
        <w:t xml:space="preserve">, </w:t>
      </w:r>
      <w:r>
        <w:t>and the Risk Analytics Units.</w:t>
      </w:r>
    </w:p>
    <w:p w14:paraId="07DB31B0" w14:textId="77777777" w:rsidR="006335E7" w:rsidRDefault="00000000">
      <w:r>
        <w:t>Active participation in the regulatory audits and major internal projects of the Bank, providing at the same time credit related knowledge, expertise and support to other Units.</w:t>
      </w:r>
    </w:p>
    <w:p w14:paraId="7F0DD3BF" w14:textId="77777777" w:rsidR="006335E7" w:rsidRDefault="00000000">
      <w:r>
        <w:t>Active participation in the regulatory audits and major internal projects of the Bank, providing at the same time credit related knowledge, expertise and support to other units.</w:t>
      </w:r>
    </w:p>
    <w:p w14:paraId="50814A09" w14:textId="77777777" w:rsidR="006335E7" w:rsidRDefault="00000000">
      <w:r>
        <w:t>In more detail, the tasks of the Unit are outlined as follows, Prepare and update the Groups Models Framework to include model definition, roles involved per model, model classification principles and methodology, model validation principles, materiality classifications and thresholds, models registry governance, etc.</w:t>
      </w:r>
    </w:p>
    <w:p w14:paraId="0B021AA8" w14:textId="77777777" w:rsidR="006335E7" w:rsidRDefault="00000000">
      <w:r>
        <w:t>Conduct model validation tests in alignment with the Group Model Validation Framework and regulatory requirements.</w:t>
      </w:r>
    </w:p>
    <w:p w14:paraId="6AC55B45" w14:textId="77777777" w:rsidR="006335E7" w:rsidRDefault="00000000">
      <w:r>
        <w:t>GMCR maintains and updates the limits monitoring systems and ensures the correctness and compliance of all financial institutions limits with the Banks policies as approved by the Groups relevant bodies.</w:t>
      </w:r>
    </w:p>
    <w:p w14:paraId="304B67C5" w14:textId="77777777" w:rsidR="006335E7" w:rsidRDefault="00000000">
      <w:r>
        <w:t>GMCR implements the markets best practices and safeguards the compliance of all involved parties to limits policies and procedures.</w:t>
      </w:r>
    </w:p>
    <w:p w14:paraId="57D8B43A" w14:textId="77777777" w:rsidR="006335E7" w:rsidRDefault="00000000">
      <w:r>
        <w:t xml:space="preserve">In particular, the Bank in response to the regulatory developments and requirements EBAGL202214, has further enhanced its infrastructure, governance and limit structure </w:t>
      </w:r>
      <w:r>
        <w:lastRenderedPageBreak/>
        <w:t>accordingly, so as to measure and monitor its CSRBB, via a dedicated stress testing framework.</w:t>
      </w:r>
    </w:p>
    <w:p w14:paraId="2F86EFBC" w14:textId="77777777" w:rsidR="006335E7" w:rsidRDefault="00000000">
      <w:r>
        <w:t>Development, maintenance and expansion of risk management infrastructure.</w:t>
      </w:r>
    </w:p>
    <w:p w14:paraId="66A7D0E4" w14:textId="77777777" w:rsidR="006335E7" w:rsidRDefault="00000000">
      <w:r>
        <w:t>The Group continuously monitors any developments about further market initiatives on interest rate benchmark reform, in order to ensure compliance where required.</w:t>
      </w:r>
    </w:p>
    <w:p w14:paraId="4F05B39D" w14:textId="77777777" w:rsidR="006335E7" w:rsidRDefault="00000000">
      <w:r>
        <w:t>Specifically, climate related and environmental risks are defined as the risks deriving from potential loss or negative impact to the Group, including lossdamage to physical assets, disruption of business or system failures, transition expenditures and reputational effects from the adverse consequences of climate change and environmental degradation.</w:t>
      </w:r>
    </w:p>
    <w:p w14:paraId="28C86062" w14:textId="77777777" w:rsidR="006335E7" w:rsidRDefault="00000000">
      <w:r>
        <w:t>Climate-related and environmental risks include the following, Climate related and environmental physical risk, Physical risk refers to the financial impact of a changing climate, including more frequent extreme weather events and gradual changes in climate, as well as the impact of environmental degradation.</w:t>
      </w:r>
    </w:p>
    <w:p w14:paraId="2A265AFB" w14:textId="77777777" w:rsidR="006335E7" w:rsidRDefault="00000000">
      <w:r>
        <w:t>Environmental risk, Risk of actual or potential threat associated with the dependency on nature and nature impacts andor the misalignment between the Groups strategy and the changing regulatory, policy, or societal landscape in which it operates.</w:t>
      </w:r>
    </w:p>
    <w:p w14:paraId="1C7D1EAF" w14:textId="77777777" w:rsidR="006335E7" w:rsidRDefault="00000000">
      <w:r>
        <w:t>The Group is adopting a strategic approach towards sustainability, climate change risk identification and risk management, signifying the great importance that is given in the risks and opportunities arising from the transitioning to a low-carbon and more circular economy.</w:t>
      </w:r>
    </w:p>
    <w:p w14:paraId="070EEEB4" w14:textId="61B514C4" w:rsidR="006335E7" w:rsidRDefault="00000000">
      <w:r>
        <w:t>In this context, the Bank has approved and implements its Financed Impact Strategy, which focuses on, Clients engagement and awareness to adapt their business so as to address climate change challenges Actions for supporting clients in their transition efforts towards a more ESG-friendly economic environment Enablers and tools such as frameworks and products to underpin Sustainable Financing The assessment and management of climate-related risk of exposures To facilitate the classification of sustainablegreen financing opportunities in a structural manner, the Bank has developed its Sustainable Finance Framework</w:t>
      </w:r>
      <w:r w:rsidR="005B4B4A">
        <w:t>.</w:t>
      </w:r>
    </w:p>
    <w:p w14:paraId="7D7A7CBB" w14:textId="30CAD4D1" w:rsidR="006335E7" w:rsidRDefault="00000000" w:rsidP="00CF6BEA">
      <w:r>
        <w:t xml:space="preserve">Furthermore, the Group has updated its governance structure by introducing and defining the roles and responsibilities in relation to ESG and climate related &amp; environmental CR&amp;E risks, embedding regulatory guidelines and market </w:t>
      </w:r>
      <w:r w:rsidR="004B188B">
        <w:t>practices, involving</w:t>
      </w:r>
      <w:r>
        <w:t xml:space="preserve"> various key stakeholders</w:t>
      </w:r>
      <w:r w:rsidR="00CF6BEA">
        <w:t>.</w:t>
      </w:r>
    </w:p>
    <w:p w14:paraId="5F101DAC" w14:textId="77777777" w:rsidR="006335E7" w:rsidRDefault="00000000">
      <w:r>
        <w:t xml:space="preserve">Specifically, the Unit operates as the Project office responsible for the implementation of the Climate related and Environmental risks roadmap, Program Field with a coordinating and supervisory role on all related project streams to ensure alignment with the Banks business strategy and the regulatory </w:t>
      </w:r>
      <w:proofErr w:type="gramStart"/>
      <w:r>
        <w:t>authorities</w:t>
      </w:r>
      <w:proofErr w:type="gramEnd"/>
      <w:r>
        <w:t xml:space="preserve"> expectations.</w:t>
      </w:r>
    </w:p>
    <w:p w14:paraId="084F468D" w14:textId="77777777" w:rsidR="006335E7" w:rsidRDefault="00000000">
      <w:r>
        <w:lastRenderedPageBreak/>
        <w:t>In this context, the Unit ensures the implementation of corresponding environmental and sustainability initiatives frameworks, policies, procedures and products and compliance with relevant existing and upcoming regulations, under an ongoing bank-wide program, in line with the supervisory agreed roadmap, which is accelerated where possible.</w:t>
      </w:r>
    </w:p>
    <w:p w14:paraId="64523463" w14:textId="2E4842AD" w:rsidR="006335E7" w:rsidRDefault="00000000">
      <w:r>
        <w:t>Specifically, in the context of implementing the approved Sustainable Finance Framework</w:t>
      </w:r>
      <w:r w:rsidR="005B4B4A">
        <w:t xml:space="preserve">, </w:t>
      </w:r>
      <w:r>
        <w:t>the Unit is responsible for assessing the sustainability features of new loans and products according to the criteria set within the SFF.</w:t>
      </w:r>
    </w:p>
    <w:p w14:paraId="40B09767" w14:textId="77777777" w:rsidR="006335E7" w:rsidRDefault="00000000">
      <w:r>
        <w:t>Furthermore, the Group is in the process of successfully completing the European Central Banks supervisory one-off Fit-for-55 climate risk scenario analysis, which was launched in December 2023 and aims to gain insights into the capacity of the financial system to support the transition to lower carbon economy under conditions of stress.</w:t>
      </w:r>
    </w:p>
    <w:p w14:paraId="51AD114D" w14:textId="77777777" w:rsidR="006335E7" w:rsidRDefault="00000000">
      <w:r>
        <w:t>Where third parties' valuations are used for fair value measurement, these are reviewed in order to ensure compliance with the requirements of IFRS 13.</w:t>
      </w:r>
    </w:p>
    <w:p w14:paraId="2632185C" w14:textId="32494337" w:rsidR="006335E7" w:rsidRDefault="00000000">
      <w:r>
        <w:t>In reference to its total uncertain tax positions, the Group assesses all relevant developments</w:t>
      </w:r>
      <w:r w:rsidR="00267C8B">
        <w:t>,</w:t>
      </w:r>
      <w:r>
        <w:t xml:space="preserve"> </w:t>
      </w:r>
      <w:r w:rsidR="00A3717D">
        <w:t>l</w:t>
      </w:r>
      <w:r>
        <w:t>egislative changes, case law, ad hoc taxlegal opinions, administrative practices and raises adequate provisions.</w:t>
      </w:r>
    </w:p>
    <w:p w14:paraId="6ADD3D96" w14:textId="3F45C771" w:rsidR="006335E7" w:rsidRDefault="00000000">
      <w:proofErr w:type="gramStart"/>
      <w:r>
        <w:t>In particular, for</w:t>
      </w:r>
      <w:proofErr w:type="gramEnd"/>
      <w:r>
        <w:t xml:space="preserve"> the year ended 31 December 2023, the deferred tax asset recoverability assessment has been based on the three-year Business Plan that was approved by the Board of Directors in February 2024, for the period up to the end of 2026 also submitted to the Single Supervisory Mechanism SSM.</w:t>
      </w:r>
    </w:p>
    <w:p w14:paraId="44909E3A" w14:textId="77777777" w:rsidR="006335E7" w:rsidRDefault="00000000">
      <w:r>
        <w:t>Taking into account the tax regime in force, the recovery of the Banks deferred tax asset recorded on loans and advances to customers and the regulatory capital structure are further safeguarded, contributing substantially to the achievement of NPE management targets through write-offs and disposals, in line with the regulatory framework and SSM requirements.</w:t>
      </w:r>
    </w:p>
    <w:p w14:paraId="7B12DEC6" w14:textId="77777777" w:rsidR="006335E7" w:rsidRDefault="00000000">
      <w:r>
        <w:t>Sustainability linked loans In line with its Sustainable Finance Framework, the Group grants loans, which as part of their contractual terms, incentivize the borrowers achievement of predetermined sustainability performance targets SPTs.</w:t>
      </w:r>
    </w:p>
    <w:p w14:paraId="1DF94B9E" w14:textId="77777777" w:rsidR="006335E7" w:rsidRDefault="00000000">
      <w:r>
        <w:t>As at 31 December 2023, the Wave IV transaction, that was performed in the context of the Groups initiatives for the optimization of its regulatory capital, resulted in a capital benefit of 41 bps.</w:t>
      </w:r>
    </w:p>
    <w:p w14:paraId="7FD69F45" w14:textId="77777777" w:rsidR="006335E7" w:rsidRDefault="00000000">
      <w:r>
        <w:t>Sustainability linked bonds As at 31 December 2023, the Group holds positions in sustainability linked bonds with Sustainability Performance Targets SPTs note 20 of carrying value of € 118 million, of which € 82 million measured at FVOCI and € 36 million at AC 2022, € 173 million, of which € 123 million at FVOCI and € 50 million at AC.</w:t>
      </w:r>
    </w:p>
    <w:p w14:paraId="67A92714" w14:textId="77777777" w:rsidR="006335E7" w:rsidRDefault="00000000">
      <w:r>
        <w:t xml:space="preserve">In the context of properties valuation, sustainability and environmental matters encompass a wide range of physical, climate change, social, corporate responsibility and economic </w:t>
      </w:r>
      <w:r>
        <w:lastRenderedPageBreak/>
        <w:t>factors, including key environmental risks such as flooding, energy efficiency, as well as matters of design, configuration, accessibility and legislation, that impact their value.</w:t>
      </w:r>
    </w:p>
    <w:p w14:paraId="5F4D249F" w14:textId="77777777" w:rsidR="006335E7" w:rsidRDefault="00000000">
      <w:r>
        <w:t>The Group is gradually upgrading its real-estate portfolio, aiming to reduce its environmental footprint and shift towards high-end, modern, environmentally friendly buildings, given that such buildings are in high demand.</w:t>
      </w:r>
    </w:p>
    <w:p w14:paraId="2D82D95B" w14:textId="77777777" w:rsidR="006335E7" w:rsidRDefault="00000000">
      <w:r>
        <w:t>On an annual basis, the Group aims at the evaluation of an increased number of selected properties included in the investment property portfolio for their gradual certification in accordance with international standards, while actively investing to improve the energy efficiency of its properties portfolio and its environmental profile.</w:t>
      </w:r>
    </w:p>
    <w:p w14:paraId="0FD939A0" w14:textId="77777777" w:rsidR="006335E7" w:rsidRDefault="00000000">
      <w:r>
        <w:t>The proceeds from the above issues will support Groups strategy to ensure ongoing compliance with its MREL requirements and will be used for the Banks general funding purposes.</w:t>
      </w:r>
    </w:p>
    <w:p w14:paraId="1B846021" w14:textId="77777777" w:rsidR="006335E7" w:rsidRDefault="00000000">
      <w:r>
        <w:t>The proceeds from the issue will support Eurobank Holdings Group strategy to ensure ongoing compliance with its total capital adequacy ratio requirements and will be used for the Banks general funding purposes.</w:t>
      </w:r>
    </w:p>
    <w:p w14:paraId="4068A3E3" w14:textId="77777777" w:rsidR="006335E7" w:rsidRDefault="00000000">
      <w:r>
        <w:t>On the same date, an increasedecrease of the discount rate assumed, by 50 bps50 bps, would result in a decreaseincrease of employee termination benefits by € 0.</w:t>
      </w:r>
    </w:p>
    <w:p w14:paraId="09640366" w14:textId="77777777" w:rsidR="006335E7" w:rsidRDefault="00000000">
      <w:r>
        <w:t>In addition, Eurobank Holdings intends to proceed also with the distribution of profits to the employees in accordance with its remuneration policy, subject to the approval of the Annual General Meeting of its shareholders.</w:t>
      </w:r>
    </w:p>
    <w:p w14:paraId="5CE321EA" w14:textId="77777777" w:rsidR="006335E7" w:rsidRDefault="00000000">
      <w:r>
        <w:t>The final terms and the implementation of the share options plan, which is a forward-looking long-term incentive aiming at the retention of key executives, are defined and approved annually by the Board of Directors in accordance with the applicable legal and regulatory framework, as well as the policies of the Group.</w:t>
      </w:r>
    </w:p>
    <w:p w14:paraId="10990140" w14:textId="77777777" w:rsidR="006335E7" w:rsidRDefault="00000000">
      <w:r>
        <w:t>In accordance with the Groups accounting policy on employees share based payments, the grant date fair value of the options is recognized as an expense with a corresponding increase in equity over the vesting period.</w:t>
      </w:r>
    </w:p>
    <w:p w14:paraId="58D1B5A9" w14:textId="77777777" w:rsidR="006335E7" w:rsidRDefault="00000000">
      <w:r>
        <w:t>The Group will continue to monitor any developments in the case and assess the potential impact on its financial statements.</w:t>
      </w:r>
    </w:p>
    <w:p w14:paraId="00330431" w14:textId="77777777" w:rsidR="006335E7" w:rsidRDefault="00000000">
      <w:r>
        <w:t>Management, is closely monitoring the developments to the relevant cases and having considered the advice of Legal Services, does not expect that there will be an outflow of resources and therefore does not acknowledge the need for a provision.</w:t>
      </w:r>
    </w:p>
    <w:p w14:paraId="40347F94" w14:textId="77777777" w:rsidR="006335E7" w:rsidRDefault="00000000">
      <w:r>
        <w:t>For any such services to be assigned to the Groups auditors there are specific controlling mechanisms in order for the Companys Audit Committee to ensure that a the non-audit services assigned to KPMG Certified Auditors S.</w:t>
      </w:r>
    </w:p>
    <w:p w14:paraId="390F17F3" w14:textId="24792FBF" w:rsidR="006335E7" w:rsidRDefault="00000000">
      <w:r>
        <w:lastRenderedPageBreak/>
        <w:t>, along with the KPMG network</w:t>
      </w:r>
      <w:r w:rsidR="005B4B4A">
        <w:t xml:space="preserve">, </w:t>
      </w:r>
      <w:r>
        <w:t>have been reviewed and approved as required and b there is proper balance between audit and permitted non-audit work.</w:t>
      </w:r>
    </w:p>
    <w:p w14:paraId="13169C92" w14:textId="77777777" w:rsidR="006335E7" w:rsidRDefault="00000000">
      <w:r>
        <w:t>Going concern assessment The Board of Directors, acknowledging the geopolitical, macroeconomic and financial risks to the economy and the banking system and taking into account the above factors relating to, the idiosyncratic growth opportunities in Greece and the region for this and the next years, also underpinned by the mobilisation of the already approved EU funding mainly through the RRF, and, the Groups pre-provision income generating capacity, asset quality, capital adequacy and liquidity position, has been satisfied that the financial statements of the Company can be prepared on a going concern basis.</w:t>
      </w:r>
    </w:p>
    <w:p w14:paraId="658157F7" w14:textId="77777777" w:rsidR="006335E7" w:rsidRDefault="00000000">
      <w:r>
        <w:t>In addition, the amendments clarify that selecting an estimation or valuation technique and choosing the inputs to be used constitutes development of an accounting estimate and that the effects of a change in an input or technique used to develop an accounting estimate are changes in accounting estimates, if they do not result from the correction of prior period errors.</w:t>
      </w:r>
    </w:p>
    <w:p w14:paraId="2E189126" w14:textId="77777777" w:rsidR="006335E7" w:rsidRDefault="00000000">
      <w:r>
        <w:t>To support the IAS 1 amendments, the Board has also developed guidance and examples to explain and demonstrate the application of the four-step materiality process, as described in IFRS Practice Statement 2 Making Materiality Judgements, to accounting policy disclosures.</w:t>
      </w:r>
    </w:p>
    <w:p w14:paraId="7F85204A" w14:textId="77777777" w:rsidR="006335E7" w:rsidRDefault="00000000">
      <w:r>
        <w:t>IAS 12, Amendment, International Tax Reform Pillar Two Model Rules The amendments introduce a mandatory temporary exception relief from the recognition and disclosure of deferred taxes arising from the implementation of the Organisation for Economic Co-operation and Developments Pillar Two model rules the Pillar Two Income taxes that are applicable as of 1 January 2024.</w:t>
      </w:r>
    </w:p>
    <w:p w14:paraId="3134ADA5" w14:textId="77777777" w:rsidR="006335E7" w:rsidRDefault="00000000">
      <w:r>
        <w:t>Financial risk management and fair value The Company is exposed to financial risks such as credit risk, market risk including currency and interest rate risk liquidity risk, operational risk and other non-financial risks, as well as to climate risk.</w:t>
      </w:r>
    </w:p>
    <w:p w14:paraId="4CF66909" w14:textId="77777777" w:rsidR="006335E7" w:rsidRDefault="00000000">
      <w:r>
        <w:t>The Companys overall risk management strategy seeks to minimize any potential adverse effects on its financial performance, financial position and cash flows.</w:t>
      </w:r>
    </w:p>
    <w:p w14:paraId="24284CCC" w14:textId="77777777" w:rsidR="006335E7" w:rsidRDefault="00000000">
      <w:r>
        <w:t>In reference to its total uncertain tax positions, the Company assesses all relevant developments e.</w:t>
      </w:r>
    </w:p>
    <w:p w14:paraId="3916EF5F" w14:textId="77777777" w:rsidR="006335E7" w:rsidRDefault="00000000">
      <w:r>
        <w:t>Legislative changes, case law, ad hoc taxlegal opinions, administrative practices and raises adequate provisions.</w:t>
      </w:r>
    </w:p>
    <w:p w14:paraId="3FE9F15E" w14:textId="77777777" w:rsidR="006335E7" w:rsidRDefault="00000000">
      <w:r>
        <w:t>In addition, Eurobank Holdings intends to proceed also with the distribution of profits to the employees in accordance with its remuneration policy, subject to the approval of the Annual General Meeting of its shareholders.</w:t>
      </w:r>
    </w:p>
    <w:p w14:paraId="0CDD8588" w14:textId="77777777" w:rsidR="006335E7" w:rsidRDefault="00000000">
      <w:r>
        <w:t xml:space="preserve">The final terms and the implementation of the share options plan, which is a forward-looking long-term incentive aiming at the retention of key executives, are defined and </w:t>
      </w:r>
      <w:r>
        <w:lastRenderedPageBreak/>
        <w:t>approved annually by the Board of Directors in accordance with the applicable legal and regulatory framework, as well as the policies of the Company and the Group.</w:t>
      </w:r>
    </w:p>
    <w:p w14:paraId="295878D7" w14:textId="77777777" w:rsidR="006335E7" w:rsidRDefault="00000000">
      <w:r>
        <w:t>In accordance with the Companys accounting policy on employees share based payments, the grant date fair value of the options is recognized as an expense with a corresponding increase in equity over the vesting period.</w:t>
      </w:r>
    </w:p>
    <w:p w14:paraId="78A90BA7" w14:textId="59C31765" w:rsidR="006335E7" w:rsidRDefault="00000000">
      <w:r>
        <w:t>For any such services to be assigned to the Companys auditors there are specific controlling mechanisms in order for the Companys Audit Committee to ensure that a the non-audit services assigned to KPMG Certified Auditors S</w:t>
      </w:r>
      <w:r w:rsidR="005E6563">
        <w:t>, a</w:t>
      </w:r>
      <w:r>
        <w:t>long with the KPMG network</w:t>
      </w:r>
      <w:r w:rsidR="005B4B4A">
        <w:t xml:space="preserve">, </w:t>
      </w:r>
      <w:r>
        <w:t>have been reviewed and approved as required and b there is proper balance between audit and permitted non-audit work.</w:t>
      </w:r>
    </w:p>
    <w:sectPr w:rsidR="006335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629130">
    <w:abstractNumId w:val="8"/>
  </w:num>
  <w:num w:numId="2" w16cid:durableId="1417941471">
    <w:abstractNumId w:val="6"/>
  </w:num>
  <w:num w:numId="3" w16cid:durableId="368721897">
    <w:abstractNumId w:val="5"/>
  </w:num>
  <w:num w:numId="4" w16cid:durableId="738215311">
    <w:abstractNumId w:val="4"/>
  </w:num>
  <w:num w:numId="5" w16cid:durableId="547450530">
    <w:abstractNumId w:val="7"/>
  </w:num>
  <w:num w:numId="6" w16cid:durableId="161748041">
    <w:abstractNumId w:val="3"/>
  </w:num>
  <w:num w:numId="7" w16cid:durableId="2011638770">
    <w:abstractNumId w:val="2"/>
  </w:num>
  <w:num w:numId="8" w16cid:durableId="504172661">
    <w:abstractNumId w:val="1"/>
  </w:num>
  <w:num w:numId="9" w16cid:durableId="97938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303"/>
    <w:rsid w:val="0015074B"/>
    <w:rsid w:val="00267C8B"/>
    <w:rsid w:val="0029639D"/>
    <w:rsid w:val="00326F90"/>
    <w:rsid w:val="00434EF8"/>
    <w:rsid w:val="004B188B"/>
    <w:rsid w:val="004F5755"/>
    <w:rsid w:val="005B4B4A"/>
    <w:rsid w:val="005E6563"/>
    <w:rsid w:val="006335E7"/>
    <w:rsid w:val="00A3717D"/>
    <w:rsid w:val="00AA1D8D"/>
    <w:rsid w:val="00B47730"/>
    <w:rsid w:val="00CB0664"/>
    <w:rsid w:val="00CF6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EEC49"/>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13308</Words>
  <Characters>75856</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2025-08-03T18:12:00Z</dcterms:modified>
  <cp:category/>
</cp:coreProperties>
</file>