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CFEE" w14:textId="77777777" w:rsidR="00F50BAC" w:rsidRDefault="00000000">
      <w:r>
        <w:t>As at 31 December 2023, the Wave IV transaction, that was performed in the context of the Groups initiatives for the optimization of its regulatory capital, resulted in a capital benefit of 41 bps.</w:t>
      </w:r>
    </w:p>
    <w:p w14:paraId="2AE4CDEF" w14:textId="77777777" w:rsidR="00F50BAC" w:rsidRDefault="00000000">
      <w:r>
        <w:t>The Pillar 3 framework on prudential disclosures on ESG risks supports institutions in the public disclosure of meaningful and comparable information on how ESG-related risks and vulnerabilities, and in particular climate change, may exacerbate other risks in their balance sheet.</w:t>
      </w:r>
    </w:p>
    <w:p w14:paraId="26BD0698" w14:textId="77777777" w:rsidR="00F50BAC" w:rsidRDefault="00000000">
      <w:r>
        <w:t>Disclosure of information on ESG risks is a vital tool to promote market discipline, allowing stakeholders to assess banks ESG related risks and sustainable finance strategy.</w:t>
      </w:r>
    </w:p>
    <w:p w14:paraId="3CB2B49C" w14:textId="77777777" w:rsidR="00F50BAC" w:rsidRDefault="00000000">
      <w:r>
        <w:t>Under each risk category, the disclosure requirements target three aspects, governance, business model and strategy, and risk management.</w:t>
      </w:r>
    </w:p>
    <w:p w14:paraId="2EC791C6" w14:textId="77777777" w:rsidR="00F50BAC" w:rsidRDefault="00000000">
      <w:r>
        <w:t>The Statement encourages the development of disclosure standards for securitised assets through harmonised climate-related data requirements.</w:t>
      </w:r>
    </w:p>
    <w:p w14:paraId="39302F3F" w14:textId="77777777" w:rsidR="00F50BAC" w:rsidRDefault="00000000">
      <w:r>
        <w:t>Finally, the introduction of new climate change-related disclosure requirements for securitisations may become also relevant for similar funding instruments backed by the same type of underlying assets, such as covered bonds.</w:t>
      </w:r>
    </w:p>
    <w:p w14:paraId="08916752" w14:textId="77777777" w:rsidR="00F50BAC" w:rsidRDefault="00000000">
      <w:r>
        <w:t>On 12 October 2023, EBA published a Report on the role of environmental and social risks in the prudential framework of credit institutions and investment firms.</w:t>
      </w:r>
    </w:p>
    <w:p w14:paraId="4D3569B0" w14:textId="77777777" w:rsidR="00F50BAC" w:rsidRDefault="00000000">
      <w:r>
        <w:t>Taking a risk-based approach, the Report assesses how the current prudential framework captures environmental and social risks.</w:t>
      </w:r>
    </w:p>
    <w:p w14:paraId="152467EC" w14:textId="77777777" w:rsidR="00F50BAC" w:rsidRDefault="00000000">
      <w:r>
        <w:t>This is intended to capture contingent leverage risk originating from a bank extensively using derivatives, securities financing transactions and off-balance sheet items, as well as engaging in regulatory arbitrage and providing step-in support.</w:t>
      </w:r>
    </w:p>
    <w:p w14:paraId="30B37A30" w14:textId="77777777" w:rsidR="00F50BAC" w:rsidRDefault="00000000">
      <w:r>
        <w:t>The proceeds from the issue will support Eurobank Groups strategy to ensure ongoing compliance with its MREL requirement and further enhance its strong capital position.</w:t>
      </w:r>
    </w:p>
    <w:p w14:paraId="706358C7" w14:textId="77777777" w:rsidR="00F50BAC" w:rsidRDefault="00000000">
      <w:r>
        <w:t>The Groups decision to move to a less sophisticated method for capital requirements calculation was based on the fact that the historical data and performance on which IRB models are calibrated is of limited representativeness taking into account the recent economic developments.</w:t>
      </w:r>
    </w:p>
    <w:p w14:paraId="2E51C63A" w14:textId="77777777" w:rsidR="00F50BAC" w:rsidRDefault="00000000">
      <w:r>
        <w:t>These templates covered data considering, Top 15 Counterparties per climate relevant NACE 2 Sector under Credit and Market Risk Aggregated data for the main climate-relevant sectors under Credit and Market Risk Real Estate Interest Income and Fee and Commission Income The regulatory exercise aimed to assess the financial sector's resilience in alignment with the Fit-for-55 package, providing valuable insights into the financial system's capability to support the transition to a low-carbon economy, particularly under stress conditions.</w:t>
      </w:r>
    </w:p>
    <w:p w14:paraId="122E632F" w14:textId="77777777" w:rsidR="00F50BAC" w:rsidRDefault="00000000">
      <w:r>
        <w:lastRenderedPageBreak/>
        <w:t>They have been prepared in accordance with Part 8 of the Capital Requirements Regulation within CRD IV Regulation 2013575EU and according to the regulatory consolidation framework, which is described in the following section.</w:t>
      </w:r>
    </w:p>
    <w:p w14:paraId="189FB9D3" w14:textId="77777777" w:rsidR="00F50BAC" w:rsidRDefault="00000000">
      <w:r>
        <w:t>In December 2016, EBA published EBAGL201611 guidelines on revised Pillar 3 disclosures requirements to improve the consistency and comparability of institutions regulatory disclosures.</w:t>
      </w:r>
    </w:p>
    <w:p w14:paraId="42A88C86" w14:textId="77777777" w:rsidR="00F50BAC" w:rsidRDefault="00000000">
      <w:r>
        <w:t>The two ITS aim to promote market discipline through enhanced and comparable public disclosures for stakeholders and to keep the reporting requirements in line with the evolving needs for Supervisory Authorities' risk assessments.</w:t>
      </w:r>
    </w:p>
    <w:p w14:paraId="5723C559" w14:textId="77777777" w:rsidR="00F50BAC" w:rsidRDefault="00000000">
      <w:r>
        <w:t>Equivalent disclosures made by the Group under accounting, listing or other requirements are deemed to constitute compliance with the requirements of the aforementioned Regulation No 5752013 Part Eight taking into consideration any existing relevant implementing Regulations as well as the EBA guidelines.</w:t>
      </w:r>
    </w:p>
    <w:p w14:paraId="1256CAEA" w14:textId="77777777" w:rsidR="00F50BAC" w:rsidRDefault="00000000">
      <w:r>
        <w:t>Moreover, the Group has issued an internal approved by the BoD Consolidated Pillar 3 Disclosures Policy in order to ensure consistent and continuous compliance with the Pillar 3 disclosures requirements.</w:t>
      </w:r>
    </w:p>
    <w:p w14:paraId="26B335D9" w14:textId="77777777" w:rsidR="00F50BAC" w:rsidRDefault="00000000">
      <w:r>
        <w:t>In addition, the Group puts in place and maintains internal processes, systems and controls to verify that the disclosures are appropriate and in compliance with the aforementioned regulatory framework.</w:t>
      </w:r>
    </w:p>
    <w:p w14:paraId="44257A35" w14:textId="77777777" w:rsidR="00F50BAC" w:rsidRDefault="00000000">
      <w:r>
        <w:t>The Board exercises its responsibilities effectively and in accordance with the Greek legislation and international best practices, while its role is to provide entrepreneurial leadership to the Company and its subsidiaries Group within a framework of prudent and effective controls which enables risk to be assessed and managed.</w:t>
      </w:r>
    </w:p>
    <w:p w14:paraId="6CCE1BD1" w14:textId="77777777" w:rsidR="00F50BAC" w:rsidRDefault="00000000">
      <w:r>
        <w:t>In addition, the Company has adopted the Directors Diversity Policy which sets out the approach to diversity on the Board and it is in accordance with international best practices and the EU and Greek banking law provisions.</w:t>
      </w:r>
    </w:p>
    <w:p w14:paraId="3A0E1597" w14:textId="77777777" w:rsidR="00F50BAC" w:rsidRDefault="00000000">
      <w:r>
        <w:t>According to this Policy, Nomination and Corporate Governance Committees priority is to ensure that the Board continues to have strong leadership and the right mix of skills to deliver the business strategy.</w:t>
      </w:r>
    </w:p>
    <w:p w14:paraId="495F14A7" w14:textId="77777777" w:rsidR="00F50BAC" w:rsidRDefault="00000000">
      <w:r>
        <w:t>This indicates that Eurobank Holdings is meeting its diversity objectives, particularly concerning gender representation on the Board.</w:t>
      </w:r>
    </w:p>
    <w:p w14:paraId="5FA8197E" w14:textId="77777777" w:rsidR="00F50BAC" w:rsidRDefault="00000000">
      <w:r>
        <w:t>The Group has elected to apply the phase in approach for mitigating the impact of IFRS 9 transition on the regulatory capital.</w:t>
      </w:r>
    </w:p>
    <w:p w14:paraId="085C6305" w14:textId="77777777" w:rsidR="00F50BAC" w:rsidRDefault="00000000">
      <w:r>
        <w:t>Oversight and ultimate responsibility for the ICAAP lies with the BoD, which has assumed a leading role in developing a risk conscious organization and maintaining the Groups risk management at high levels of sophistication.</w:t>
      </w:r>
    </w:p>
    <w:p w14:paraId="5B4F7455" w14:textId="77777777" w:rsidR="00F50BAC" w:rsidRDefault="00000000">
      <w:r>
        <w:lastRenderedPageBreak/>
        <w:t>All material risks are appropriately managed and the relevant frameworks are regularly evaluated in order to identify ways of strengthening the risk management structure, enhance existing policies, establish new mitigation techniques and improve the internal calculation of capital requirements.</w:t>
      </w:r>
    </w:p>
    <w:p w14:paraId="122EBF97" w14:textId="77777777" w:rsidR="00F50BAC" w:rsidRDefault="00000000">
      <w:r>
        <w:t>The Group maintains adequate profitability and robust risk management practices, which along with the capital actions already executed or underway, allow the Group to meet both regulatory and internal capital requirements.</w:t>
      </w:r>
    </w:p>
    <w:p w14:paraId="2678CE1C" w14:textId="77777777" w:rsidR="00F50BAC" w:rsidRDefault="00000000">
      <w:r>
        <w:t>Due to the fact that economic, industry, regulatory and operating conditions will continue to change, risk management mechanisms are set in a manner that enables the Group to identify and deal with the risks associated with those changes.</w:t>
      </w:r>
    </w:p>
    <w:p w14:paraId="0387E23D" w14:textId="77777777" w:rsidR="00F50BAC" w:rsidRDefault="00000000">
      <w:r>
        <w:t>As such, the Group has allocated significant resources for upgrading its policies, methods and infrastructure, in order to ensure compliance with the regulatory requirements, as set out in the EU and Greek legislative acts, the legal acts of the ECB and the European Commission, the guidelines of the EBA and the best international banking practices.</w:t>
      </w:r>
    </w:p>
    <w:p w14:paraId="0EFEFE61" w14:textId="77777777" w:rsidR="00F50BAC" w:rsidRDefault="00000000">
      <w:r>
        <w:t>The risk management policies implemented by the Bank and its subsidiaries are reviewed annually.</w:t>
      </w:r>
    </w:p>
    <w:p w14:paraId="677175E6" w14:textId="77777777" w:rsidR="00F50BAC" w:rsidRDefault="00000000">
      <w:r>
        <w:t>In addition, the Group Risk Management is responsible for the establishment of the necessary policies, methodologies and tools, in order to effectively monitor risk levels within the Group.</w:t>
      </w:r>
    </w:p>
    <w:p w14:paraId="06C4EE45" w14:textId="77777777" w:rsidR="00F50BAC" w:rsidRDefault="00000000">
      <w:r>
        <w:t>The main objectives that determine the risk appetite refer to the compliance with regulatory requirements, the safeguard of the Groups ability to smoothly continue its activities, and the achievement of a balance of strong capital and liquidity adequacy with high returns on equity.</w:t>
      </w:r>
    </w:p>
    <w:p w14:paraId="4BF58E41" w14:textId="77777777" w:rsidR="00F50BAC" w:rsidRDefault="00000000">
      <w:r>
        <w:t>The BOD and BRC reviews and approves the risk appetite statements and thresholds at least on an annual basis to ensure compliance with the regulatory requirements and the Banks risk appetite in the prevailing business environment.</w:t>
      </w:r>
    </w:p>
    <w:p w14:paraId="265F2E81" w14:textId="77777777" w:rsidR="00F50BAC" w:rsidRDefault="00000000">
      <w:r>
        <w:t>Interest rate risk in the Banking Book and Credit Spread Risk in the Banking Book are closely monitored Regulatory framework for Counterparty Credit Risk SA-CCR.</w:t>
      </w:r>
    </w:p>
    <w:p w14:paraId="2C87CB01" w14:textId="77777777" w:rsidR="00F50BAC" w:rsidRDefault="00000000">
      <w:r>
        <w:t>New regulatory framework for Market Risk FRTB Fundamental Review of the Trading Book SA.</w:t>
      </w:r>
    </w:p>
    <w:p w14:paraId="7083AB6B" w14:textId="77777777" w:rsidR="00F50BAC" w:rsidRDefault="00000000">
      <w:r>
        <w:t>Implementing the governance framework for all products and services groupwide.</w:t>
      </w:r>
    </w:p>
    <w:p w14:paraId="065421B5" w14:textId="77777777" w:rsidR="00F50BAC" w:rsidRDefault="00000000">
      <w:r>
        <w:t>Active participation in the regulatory audits and major internal projects of the Bank, providing at the same time credit related knowledge, expertise and support to other units.</w:t>
      </w:r>
    </w:p>
    <w:p w14:paraId="649DDD91" w14:textId="77777777" w:rsidR="00F50BAC" w:rsidRDefault="00000000">
      <w:r>
        <w:t>Active participation in the regulatory audits and major internal projects of the Bank, providing at the same time credit related knowledge, expertise and support to other units.</w:t>
      </w:r>
    </w:p>
    <w:p w14:paraId="08733ABD" w14:textId="7B9E0C95" w:rsidR="00F50BAC" w:rsidRDefault="00000000">
      <w:r>
        <w:lastRenderedPageBreak/>
        <w:t>The main activities of Group Credit Risk Capital Adequacy Control are, Development, implementation and monitoring of forecasting models linking macroeconomic factors with credit quality</w:t>
      </w:r>
      <w:r w:rsidR="00261F47">
        <w:t xml:space="preserve"> f</w:t>
      </w:r>
      <w:r>
        <w:t>orecasted 1yr PD, lifetime PD metrics etc for the loan portfolios of the Group for IFRS9 and Stress Testing purposes.</w:t>
      </w:r>
    </w:p>
    <w:p w14:paraId="47A128D8" w14:textId="77777777" w:rsidR="00F50BAC" w:rsidRDefault="00000000">
      <w:r>
        <w:t>In co-operation with the Remedial Strategy performing the ongoing monitoring of SRT for securitization positions and provide the relevant regulatory reports to the Competent Authorities.</w:t>
      </w:r>
    </w:p>
    <w:p w14:paraId="0CA8CB8D" w14:textId="77777777" w:rsidR="00F50BAC" w:rsidRDefault="00000000">
      <w:r>
        <w:t>Participation in several remedial strategy related projects in terms of development of the loss budget, risk assessmentimpact of various programmes and new products, sensitivity scenarios.</w:t>
      </w:r>
    </w:p>
    <w:p w14:paraId="429594F9" w14:textId="77777777" w:rsidR="00F50BAC" w:rsidRDefault="00000000">
      <w:r>
        <w:t>Preparing in-depth analysis regarding the credit quality of new disbursements according to the risk appetite limits and the sustainability of forbearance measures.</w:t>
      </w:r>
    </w:p>
    <w:p w14:paraId="0F8AB390" w14:textId="220162B7" w:rsidR="00F50BAC" w:rsidRDefault="00000000">
      <w:r>
        <w:t xml:space="preserve">Monitoring of the regulatory framework in relation to the STD approach performing impact assessment </w:t>
      </w:r>
      <w:r w:rsidR="003703D8">
        <w:t>q</w:t>
      </w:r>
      <w:r>
        <w:t>uantitative Impact Studies QIS, initiating and managing relevant projects.</w:t>
      </w:r>
    </w:p>
    <w:p w14:paraId="5717498B" w14:textId="77777777" w:rsidR="00F50BAC" w:rsidRDefault="00000000">
      <w:r>
        <w:t>In more detail, the tasks of the Unit are outlined as follows, Prepare and update the Groups Models Framework to include model definition, roles involved per model, model classification principles and methodology, model validation principles, materiality classifications and thresholds, models registry governance, etc.</w:t>
      </w:r>
    </w:p>
    <w:p w14:paraId="336D361C" w14:textId="77777777" w:rsidR="00F50BAC" w:rsidRDefault="00000000">
      <w:r>
        <w:t>Conduct model validation tests in alignment with the Group Model Validation Framework and regulatory requirements.</w:t>
      </w:r>
    </w:p>
    <w:p w14:paraId="7FC19720" w14:textId="77777777" w:rsidR="00F50BAC" w:rsidRDefault="00000000">
      <w:r>
        <w:t>Monitor industry practices on the development and use of models as well as related ECB guidelines and restrictions.</w:t>
      </w:r>
    </w:p>
    <w:p w14:paraId="40CFA75A" w14:textId="27B09320" w:rsidR="00F50BAC" w:rsidRDefault="00000000">
      <w:r>
        <w:t xml:space="preserve">Monitor the performance of the senior notes of the securitizations in collaboration with Group Risk </w:t>
      </w:r>
      <w:proofErr w:type="gramStart"/>
      <w:r>
        <w:t>so as to</w:t>
      </w:r>
      <w:proofErr w:type="gramEnd"/>
      <w:r>
        <w:t xml:space="preserve"> ensure compliance to Significant Risk Transfer and to the Hellenic Asset Protection Scheme</w:t>
      </w:r>
      <w:r w:rsidR="00D76C59">
        <w:t>.</w:t>
      </w:r>
    </w:p>
    <w:p w14:paraId="795403C7" w14:textId="77777777" w:rsidR="00F50BAC" w:rsidRDefault="00000000">
      <w:r>
        <w:t>It has a fixed reporting cycle to ensure that the relevant management bodies and the BRC, are updated on an ongoing basis on the developments in the credit portfolio.</w:t>
      </w:r>
    </w:p>
    <w:p w14:paraId="2721F290" w14:textId="77777777" w:rsidR="00F50BAC" w:rsidRDefault="00000000">
      <w:r>
        <w:t>Generally, the Group derives these parameters from internally developed statistical models and observed point-intime and historical data, or by international rating agencies, where applicable, leveraging the existing infrastructure development for the regulatory framework and risk management practices.</w:t>
      </w:r>
    </w:p>
    <w:p w14:paraId="5C634F29" w14:textId="77777777" w:rsidR="00F50BAC" w:rsidRDefault="00000000">
      <w:r>
        <w:t>Additionally, the Bank is in a position to apply the regulatory framework for transactions not cleared through central counterparty.</w:t>
      </w:r>
    </w:p>
    <w:p w14:paraId="68E0B15B" w14:textId="38813716" w:rsidR="00F50BAC" w:rsidRDefault="00000000">
      <w:r>
        <w:t xml:space="preserve">Ensures that the Group has developed an appropriate market and counterparty Risk management framework which is embedded in the </w:t>
      </w:r>
      <w:proofErr w:type="gramStart"/>
      <w:r>
        <w:t>decision making</w:t>
      </w:r>
      <w:proofErr w:type="gramEnd"/>
      <w:r>
        <w:t xml:space="preserve"> process</w:t>
      </w:r>
      <w:r w:rsidR="00497B2A">
        <w:t>.</w:t>
      </w:r>
    </w:p>
    <w:p w14:paraId="0F00EB9E" w14:textId="77777777" w:rsidR="00F50BAC" w:rsidRDefault="00000000">
      <w:r>
        <w:lastRenderedPageBreak/>
        <w:t>New products introduction, risk adjusted pricing, risk adjusted performance measures and capital allocation throughout the organization and its subsidiaries.</w:t>
      </w:r>
    </w:p>
    <w:p w14:paraId="315BD408" w14:textId="77777777" w:rsidR="00F50BAC" w:rsidRDefault="00000000">
      <w:r>
        <w:t>Ensuring compliance with regulatory requirements as they relate to market and counterparty risk.</w:t>
      </w:r>
    </w:p>
    <w:p w14:paraId="2AE20343" w14:textId="77777777" w:rsidR="00F50BAC" w:rsidRDefault="00000000">
      <w:r>
        <w:t>Risk measures The Bank uses risk measures that enable them to monitor compliance with limits agreed at Group level.</w:t>
      </w:r>
    </w:p>
    <w:p w14:paraId="3BA3D856" w14:textId="77777777" w:rsidR="00F50BAC" w:rsidRDefault="00000000">
      <w:r>
        <w:t>According to the regulatory framework, which takes into account a 250 working days period, the multiplier is equal to 3.</w:t>
      </w:r>
    </w:p>
    <w:p w14:paraId="397162D5" w14:textId="77777777" w:rsidR="00F50BAC" w:rsidRDefault="00000000">
      <w:r>
        <w:t>The primary goal of operational risk management is to ensure the integrity of the Groups operations and its reputation by mitigating its impact.</w:t>
      </w:r>
    </w:p>
    <w:p w14:paraId="4DE96536" w14:textId="77777777" w:rsidR="00F50BAC" w:rsidRDefault="00000000">
      <w:r>
        <w:t>Line 2 Monitor risk and controls in support of Executive Management, providing oversight, challenge, advice and group-wide direction.</w:t>
      </w:r>
    </w:p>
    <w:p w14:paraId="0DDCAEAC" w14:textId="77777777" w:rsidR="00F50BAC" w:rsidRDefault="00000000">
      <w:r>
        <w:t>In this direction, the Bank has established a new Non-Financial Risk Management Framework to define its approach to identifying, assessing, managing, monitoring and reporting operational and other non-financial risks.</w:t>
      </w:r>
    </w:p>
    <w:p w14:paraId="6625BF18" w14:textId="77777777" w:rsidR="00F50BAC" w:rsidRDefault="00000000">
      <w:r>
        <w:t>Product Governance Product governance safeguards the implementation of the governance framework for all products and services groupwide, throughout their lifecycle, according to which, financial and non-financial risks are assessed.</w:t>
      </w:r>
    </w:p>
    <w:p w14:paraId="5120E7EA" w14:textId="77777777" w:rsidR="00F50BAC" w:rsidRDefault="00000000">
      <w:r>
        <w:t>The required business line beta factors are then applied to the relevant business line gross operating income, to establish the required regulatory capital per business line.</w:t>
      </w:r>
    </w:p>
    <w:p w14:paraId="766DE0EF" w14:textId="77777777" w:rsidR="00F50BAC" w:rsidRDefault="00000000">
      <w:r>
        <w:t>Leverage Ratio The regulatory framework has introduced the leverage ratio as a non-risk based measure which is intended to restrict the build-up of excessive leverage from on and off balance sheet items in the banking sector.</w:t>
      </w:r>
    </w:p>
    <w:p w14:paraId="705B245C" w14:textId="77777777" w:rsidR="00F50BAC" w:rsidRDefault="00000000">
      <w:r>
        <w:t>A key strategic objective is to adapt the Groups business and operations in a way that addresses the challenges of climate change, accommodate social needs within its business model and safeguard prudent governance for itself and its counterparties, in accordance with supervisory initiatives and following international standards best practices.</w:t>
      </w:r>
    </w:p>
    <w:p w14:paraId="738EE111" w14:textId="77777777" w:rsidR="00F50BAC" w:rsidRDefault="00000000">
      <w:r>
        <w:t>To this end, Eurobank has designed, approved and is currently implementing the Groups Sustainability Strategy, which has been defined in a holistic approach that includes targets and commitments along two key pillars.</w:t>
      </w:r>
    </w:p>
    <w:p w14:paraId="4B5D4EEC" w14:textId="77777777" w:rsidR="00F50BAC" w:rsidRDefault="00000000">
      <w:r>
        <w:t>Eurobank has expressed the Environmental, Social and Governance aspect of its business through the lens of Impact generation.</w:t>
      </w:r>
    </w:p>
    <w:p w14:paraId="55A9966A" w14:textId="77777777" w:rsidR="00F50BAC" w:rsidRDefault="00000000">
      <w:r>
        <w:t>To this end, the Operational Impact strategy comprises of the following three strategic pillars, namely, Environmental Impact with the objective to minimize negative impact across the Banks value chain to promote environmental stewardship.</w:t>
      </w:r>
    </w:p>
    <w:p w14:paraId="65FC42D0" w14:textId="77777777" w:rsidR="00F50BAC" w:rsidRDefault="00000000">
      <w:r>
        <w:lastRenderedPageBreak/>
        <w:t>The aim is to minimize Scope 1 and 2 emissions, become a paperless banking network and extend circular economy practices.</w:t>
      </w:r>
    </w:p>
    <w:p w14:paraId="199C0B65" w14:textId="77777777" w:rsidR="00F50BAC" w:rsidRDefault="00000000">
      <w:r>
        <w:t>Employers Impact with the objective to empower people to perform at their best through an environment, that promotes ethics and integrity.</w:t>
      </w:r>
    </w:p>
    <w:p w14:paraId="126DCF67" w14:textId="77777777" w:rsidR="00F50BAC" w:rsidRDefault="00000000">
      <w:r>
        <w:t>Social and Business Impact with the objective to drive positive change for entrepreneurs and wider communities to foster sustainable development and ensure social prosperity.</w:t>
      </w:r>
    </w:p>
    <w:p w14:paraId="19BA4E41" w14:textId="77777777" w:rsidR="00F50BAC" w:rsidRDefault="00000000">
      <w:r>
        <w:t>The aim is to intensify sustainable procurement practices, rationalize Socio-Economic Impact, as well as boost transparency and ESG capacity.</w:t>
      </w:r>
    </w:p>
    <w:p w14:paraId="1B58D10F" w14:textId="77777777" w:rsidR="00F50BAC" w:rsidRDefault="00000000">
      <w:r>
        <w:t>To achieve this objective, the Financed Impact strategy is structured around the following four strategic areas namely, Clients engagement and awareness to adapt their business so as to address climate change challenges.</w:t>
      </w:r>
    </w:p>
    <w:p w14:paraId="3958DDD4" w14:textId="77777777" w:rsidR="00F50BAC" w:rsidRDefault="00000000">
      <w:r>
        <w:t>Environmental, Social and Governance Risks 116 1 D e c e m b e r 2023 Consolidated Pillar 3 Report Making progress along the two pillars of the Sustainability Strategy, the Bank aims to maximize its contribution to achieving the Paris Climate Agreements targets and the UN Sustainable Development Goals.</w:t>
      </w:r>
    </w:p>
    <w:p w14:paraId="2142DC65" w14:textId="77777777" w:rsidR="00F50BAC" w:rsidRDefault="00000000">
      <w:r>
        <w:t>Through a set of actions with measurable targets, the Sustainability Strategy reflects the Groups vision in the short, medium and long term in relation to the environment, its social footprint, with focus on its people, and the ESG impact on the market and its portfolio.</w:t>
      </w:r>
    </w:p>
    <w:p w14:paraId="1D0DC205" w14:textId="77777777" w:rsidR="00F50BAC" w:rsidRDefault="00000000">
      <w:r>
        <w:t>Eurobanks strategy as regards environmental risk management is continuously updated, taking into account, inter alia, market, regulatory, as well as technological developments.</w:t>
      </w:r>
    </w:p>
    <w:p w14:paraId="33D8FD8D" w14:textId="77777777" w:rsidR="00F50BAC" w:rsidRDefault="00000000">
      <w:r>
        <w:t>In this context, the applicable provisions defined by the Bank in this respect, as well as its relevant documents policies frameworks are updated periodically, accounting for emerging best market practices in environmental risk management.</w:t>
      </w:r>
    </w:p>
    <w:p w14:paraId="2DFBFE09" w14:textId="130C38BB" w:rsidR="00F50BAC" w:rsidRDefault="00000000">
      <w:r>
        <w:t>In addition, stakeholders'</w:t>
      </w:r>
      <w:r w:rsidR="00497B2A">
        <w:t>, c</w:t>
      </w:r>
      <w:r>
        <w:t>onsumers', borrowers, investors and issuers' sustainability priorities and targets are accounted for in the Sustainable Finance Framework, the Green Bond Framework and the Sustainable Investment Framework, allowing the Bank to conduct its relevant financing investment funding activities while ensuring compliance with regulatory expectations.</w:t>
      </w:r>
    </w:p>
    <w:p w14:paraId="374D7211" w14:textId="77777777" w:rsidR="00F50BAC" w:rsidRDefault="00000000">
      <w:r>
        <w:t>Recognizing that climate change presents new challenges and unique opportunities, we strive to be at the forefront of enabling our clients develop and reap these opportunities in order to support their low carbon transition.</w:t>
      </w:r>
    </w:p>
    <w:p w14:paraId="311DC500" w14:textId="77777777" w:rsidR="00F50BAC" w:rsidRDefault="00000000">
      <w:r>
        <w:t>Align loan portfolio and investments with a net zero carbon footprint by 2050 by developing a robust action plan and roadmap including intermediate targets to net zero and commitment.</w:t>
      </w:r>
    </w:p>
    <w:p w14:paraId="5E1B6E22" w14:textId="77777777" w:rsidR="00F50BAC" w:rsidRDefault="00000000">
      <w:r>
        <w:lastRenderedPageBreak/>
        <w:t>Actively support clients climate transition journey with an ambition to further increase sustainable financing going forward.</w:t>
      </w:r>
    </w:p>
    <w:p w14:paraId="5D5D0616" w14:textId="77777777" w:rsidR="00F50BAC" w:rsidRDefault="00000000">
      <w:r>
        <w:t>Continue to contribute to the residential green lending sector through the state susbidized Exoikonomo programs The Operational and Financed pillars of the Sustainability Strategy are combined to address Eurobanks path towards Net Zero by 2050.</w:t>
      </w:r>
    </w:p>
    <w:p w14:paraId="54BF5DDF" w14:textId="77777777" w:rsidR="00F50BAC" w:rsidRDefault="00000000">
      <w:r>
        <w:t>In line with Eurobanks commitment to the UNEP FI Principles for Responsible Banking, the development Environmental, Social and Governance Risks 118 1 D e c e m b e r 2023 Consolidated Pillar 3 Report of the Sustainability Strategy aims, among others, to identify the most significant impacts on the societies and environment where it operates, capitalizing on the positive ones while minimizing the negative impacts.</w:t>
      </w:r>
    </w:p>
    <w:p w14:paraId="4C8112B8" w14:textId="77777777" w:rsidR="00F50BAC" w:rsidRDefault="00000000">
      <w:r>
        <w:t>To this end, its commitment to support the transition to a greener economy, by offering financing solutions that foster growth and sustainable development, is at the core of its Financed Impact strategy.</w:t>
      </w:r>
    </w:p>
    <w:p w14:paraId="0EB80D77" w14:textId="77777777" w:rsidR="00F50BAC" w:rsidRDefault="00000000">
      <w:r>
        <w:t>Leveraging on tools, and enablers such as the climate risk assessment exercises and the Sustainable Finance Framework, the Banks strategic approach is to support the achievement of the climate and environmental objectives, through financing and advisory solutions to current and potential clientele.</w:t>
      </w:r>
    </w:p>
    <w:p w14:paraId="45E941EE" w14:textId="77777777" w:rsidR="00F50BAC" w:rsidRDefault="00000000">
      <w:r>
        <w:t>UN SDGs Sustainable Development Goals, Active supporter of the UN SDGs in line with the UN Global Compact signatory commitment above.</w:t>
      </w:r>
    </w:p>
    <w:p w14:paraId="20932E0A" w14:textId="225D3BBD" w:rsidR="00F50BAC" w:rsidRDefault="00000000">
      <w:r>
        <w:t>The Bank provides financing for landmark initiatives in the areas of renewable energy sources</w:t>
      </w:r>
      <w:r w:rsidR="00D76C59">
        <w:t xml:space="preserve"> </w:t>
      </w:r>
      <w:r>
        <w:t>sustainable infrastructure and environmentally friendly solutions.</w:t>
      </w:r>
    </w:p>
    <w:p w14:paraId="495A02A9" w14:textId="77777777" w:rsidR="00F50BAC" w:rsidRDefault="00000000">
      <w:r>
        <w:t>Guiding Frameworks Committed to being transparent about its approach and to ensure that decision-making is in line with best practices in environmental protection and sustainability, Eurobank has developed the following three guiding frameworks, defining the approach and criteria for classifying its financing and investing activities as sustainable.</w:t>
      </w:r>
    </w:p>
    <w:p w14:paraId="1D24DCBF" w14:textId="77777777" w:rsidR="00F50BAC" w:rsidRDefault="00000000">
      <w:r>
        <w:t>Eurobank has drawn on internationally recognized industry guidelines and principles for the development of the SFF and is fully committed to being transparent about its ESG approach.</w:t>
      </w:r>
    </w:p>
    <w:p w14:paraId="2A354C93" w14:textId="77777777" w:rsidR="00F50BAC" w:rsidRDefault="00000000">
      <w:r>
        <w:t>Dedicated-purpose Green Social Loans Project-specific loans or financing instruments whose use of proceeds is 100% directed towards eligible green social activities.</w:t>
      </w:r>
    </w:p>
    <w:p w14:paraId="59C77E4A" w14:textId="77777777" w:rsidR="00F50BAC" w:rsidRDefault="00000000">
      <w:r>
        <w:t>The accomplishment of the relevant targets is monitored using specific KPIs which are selected according to the clients activity sector industry and in agreement with the clients sustainability agenda.</w:t>
      </w:r>
    </w:p>
    <w:p w14:paraId="5544C362" w14:textId="77777777" w:rsidR="00F50BAC" w:rsidRDefault="00000000">
      <w:r>
        <w:t>The eligible green projects contribute to the UN SDGs, the EU environmental objectives and the eligibility criteria align, on a best effort basis, with the Technical Screening Criteria of the EU Taxonomy Climate Delegated Act.</w:t>
      </w:r>
    </w:p>
    <w:p w14:paraId="4A087306" w14:textId="77777777" w:rsidR="00F50BAC" w:rsidRDefault="00000000">
      <w:r>
        <w:lastRenderedPageBreak/>
        <w:t>Eurobank intends to invest in sustainable development with the aim of improving its impact on environmental sustainability, social responsibility, and corporate governance.</w:t>
      </w:r>
    </w:p>
    <w:p w14:paraId="413180A6" w14:textId="77777777" w:rsidR="00F50BAC" w:rsidRDefault="00000000">
      <w:r>
        <w:t>Engagement with Our Counterparties for Environmental Risk Mitigation In order to facilitate the green transition of its clients, Eurobank has developed a dedicated approach to increase clients engagement and awareness regarding environmental risks.</w:t>
      </w:r>
    </w:p>
    <w:p w14:paraId="2321477C" w14:textId="77777777" w:rsidR="00F50BAC" w:rsidRDefault="00000000">
      <w:r>
        <w:t>In this context, as per its Responsible Investment Policy, Eurobank Asset Management M.</w:t>
      </w:r>
    </w:p>
    <w:p w14:paraId="4EC01818" w14:textId="77777777" w:rsidR="00F50BAC" w:rsidRDefault="00000000">
      <w:r>
        <w:t>Is committed at two levels, as regards the environmental risk assessment of the Greek investee companies in which the Companys Funds and Portfolios invest, 1.</w:t>
      </w:r>
    </w:p>
    <w:p w14:paraId="3A692577" w14:textId="77777777" w:rsidR="00F50BAC" w:rsidRDefault="00000000">
      <w:r>
        <w:t>Company engagement, The aim is to encourage companies to achieve the highest possible standards in terms of environmental responsibility and to support them in this process.</w:t>
      </w:r>
    </w:p>
    <w:p w14:paraId="6ECF0A6A" w14:textId="77777777" w:rsidR="00F50BAC" w:rsidRDefault="00000000">
      <w:r>
        <w:t>It is among the Groups priorities to identify, assess, manage and mitigate relevant risks, with a view towards ensuring alignment with its business strategy, as well as regulatory and industry developments.</w:t>
      </w:r>
    </w:p>
    <w:p w14:paraId="1A08D2EF" w14:textId="77777777" w:rsidR="007C10B2" w:rsidRDefault="00000000">
      <w:r>
        <w:t>In addition, Eurobank has updated its governance structure by introducing and defining specific roles and responsibilities in relation to ESG and climate-related and environmental risks, embedding regulatory guidelines and market practices and involving various key stakeholders</w:t>
      </w:r>
      <w:r w:rsidR="007C10B2">
        <w:t>.</w:t>
      </w:r>
    </w:p>
    <w:p w14:paraId="5EF94139" w14:textId="721B3D3A" w:rsidR="00F50BAC" w:rsidRDefault="00000000">
      <w:r>
        <w:t>Eurobanks ESG Governance model ensures that the management of relevant climate-related and environmental risks is integrated into the Banks Three Lines of Defense.</w:t>
      </w:r>
    </w:p>
    <w:p w14:paraId="5DA9B4BC" w14:textId="77777777" w:rsidR="00F50BAC" w:rsidRDefault="00000000">
      <w:r>
        <w:t>Environmental, Social &amp; Governance Management Committee and Climate Risk Stress Test Committee.</w:t>
      </w:r>
    </w:p>
    <w:p w14:paraId="52876903" w14:textId="77777777" w:rsidR="00F50BAC" w:rsidRDefault="00000000">
      <w:r>
        <w:t>Integration of CR&amp;E Risk Management across the Three Lines of Defense Dedicated teams within CIB and Retail, for overseeing ESG and sustainable financing activities.</w:t>
      </w:r>
    </w:p>
    <w:p w14:paraId="2FD47454" w14:textId="77777777" w:rsidR="00F50BAC" w:rsidRDefault="00000000">
      <w:r>
        <w:t>The Boards establishes the Groups strategic objectives, ensure the availability of essential financial and human resources for the Group to fulfill its purpose and evaluates management performance.</w:t>
      </w:r>
    </w:p>
    <w:p w14:paraId="047F8500" w14:textId="77777777" w:rsidR="00F50BAC" w:rsidRDefault="00000000">
      <w:r>
        <w:t>As part of his duties, this member updates, at least on a semi-annual basis, the Eurobank Holdings Eurobank BRC, which in accordance with their Terms of Reference, are responsible to oversee among others the climate-related and environmental risks.</w:t>
      </w:r>
    </w:p>
    <w:p w14:paraId="2B1DF33E" w14:textId="77777777" w:rsidR="00F50BAC" w:rsidRDefault="00000000">
      <w:r>
        <w:t>In addition, Eurobank Holdings Eurobank BRC determine, among others, the principles which govern risk management including climate-related and environmental risks across the Bank and the Group in terms of identifying, measuring, monitoring, controlling, and mitigating risks.</w:t>
      </w:r>
    </w:p>
    <w:p w14:paraId="501A3CD6" w14:textId="77777777" w:rsidR="007C10B2" w:rsidRDefault="00000000">
      <w:r>
        <w:t>To this end, they approve risk principles, risk policies, risk procedures and risk methodologies and Specific Risk Management Framework</w:t>
      </w:r>
      <w:r w:rsidR="007C10B2">
        <w:t>.</w:t>
      </w:r>
    </w:p>
    <w:p w14:paraId="1340935A" w14:textId="40DBECDA" w:rsidR="00F50BAC" w:rsidRDefault="00000000">
      <w:r>
        <w:lastRenderedPageBreak/>
        <w:t>As part of its responsibilities, the MRC facilitates the reporting to the BRC on a wide range of risk-related topics under its purview, including climate and environmental risks.</w:t>
      </w:r>
    </w:p>
    <w:p w14:paraId="2F618D6F" w14:textId="77777777" w:rsidR="00F50BAC" w:rsidRDefault="00000000">
      <w:r>
        <w:t>It is chaired by the Board Member responsible for CR&amp;E risks.</w:t>
      </w:r>
    </w:p>
    <w:p w14:paraId="4C7B9578" w14:textId="77777777" w:rsidR="00F50BAC" w:rsidRDefault="00000000">
      <w:r>
        <w:t>Additionally, the Bank aims to include the impact of climate change and environmental factors in its strategic targets and decision-making processes, as these risks are expected to be increased in the long term.</w:t>
      </w:r>
    </w:p>
    <w:p w14:paraId="3C21F4A3" w14:textId="77777777" w:rsidR="00F50BAC" w:rsidRDefault="00000000">
      <w:r>
        <w:t>In addition, the role of the ESG Unit in the 1st line of defense includes the responsibility for the design and monitoring of the implementation of the Operational Impact Strategy, as well as Sustainability Reporting, Environmental &amp; Energy Reporting Eco-Management and Audit Scheme EMAS Report, Greenhouse Gases Emissions Report per ISO 14064 and ESG ratings.</w:t>
      </w:r>
    </w:p>
    <w:p w14:paraId="7DB2D519" w14:textId="77777777" w:rsidR="00F50BAC" w:rsidRDefault="00000000">
      <w:r>
        <w:t>Within the GRM, a dedicated Group Climate Risk has been established, with the overall responsibility for overseeing, monitoring, and managing ESG CR&amp;E risks and sustainable financing activities, in cooperation with the other Units of the GRM, as well as the Group Compliance.</w:t>
      </w:r>
    </w:p>
    <w:p w14:paraId="50A60FA6" w14:textId="77777777" w:rsidR="00F50BAC" w:rsidRDefault="00000000">
      <w:r>
        <w:t>Dedicated roles in existing Units on sustainability and climate related &amp; environmental matters Business Units Business Units, namely, Corporate &amp; Investment Banking and Retail Banking are primarily involved in the execution of all portfolio-related ESG activities including the implementation of the financed impact strategy.</w:t>
      </w:r>
    </w:p>
    <w:p w14:paraId="0DB33EFB" w14:textId="77777777" w:rsidR="00F50BAC" w:rsidRDefault="00000000">
      <w:r>
        <w:t>Sustainability Strategy Execution and monitoring of financed and specific operational ESG goals and performance targets.</w:t>
      </w:r>
    </w:p>
    <w:p w14:paraId="3083D756" w14:textId="77777777" w:rsidR="00F50BAC" w:rsidRDefault="00000000">
      <w:r>
        <w:t>Performance of the Sustainable Financing assessment in line with the Sustainable Finance Framework.</w:t>
      </w:r>
    </w:p>
    <w:p w14:paraId="4CE8C1E7" w14:textId="77777777" w:rsidR="00F50BAC" w:rsidRDefault="00000000">
      <w:r>
        <w:t>Environmental, Social and Governance Risks 126 1 D e c e m b e r 2023 Consolidated Pillar 3 Report To effectively manage ESG and sustainable financing related CIB activities, a dedicated function, the Sustainability Center of Excellence is being initiated.</w:t>
      </w:r>
    </w:p>
    <w:p w14:paraId="18639595" w14:textId="77777777" w:rsidR="00F50BAC" w:rsidRDefault="00000000">
      <w:r>
        <w:t>More specifically, GCR prepares and maintains the Banks CR&amp;E risks climate-related risk management policies, processes and methodologies in collaboration with the ESG, Business &amp; Risk Units.</w:t>
      </w:r>
    </w:p>
    <w:p w14:paraId="3F6E46BA" w14:textId="77777777" w:rsidR="00F50BAC" w:rsidRDefault="00000000">
      <w:r>
        <w:t>The GCR supports and coordinates the involved stakeholders regarding the setting and implementation of the financed impact strategy through the identification of material CR&amp;E risks, as well as it monitors the Financed Impact Strategy and reports financial targets and KPIs.</w:t>
      </w:r>
    </w:p>
    <w:p w14:paraId="049C1FFF" w14:textId="77777777" w:rsidR="00F50BAC" w:rsidRDefault="00000000">
      <w:r>
        <w:t>Furthermore, the GCR develops and maintains Climate Risk Stress Testing Framework, as well as Scenario Analysis and Stress Test methodologies &amp; coordinates the performance of CR&amp;E Risk scenario analysis and relevant stress test exercises at a Group level.</w:t>
      </w:r>
    </w:p>
    <w:p w14:paraId="7484259E" w14:textId="77777777" w:rsidR="00F50BAC" w:rsidRDefault="00000000">
      <w:r>
        <w:lastRenderedPageBreak/>
        <w:t>Being responsible for the oversight of the Banks overall ESG operational performance, its key roles include the centralized management of ESG Ratings, seeking continuous improvement in related scores.</w:t>
      </w:r>
    </w:p>
    <w:p w14:paraId="0CA41025" w14:textId="77777777" w:rsidR="00F50BAC" w:rsidRDefault="00000000">
      <w:r>
        <w:t>Regulatory compliance Monitors the regulatory environment and emerging trends around sustainable financing, and informs the Bank of the respective changes enhancements to the relevant policies and documents regarding sustainable financing offerings.</w:t>
      </w:r>
    </w:p>
    <w:p w14:paraId="0D0C0495" w14:textId="77777777" w:rsidR="00F50BAC" w:rsidRDefault="00000000">
      <w:r>
        <w:t>Environmental, Social and Governance Risks 127 1 D e c e m b e r 2023 Consolidated Pillar 3 Report Issues a regulatory bulletin which includes regulatory developments and their impact on the Banks operation.</w:t>
      </w:r>
    </w:p>
    <w:p w14:paraId="211870E4" w14:textId="77777777" w:rsidR="00F50BAC" w:rsidRDefault="00000000">
      <w:r>
        <w:t>In recent years, the IAG has recognised ESG CR&amp;E internal controls and the risk management framework, as an area of focus and has taken several initiatives and actions within its strategy.</w:t>
      </w:r>
    </w:p>
    <w:p w14:paraId="41AFAD79" w14:textId="77777777" w:rsidR="00F50BAC" w:rsidRDefault="00000000">
      <w:r>
        <w:t>These aim to ensure adequate coverage of the area, in line with the Banks strategy, as well as industry and regulatory developments.</w:t>
      </w:r>
    </w:p>
    <w:p w14:paraId="0B9EE236" w14:textId="205EE962" w:rsidR="00F50BAC" w:rsidRDefault="00000000">
      <w:r>
        <w:t>This comes in parallel with other initiatives in place, aimed at further upskilling through dedicated training sessions, on-the-job upskilling participation and consultation in the Banks projects and initiatives around ESG and increased awareness</w:t>
      </w:r>
      <w:r w:rsidR="007C10B2">
        <w:t>.</w:t>
      </w:r>
    </w:p>
    <w:p w14:paraId="6958F0A1" w14:textId="77777777" w:rsidR="00F50BAC" w:rsidRDefault="00000000">
      <w:r>
        <w:t>IAGs ESG Focus Group focused at sharing knowledge on ESG practice and regulatory initiatives.</w:t>
      </w:r>
    </w:p>
    <w:p w14:paraId="1414477A" w14:textId="77777777" w:rsidR="00F50BAC" w:rsidRDefault="00000000">
      <w:r>
        <w:t>ESG Audit Universe Coverage and Audit Planning, Following the infrastructure steps described above, since 2021 IAG is carrying out several assignments around ESG, in parallel with the monitoring of the Banks initiatives in this area on a risk-based approach.</w:t>
      </w:r>
    </w:p>
    <w:p w14:paraId="6906D7E1" w14:textId="77777777" w:rsidR="00F50BAC" w:rsidRDefault="00000000">
      <w:r>
        <w:t>Key areas of focus include risk materiality, governance and strategy, C&amp;E risk management framework, products design and offering, reporting disclosures, etc.</w:t>
      </w:r>
    </w:p>
    <w:p w14:paraId="4694B44B" w14:textId="77777777" w:rsidR="00F50BAC" w:rsidRDefault="00000000">
      <w:r>
        <w:t>These initiatives come in addition to the existing coverage by IAG in ESG-related areas, such as consideration of AML-perspectives in loan origination governance-social financing practices, review of compliance with code of conduct or market practice codes governance operational and financing practices and relevant non-recurring and forensic audit work.</w:t>
      </w:r>
    </w:p>
    <w:p w14:paraId="51D58E1E" w14:textId="77777777" w:rsidR="00F50BAC" w:rsidRDefault="00000000">
      <w:r>
        <w:t>To this end, in addition to launching ESG initiatives for its clients, Eurobank implements an ESG upskilling program for its employees.</w:t>
      </w:r>
    </w:p>
    <w:p w14:paraId="785B6688" w14:textId="19EA2CBC" w:rsidR="00F50BAC" w:rsidRDefault="00000000">
      <w:r>
        <w:t xml:space="preserve">Additionally, the Banks Business Units maintain and update appropriate templates and mechanisms </w:t>
      </w:r>
      <w:proofErr w:type="gramStart"/>
      <w:r>
        <w:t>in order to</w:t>
      </w:r>
      <w:proofErr w:type="gramEnd"/>
      <w:r>
        <w:t xml:space="preserve"> monitor respective sustainable financing disbursement amounts</w:t>
      </w:r>
      <w:r w:rsidR="007C10B2">
        <w:t>, r</w:t>
      </w:r>
      <w:r>
        <w:t>egarding Green and Social Loans, in line with the provisions of the Banks SFF.</w:t>
      </w:r>
    </w:p>
    <w:p w14:paraId="65795562" w14:textId="77777777" w:rsidR="00F50BAC" w:rsidRDefault="00000000">
      <w:r>
        <w:lastRenderedPageBreak/>
        <w:t>The Remuneration Policy forms an integral part of the Banks corporate governance practice and is developed in accordance with its operational model, business strategy, objectives, long-term interests of the Bank and incorporates measures to avoid conflict of interest.</w:t>
      </w:r>
    </w:p>
    <w:p w14:paraId="7ACD72AE" w14:textId="77777777" w:rsidR="00F50BAC" w:rsidRDefault="00000000">
      <w:r>
        <w:t>The Remuneration Policy promotes sound and effective risk management and is consistent with the objectives of the Banks business and risk strategy, corporate culture and values, risk culture, with regard to environmental, social and governance risk factors, including long term interests of the Bank and the measures used to avoid conflicts of interest and should not encourage excessive risk-taking on behalf of the Bank.</w:t>
      </w:r>
    </w:p>
    <w:p w14:paraId="36B5747F" w14:textId="77777777" w:rsidR="00F50BAC" w:rsidRDefault="00000000">
      <w:r>
        <w:t>The Bank ensures that remuneration practices are aligned with their overall risk appetite, taking into account all risks, including climate-related &amp; environmental risks, reputational risks, as well as risks resulting from the mis-selling of products.</w:t>
      </w:r>
    </w:p>
    <w:p w14:paraId="6A430C91" w14:textId="77777777" w:rsidR="00F50BAC" w:rsidRDefault="00000000">
      <w:r>
        <w:t>More specifically, the Remuneration Policy has been designed in order to, be consistent with and promote sound and effective risk management,, stimulate behavior consistent with climate-related &amp; environmental and sustainability risks approach, as well as, comply with Banks voluntary commitments.</w:t>
      </w:r>
    </w:p>
    <w:p w14:paraId="29460E1D" w14:textId="77777777" w:rsidR="00F50BAC" w:rsidRDefault="00000000">
      <w:r>
        <w:t>This remarkable recognition was based on an assessment of the Bank's performance and management practices across a wide range of ESG impacts including Human Capital, Data Protection and Security, Business Ethics, Corporate Governance, Product Governance, and Integration of ESG criteria into financial activities.</w:t>
      </w:r>
    </w:p>
    <w:p w14:paraId="7F98368A" w14:textId="41866A88" w:rsidR="00F50BAC" w:rsidRDefault="00000000">
      <w:r>
        <w:t>The outcome of this process is the Risk Appetite Statements document, whereas the principles, process and governance aspects related to the RAS are outlined in the Risk Appetite Framework</w:t>
      </w:r>
      <w:r w:rsidR="00D76C59">
        <w:t>.</w:t>
      </w:r>
    </w:p>
    <w:p w14:paraId="0D713B54" w14:textId="77777777" w:rsidR="00F50BAC" w:rsidRDefault="00000000">
      <w:r>
        <w:t>Within this framework, the Bank has set a RAS for at least 20% of the annual new CIB disbursements to be classified as green environmentally sustainable loans by applying the criteria set in the Banks Sustainable Finance Framework, which also includes RRF green tagging classification.</w:t>
      </w:r>
    </w:p>
    <w:p w14:paraId="4BFDCE45" w14:textId="77777777" w:rsidR="00F50BAC" w:rsidRDefault="00000000">
      <w:r>
        <w:t>Furthermore, the Bank introduced a relevant qualitative RAS, in relation to the other environmental risk biodiversity and based on its exclusion list, which refrains from the financing of activities prohibited by host country legislation or international conventions relating to the protection of biodiversity resources.</w:t>
      </w:r>
    </w:p>
    <w:p w14:paraId="62DF1537" w14:textId="77777777" w:rsidR="00F50BAC" w:rsidRDefault="00000000">
      <w:r>
        <w:t>Eurobank has established respective definitions of climate-related risks and has performed materiality assessment exercises regarding the impacts arising from these risks, the results of which are included in the Groups RIMA Report, Risk Library and Risk Inventory.</w:t>
      </w:r>
    </w:p>
    <w:p w14:paraId="233DCB41" w14:textId="77777777" w:rsidR="00F50BAC" w:rsidRDefault="00000000">
      <w:r>
        <w:t xml:space="preserve">Climate risk also includes the following risks, Climate related physical risk, Physical risk refers to the financial impact of a changing climate, including more frequent extreme weather events and gradual changes in climate, as well as the impact of environmental </w:t>
      </w:r>
      <w:r>
        <w:lastRenderedPageBreak/>
        <w:t>degradation, such as air, water and land pollution, water stress, biodiversity loss and deforestation.</w:t>
      </w:r>
    </w:p>
    <w:p w14:paraId="14AB4226" w14:textId="77777777" w:rsidR="00F50BAC" w:rsidRDefault="00000000">
      <w:r>
        <w:t>Environmental risk, Risk of actual or potential threat associated with the dependency on nature and nature impacts andor the misalignment between the Groups strategy and the changing regulatory, policy, or societal landscape in which it operates, with regards to environmental risks management.</w:t>
      </w:r>
    </w:p>
    <w:p w14:paraId="091574DD" w14:textId="77777777" w:rsidR="00F50BAC" w:rsidRDefault="00000000">
      <w:r>
        <w:t>Thus, the Group considers CR&amp;E risks as drivers of existing risk types, undertaking a holistic and systemic approach when examining the complex links between CR&amp;E risks and both financial Environmental, Social and Governance Risks 131 1 D e c e m b e r 2023 Consolidated Pillar 3 Report and non-financial risks.</w:t>
      </w:r>
    </w:p>
    <w:p w14:paraId="1730F996" w14:textId="77777777" w:rsidR="00F50BAC" w:rsidRDefault="00000000">
      <w:r>
        <w:t>To this end, a dedicated Unit Group Climate Risk has been established with the overall responsibility for overseeing, monitoring, and managing CR&amp;E risks, in line with the provisions of CR&amp;E Risks Management Policy.</w:t>
      </w:r>
    </w:p>
    <w:p w14:paraId="4CE3A4EA" w14:textId="77777777" w:rsidR="00F50BAC" w:rsidRDefault="00000000">
      <w:r>
        <w:t>Under climate-related transition risk and environmental risk, all identified CR&amp;E risk drivers were assessed, namely Behavioural Changes, Policy &amp; Regulatory Changes, Technological Changes for the former and Water Scarcity for the latter, while under climate-related physical risk the following risk drivers were selected due to their relevance to the Greek geographical area where the core operations of the Group are located, as well as pertinent data availability, Acute Hazards, Floods, wildfires Chronic Hazards, Droughts, heat waves The sectors that were designated for assessment in this context are considered to significantly contribute to climate change and environmental degradation.</w:t>
      </w:r>
    </w:p>
    <w:p w14:paraId="543A9267" w14:textId="77777777" w:rsidR="00F50BAC" w:rsidRDefault="00000000">
      <w:r>
        <w:t>Environmental, Social and Governance Risks 132 1 D e c e m b e r 2023 Consolidated Pillar 3 Report Materiality Assessment per Risk The Group has carried out a number of actions to ensure that there is a concrete procedure via which CR&amp;E risks are fully taken into consideration and afterwards evaluated in order to conduct a solid materiality assessment.</w:t>
      </w:r>
    </w:p>
    <w:p w14:paraId="660F5ABF" w14:textId="77777777" w:rsidR="00F50BAC" w:rsidRDefault="00000000">
      <w:r>
        <w:t>This forward-looking approach enhances the Banks understanding on climate-related risks, informs strategic decision-making and facilitates the integration of climate considerations into its Risk Management Framework.</w:t>
      </w:r>
    </w:p>
    <w:p w14:paraId="76194FB6" w14:textId="6DC983E5" w:rsidR="00F50BAC" w:rsidRDefault="00000000">
      <w:r>
        <w:t>Consolidated Pillar 3 Report The results of the scenario analysis provide a comparison of financial evolutions by sectors and geographies over a range of scenarios and time horizons, reinforcing the fact that the Banks strategy remains adaptive.</w:t>
      </w:r>
    </w:p>
    <w:p w14:paraId="4EBAC03D" w14:textId="77777777" w:rsidR="00F50BAC" w:rsidRDefault="00000000">
      <w:r>
        <w:t>Recognizing the potential impact of physical risks on collateral value, the Bank is incorporating climate-related risks into its Collateral Valuation Policy and procedures, aiming to mitigate risks associated with properties vulnerable to environmental hazards, in alignment with the regulatory standards.</w:t>
      </w:r>
    </w:p>
    <w:p w14:paraId="29C50DA5" w14:textId="55DA2ADB" w:rsidR="00F50BAC" w:rsidRDefault="00D76C59">
      <w:r>
        <w:lastRenderedPageBreak/>
        <w:t>I</w:t>
      </w:r>
      <w:r w:rsidR="00000000">
        <w:t>ncorporation of Environmental Risk Factors in the Creditworthiness Assessment Moodys Risk Analyst model The Groups MRA Model assesses the CIB borrowers credit profile based on qualitative and quantitative criteria.</w:t>
      </w:r>
    </w:p>
    <w:p w14:paraId="07A9296B" w14:textId="77777777" w:rsidR="00F50BAC" w:rsidRDefault="00000000">
      <w:r>
        <w:t>In this context, the Group has developed an Environmental &amp; Social E&amp;S Policy which sets the framework of principles and requirements for the management of Environmental &amp; Social Affairs.</w:t>
      </w:r>
    </w:p>
    <w:p w14:paraId="7FA6A35E" w14:textId="77777777" w:rsidR="00F50BAC" w:rsidRDefault="00000000">
      <w:r>
        <w:t>Additionally, the Group has established an Environmental &amp; Social Exclusion List which defines the activities that are excluded from financing, while a dedicated Category A List outlines indicative types of projects that could result in potentially significant adverse environmental and or social impacts and therefore require an overall environmental and social assessment.</w:t>
      </w:r>
    </w:p>
    <w:p w14:paraId="36D64183" w14:textId="77777777" w:rsidR="00F50BAC" w:rsidRDefault="00000000">
      <w:r>
        <w:t>As per the Groups current Environmental &amp; Social Policy, the environmental &amp; social assessment process is mandatory for all new credit granting, including new and existing clients.</w:t>
      </w:r>
    </w:p>
    <w:p w14:paraId="549C1BE0" w14:textId="77777777" w:rsidR="00F50BAC" w:rsidRDefault="00000000">
      <w:r>
        <w:t>All clients activities proposed to be financed by the Group are screened against both the Groups Environmental &amp; Social Exclusion List and the Category A List, while the clients are also required to complete the Environmental &amp; Social Risk Questionnaire, for the categorization of the financing transactions as Low, Medium, or High risk according to their E&amp;S impacts.</w:t>
      </w:r>
    </w:p>
    <w:p w14:paraId="03E63FB0" w14:textId="77777777" w:rsidR="00F50BAC" w:rsidRDefault="00000000">
      <w:r>
        <w:t>In this context, an assessment process based on the Climate Risk Scorecard is to be performed for all new financing transactions and limit increases existing and new clients initially applied to the Banks Corporate &amp; Investment Banking portfolio.</w:t>
      </w:r>
    </w:p>
    <w:p w14:paraId="3325F836" w14:textId="77777777" w:rsidR="00F50BAC" w:rsidRDefault="00000000">
      <w:r>
        <w:t>Interbank ESG Questionnaire In recent years, increased regulatory focus has been placed on ESG aspects in the banking sector.</w:t>
      </w:r>
    </w:p>
    <w:p w14:paraId="52B00F13" w14:textId="77777777" w:rsidR="00F50BAC" w:rsidRDefault="00000000">
      <w:r>
        <w:t>Institutions are expected, based on the regulatory framework, to enhance their credit risk classification procedures in order to identify and evaluate climate-related and environmental risks, as well as integrate ESG aspects in the creditworthiness assessment process.</w:t>
      </w:r>
    </w:p>
    <w:p w14:paraId="473F357A" w14:textId="77777777" w:rsidR="00F50BAC" w:rsidRDefault="00000000">
      <w:r>
        <w:t>The objective is to develop a comprehensive ESG Questionnaire to be used by the Greek Banks, ensuring a harmonized assessment approach and a level-playing field, in order to incorporate a holistic assessment of clients ESG Environmental, Social and Governance Risks 136 1 D e c e m b e r 2023 Consolidated Pillar 3 Report factors.</w:t>
      </w:r>
    </w:p>
    <w:p w14:paraId="39CB5218" w14:textId="3CCBADF9" w:rsidR="00F50BAC" w:rsidRDefault="00000000">
      <w:r>
        <w:t>The ESG Questionnaire safeguards the alignment with supervisory expectations requirements</w:t>
      </w:r>
      <w:r w:rsidR="00B238ED">
        <w:t>, m</w:t>
      </w:r>
      <w:r>
        <w:t>eeting obligations regarding the EBA Guidelines on Loan Origination and Monitoring and the ECB Guide on Climate-Related and Environmental Risks, the applicable international standards guidelines</w:t>
      </w:r>
      <w:r w:rsidR="00B238ED">
        <w:t>.</w:t>
      </w:r>
    </w:p>
    <w:p w14:paraId="481932E4" w14:textId="77777777" w:rsidR="00F50BAC" w:rsidRDefault="00000000">
      <w:r>
        <w:lastRenderedPageBreak/>
        <w:t>Task Force on Climate-related Financial Disclosures, as well as Banks operational needs, and best market practices.</w:t>
      </w:r>
    </w:p>
    <w:p w14:paraId="09C23C4F" w14:textId="77777777" w:rsidR="00F50BAC" w:rsidRDefault="00000000">
      <w:r>
        <w:t>ESG Risk Assessment By combining the Climate Risk Scorecard and the Interbank ESG Questionnaire, Eurobank has developed the ESG Risk Assessment, a holistic approach which facilitates the assessment and classification of Banks clients in terms of ESG criteria, as per the relevant regulatory framework.</w:t>
      </w:r>
    </w:p>
    <w:p w14:paraId="7B905041" w14:textId="77777777" w:rsidR="00F50BAC" w:rsidRDefault="00000000">
      <w:r>
        <w:t>More specifically, Eurobanks ESG Risk Assessment assesses its Corporate &amp; Investment Banking clients both at obligor level by utilizing the Interbank ESG Questionnaire, as well as at transaction level by utilizing the Climate Risk Scorecard, along with the Sustainable Finance Framework classification.</w:t>
      </w:r>
    </w:p>
    <w:p w14:paraId="6A63B83C" w14:textId="77777777" w:rsidR="00F50BAC" w:rsidRDefault="00000000">
      <w:r>
        <w:t>Within this framework, the Group developed a web-based Sustainable Finance Framework Assessment Tool for the Corporate &amp; Investment Banking portfolio to underpin the classification and evaluation of sustainable green financing opportunities in a structural manner, as part of the loan origination process.</w:t>
      </w:r>
    </w:p>
    <w:p w14:paraId="0E9FC1EC" w14:textId="3B3FD49A" w:rsidR="00F50BAC" w:rsidRDefault="00000000">
      <w:r>
        <w:t>For the selection and definition of the relevant CR&amp;E risks indicators, Eurobank leveraged on the insights gained from the 2022 ECB Climate Risk Stress Test, ECBs Report on CR&amp;E Risk Good Practices, on the Groups internal exercises</w:t>
      </w:r>
      <w:r w:rsidR="00B238ED">
        <w:t>.</w:t>
      </w:r>
    </w:p>
    <w:p w14:paraId="21DF3255" w14:textId="77777777" w:rsidR="00F50BAC" w:rsidRDefault="00000000">
      <w:r>
        <w:t>Scenario analysis materiality assessment processes for transition and physical risk, as well as taking into account best market practices.</w:t>
      </w:r>
    </w:p>
    <w:p w14:paraId="6C987342" w14:textId="6C1E6728" w:rsidR="00F50BAC" w:rsidRDefault="00000000">
      <w:r>
        <w:t>In particular, the ESG analysis includes the assessment of environmental criteri</w:t>
      </w:r>
      <w:r w:rsidR="00B238ED">
        <w:t>a e</w:t>
      </w:r>
      <w:r>
        <w:t>missions of greenhouse gases, exposure to fossil fuel and water emissions at the level of the companies in which the Funds and Portfolios invest.</w:t>
      </w:r>
    </w:p>
    <w:p w14:paraId="716F0827" w14:textId="4D72FAC6" w:rsidR="00F50BAC" w:rsidRDefault="00000000">
      <w:r>
        <w:t>The events or conditions that may be responsible for a negative impact on the return of the Fund Portfolio include environmental aspects</w:t>
      </w:r>
      <w:r w:rsidR="00B238ED">
        <w:t>, c</w:t>
      </w:r>
      <w:r>
        <w:t>arbon emissions, water pollution, loss of biodiversity or damage to ecosystem.</w:t>
      </w:r>
    </w:p>
    <w:p w14:paraId="4B98A4B9" w14:textId="77777777" w:rsidR="00F50BAC" w:rsidRDefault="00000000">
      <w:r>
        <w:t>The specific sustainability factors considered may vary, as they depend on the specific investment strategy followed by each Fund Portfolio.</w:t>
      </w:r>
    </w:p>
    <w:p w14:paraId="39F41DE8" w14:textId="77777777" w:rsidR="00F50BAC" w:rsidRDefault="00000000">
      <w:r>
        <w:t>Sustainable Investing, Seeks to invest mainly in issuers that contribute to making a positive environmental andor social impact, as measured by third party ESG vendors, UN SGD contribution and PAI consideration and address.</w:t>
      </w:r>
    </w:p>
    <w:p w14:paraId="652C18CF" w14:textId="77777777" w:rsidR="00F50BAC" w:rsidRDefault="00000000">
      <w:r>
        <w:t>The scenario is based on the NGFSs Orderly Scenario, which aligns with EU and Greeces Net Zero 2050 targets, anticipating that climate policies are introduced early and become gradually more stringent precise.</w:t>
      </w:r>
    </w:p>
    <w:p w14:paraId="67C09AA2" w14:textId="77777777" w:rsidR="00F50BAC" w:rsidRDefault="00000000">
      <w:r>
        <w:t>The analysis reflected the effects at macroeconomic, sectoral and counterparty level through a dedicated climate scenario model, developed by an external provider.</w:t>
      </w:r>
    </w:p>
    <w:p w14:paraId="62F92618" w14:textId="77777777" w:rsidR="00F50BAC" w:rsidRDefault="00000000">
      <w:r>
        <w:lastRenderedPageBreak/>
        <w:t>B Group Climate Risk Stress Test Framework The Group Climate Risk Stress Test Framework accommodates a dedicated governance structure and defines the minimum requirements for designing, executing, approving, and applying the climate risk stress test.</w:t>
      </w:r>
    </w:p>
    <w:p w14:paraId="0B37607B" w14:textId="77777777" w:rsidR="00F50BAC" w:rsidRDefault="00000000">
      <w:r>
        <w:t>The Framework provides a transparent and repeatable process for designing and executing the climate risk stress test, as well as for reporting and evaluating stress test outcomes and determining management actions.</w:t>
      </w:r>
    </w:p>
    <w:p w14:paraId="667D0887" w14:textId="77777777" w:rsidR="00F50BAC" w:rsidRDefault="00000000">
      <w:r>
        <w:t>The CRST Framework has been developed as per the overall Stress Testing Policy of the Group, also taking into account the provisions of the ECB Guide on CR&amp;E risks and the requirements of the 2022 ECB Climate Risk Stress Test.</w:t>
      </w:r>
    </w:p>
    <w:p w14:paraId="1F8BACC6" w14:textId="03617916" w:rsidR="00F50BAC" w:rsidRDefault="00000000">
      <w:r>
        <w:t>In particular, the Bank considers how its business continuity could be adversely impacted due to ESG events, as well as whether its activities could result in reputational damage and liability risks</w:t>
      </w:r>
      <w:r w:rsidR="008073D0">
        <w:t xml:space="preserve">, </w:t>
      </w:r>
      <w:proofErr w:type="gramStart"/>
      <w:r w:rsidR="008073D0">
        <w:t>a</w:t>
      </w:r>
      <w:r>
        <w:t>s a consequence of</w:t>
      </w:r>
      <w:proofErr w:type="gramEnd"/>
      <w:r>
        <w:t xml:space="preserve"> cooperation with counterparties associated with environmental controversies andor owing to inappropriate business practices such as greenwashing.</w:t>
      </w:r>
    </w:p>
    <w:p w14:paraId="4C6FEFA3" w14:textId="77777777" w:rsidR="00F50BAC" w:rsidRDefault="00000000">
      <w:r>
        <w:t>Such events arise from both physical and transition risk drivers and may include damages to Banks premises, disruptions in systems and utility outages, conduct-related issues such as alleged greenwashing, regulatory non-compliance, significant deterioration in services provided by vendors, etc.</w:t>
      </w:r>
    </w:p>
    <w:p w14:paraId="7D491388" w14:textId="77777777" w:rsidR="00F50BAC" w:rsidRDefault="00000000">
      <w:r>
        <w:t>In the event of an emergency, including environmental incidents, the Bank implements a Business Continuity Plan, which includes planning and preparations to ensure that the Bank can continue to operate in the event of a serious incident or disaster, and that it will be in a position to restore normal operations within a reasonably short time when responding to typical disastrous events involved in ongoing business activity natural disasters such as fires or flooding, accidents, server crashes or virus infections, insolvent key suppliers, negative media campaigns, market disruptions and others.</w:t>
      </w:r>
    </w:p>
    <w:p w14:paraId="777F4802" w14:textId="77777777" w:rsidR="00F50BAC" w:rsidRDefault="00000000">
      <w:r>
        <w:t>Having already performed an assessment of ESG and CR&amp;E data availability in its internal systems against regulatory requirements expectations, the Group continues to enhance its environmental risk data aggregation capabilities and IT infrastructure accordingly, while also using appropriate controls and safeguards to ensure the accuracy and completeness of the compiled information.</w:t>
      </w:r>
    </w:p>
    <w:p w14:paraId="68FA5B73" w14:textId="77777777" w:rsidR="00F50BAC" w:rsidRDefault="00000000">
      <w:r>
        <w:t>The Bank recognises the importance of managing social risk and has ensured that its lending activities do not support actions that harm society.</w:t>
      </w:r>
    </w:p>
    <w:p w14:paraId="23815933" w14:textId="6C83CC19" w:rsidR="00F50BAC" w:rsidRDefault="00000000">
      <w:r>
        <w:t>In parallel, through the implementation of existing policies</w:t>
      </w:r>
      <w:r w:rsidR="008073D0">
        <w:t xml:space="preserve"> g</w:t>
      </w:r>
      <w:r>
        <w:t xml:space="preserve">roup Environmental and Social Policy and the establishment of new processes and tools </w:t>
      </w:r>
      <w:r w:rsidR="008073D0">
        <w:t>E</w:t>
      </w:r>
      <w:r>
        <w:t xml:space="preserve">SG Risk Assessment, the Bank continues to strengthen its capacity to identify and manage social risk stemming from </w:t>
      </w:r>
      <w:proofErr w:type="gramStart"/>
      <w:r>
        <w:t>clients</w:t>
      </w:r>
      <w:proofErr w:type="gramEnd"/>
      <w:r>
        <w:t xml:space="preserve"> operations, also determining relevant mitigating actions, if deemed necessary.</w:t>
      </w:r>
    </w:p>
    <w:p w14:paraId="3447CDBF" w14:textId="77777777" w:rsidR="00F50BAC" w:rsidRDefault="00000000">
      <w:r>
        <w:lastRenderedPageBreak/>
        <w:t>ESG cross sector megatrends and global accords, such as the UN SDGs and the Paris Agreement and the EU Green Deal Corporate Sustainability Reporting Directive Environmental, Social and Governance Risks 141 1 D e c e m b e r 2023 Consolidated Pillar 3 Report Sustainable Products and Services The Bank offers products and services tailored to specific sectors and client segments, promoting sustainable practices among its clients, aiming to alleviate the social risk stemming from its operations.</w:t>
      </w:r>
    </w:p>
    <w:p w14:paraId="41ACF885" w14:textId="77777777" w:rsidR="00F50BAC" w:rsidRDefault="00000000">
      <w:r>
        <w:t>The products initiatives demonstrate that the Bank has effectively integrated social risk considerations in its practices in different stages of the credit granting and monitoring process.</w:t>
      </w:r>
    </w:p>
    <w:p w14:paraId="23C6E1E1" w14:textId="77777777" w:rsidR="00F50BAC" w:rsidRDefault="00000000">
      <w:r>
        <w:t>Social risk considerations are integrated in the SFF as follows, Wholesale Portfolio, Dedicated-purpose Green Social Loans Eligible social activities aim to promote positive social outcomes and are classified as follows, Employment generation and access to financing, Equitable access to and control over assets, services, resources, and opportunities, Road Networks, Transportation Infrastructure, Community inclusion, Energy, Healthcare and Education.</w:t>
      </w:r>
    </w:p>
    <w:p w14:paraId="1FD44D3B" w14:textId="77777777" w:rsidR="00F50BAC" w:rsidRDefault="00000000">
      <w:r>
        <w:t>A key strategic objective is to adapt Groups business and operations in a way that address the challenges of climate change, accommodate social needs within its business model and safeguard prudent governance for itself and its counterparties, in accordance with supervisory initiatives and following international standards best practices.</w:t>
      </w:r>
    </w:p>
    <w:p w14:paraId="2EA397C4" w14:textId="77777777" w:rsidR="00F50BAC" w:rsidRDefault="00000000">
      <w:r>
        <w:t>In full compliance with its obligations relating to implementing the Principles, the Bank has issued its 3rd PRB Progress Report as part of the Annual Report 2022 Business and Sustainability.</w:t>
      </w:r>
    </w:p>
    <w:p w14:paraId="5502110B" w14:textId="77777777" w:rsidR="00F50BAC" w:rsidRDefault="00000000">
      <w:r>
        <w:t>Social impact financing relates to activities such as education, upskilling health care, financial inclusion, social cohesion and gender equality.</w:t>
      </w:r>
    </w:p>
    <w:p w14:paraId="4B54C0D7" w14:textId="77777777" w:rsidR="00F50BAC" w:rsidRDefault="00000000">
      <w:r>
        <w:t>The Bank understands that social risk management is crucial to ensure an effective and sustainable business model and has, therefore, taken actions to adjust its business model, strategy and processes, as well as its financial planning to account for risks arising from social matters, planning to further enhance such activities in the foreseeable future.</w:t>
      </w:r>
    </w:p>
    <w:p w14:paraId="2404AFB5" w14:textId="17B58A29" w:rsidR="00F50BAC" w:rsidRDefault="00000000">
      <w:r>
        <w:t>The Bank's efforts have led to a significant reduction in social risk incidents relating to its cooperation with the clients, as well as to significant positive impacts to society, through the development of a range of sustainable products</w:t>
      </w:r>
      <w:r w:rsidR="008073D0">
        <w:t>, s</w:t>
      </w:r>
      <w:r>
        <w:t>tudent loans and the adoption of socially responsible practices.</w:t>
      </w:r>
    </w:p>
    <w:p w14:paraId="62D571EB" w14:textId="77777777" w:rsidR="00F50BAC" w:rsidRDefault="00000000">
      <w:r>
        <w:t>As new social issues arise, the strategy of the Bank will be frequently updated to incorporate new developments, taking into account stakeholder expectations, as well as regulatory requirements and best practices in the market landscape.</w:t>
      </w:r>
    </w:p>
    <w:p w14:paraId="318022EF" w14:textId="77777777" w:rsidR="00F50BAC" w:rsidRDefault="00000000">
      <w:r>
        <w:t>The ESG Questionnaire includes a variety of environmental, social and governance questions in order to facilitate the assessment of the overall ESG profile of the Banks clients.</w:t>
      </w:r>
    </w:p>
    <w:p w14:paraId="1BC8E725" w14:textId="77777777" w:rsidR="00F50BAC" w:rsidRDefault="00000000">
      <w:r>
        <w:lastRenderedPageBreak/>
        <w:t>ESG Risk Assessment By combining the Climate Risk Scorecard and the Interbank ESG Questionnaire, Eurobank has developed the ESG Risk Assessment, a holistic approach which facilitates the assessment and classification of Banks clients in terms of ESG criteria, as per the relevant regulatory framework.</w:t>
      </w:r>
    </w:p>
    <w:p w14:paraId="05583263" w14:textId="77777777" w:rsidR="00F50BAC" w:rsidRDefault="00000000">
      <w:r>
        <w:t>More specifically, Eurobanks ESG Risk Assessment assesses its Corporate &amp; Investment Banking clients both at obligor level by utilizing the Interbank ESG Questionnaire, as well as at transaction level by considering Sustainable Finance Framework classification social loans.</w:t>
      </w:r>
    </w:p>
    <w:p w14:paraId="2391BF6E" w14:textId="77777777" w:rsidR="00F50BAC" w:rsidRDefault="00000000">
      <w:r>
        <w:t>During the credit decision granting process, Eurobank will consider through the ESG Risk Assessment the clients ESG risk scoring and profile through relevant environmental, social &amp; governance factors, the possible mitigating actions, as well as the due diligence assessment performed on selected cases.</w:t>
      </w:r>
    </w:p>
    <w:p w14:paraId="2969B308" w14:textId="77777777" w:rsidR="00F50BAC" w:rsidRDefault="00000000">
      <w:r>
        <w:t>Environmental and Social Management System The ESMS has been fully integrated into the approval and monitoring processes that the Bank applies in its financing operations.</w:t>
      </w:r>
    </w:p>
    <w:p w14:paraId="57060C1A" w14:textId="77777777" w:rsidR="00F50BAC" w:rsidRDefault="00000000">
      <w:r>
        <w:t>For more details, please refer to the Business Strategy and Processes paragraph of the Qualitative Information on Social Risks section.</w:t>
      </w:r>
    </w:p>
    <w:p w14:paraId="1E0B2541" w14:textId="77777777" w:rsidR="00F50BAC" w:rsidRDefault="00000000">
      <w:r>
        <w:t>ESG Risk Assessment Social Risk Assessment is enhanced following the roll out of the ESG Questionnaire that is used for assessing the clients ESG Risk profile, capturing among others, Occupational Health &amp; Safety, Community relations and Diversity &amp; Inclusion aspects.</w:t>
      </w:r>
    </w:p>
    <w:p w14:paraId="2CA0DFFE" w14:textId="77777777" w:rsidR="00F50BAC" w:rsidRDefault="00000000">
      <w:r>
        <w:t>As part of the ESG Risk Assessment, the client's score incorporates social aspects, aiming to understand the Environmental, Social and Governance Risks 144 1 D e c e m b e r 2023 Consolidated Pillar 3 Report client's sustainability performance and potential social risks, by fostering a more responsible approach to decisionmaking.</w:t>
      </w:r>
    </w:p>
    <w:p w14:paraId="32BDE1A6" w14:textId="77777777" w:rsidR="00F50BAC" w:rsidRDefault="00000000">
      <w:r>
        <w:t>To this end, the Bank has established effective internal governance arrangements to manage such risks, and processes, to better evaluate the governance performance of its clients.</w:t>
      </w:r>
    </w:p>
    <w:p w14:paraId="398676FF" w14:textId="77777777" w:rsidR="00F50BAC" w:rsidRDefault="00000000">
      <w:r>
        <w:t>SPTs constitute Environmental, Social and Governance Risks 145 1 D e c e m b e r 2023 Consolidated Pillar 3 Report environmental E, social S, and governance G targets which the clients aim to meet by utilizing respective KPIs to quantify their performance.</w:t>
      </w:r>
    </w:p>
    <w:p w14:paraId="768FD85E" w14:textId="77777777" w:rsidR="00F50BAC" w:rsidRDefault="00000000">
      <w:r>
        <w:t>Interbank ESG Questionnaire The ESG Questionnaire includes a variety of Environmental, Social and Governance questions in order to facilitate the assessment of the overall ESG profile of the Banks clients.</w:t>
      </w:r>
    </w:p>
    <w:p w14:paraId="076C9626" w14:textId="77777777" w:rsidR="00F50BAC" w:rsidRDefault="00000000">
      <w:r>
        <w:t>ESG Risk Assessment Governance Risk Assessment is enhanced following the roll out of the ESG Questionnaire that is used for assessing the clients ESG Risk profile, capturing among others, Policies, ESG Governance, Accountability, Reporting &amp; Transparency, Corporate Governance, Remuneration, Business Ethics &amp; Anti-corruption and Sustainable Procurement aspects.</w:t>
      </w:r>
    </w:p>
    <w:p w14:paraId="6BC8D6FD" w14:textId="77777777" w:rsidR="00F50BAC" w:rsidRDefault="00000000">
      <w:r>
        <w:lastRenderedPageBreak/>
        <w:t>Specifically, the following approaches were employed to calculate the counterpartys emissions, which are then used as a basis for calculating the financed emissions attributed to the Group, Environmental, Social and Governance Risks 146 1 D e c e m b e r 2023 Consolidated Pillar 3 Report a.</w:t>
      </w:r>
    </w:p>
    <w:p w14:paraId="12ECA80A" w14:textId="77777777" w:rsidR="00F50BAC" w:rsidRDefault="00000000">
      <w:r>
        <w:t>GHG emissions published by the counterparty were collected through multiple sources including inter alia counterpartys sustainability report, Carbon Disclosure Project and EU-ETS Registry.</w:t>
      </w:r>
    </w:p>
    <w:p w14:paraId="1BF75257" w14:textId="77777777" w:rsidR="00F50BAC" w:rsidRDefault="00000000">
      <w:r>
        <w:t>The outcomes of research projects as regards the impact of climate change on the productivity of the mining, manufacturing, and construction sectors.</w:t>
      </w:r>
    </w:p>
    <w:p w14:paraId="7A1E8AC0" w14:textId="77777777" w:rsidR="00F50BAC" w:rsidRDefault="00000000">
      <w:r>
        <w:t>The outcomes of research projects as regards the impact of climate change on the productivity of different power generation technologies both renewables and fossil-fueled The number of heating and cooling degree days attributed to various climatic scenarios in order to assess the changes in heating and cooling needs of the non-residential buildings, which usually affect the operating costs of the companies of the services sector The changes on the Tourism Climate Index associated with the different climatic scenarios that affect tourism activity and associated companies.</w:t>
      </w:r>
    </w:p>
    <w:p w14:paraId="00BDDBF8" w14:textId="77777777" w:rsidR="00F50BAC" w:rsidRDefault="00000000">
      <w:r>
        <w:t>It should be noted that the reported gross carrying amount sensitive to climate-related hazards does not take into account mitigating measures, such as insurance coverages, that are in place.</w:t>
      </w:r>
    </w:p>
    <w:p w14:paraId="0EAC6215" w14:textId="2584B880" w:rsidR="00F50BAC" w:rsidRDefault="00000000">
      <w:r>
        <w:t>For the years 2021 and 2022, financial undertakings subject to NFRD were required to disclose the proportion of taxonomy-eligible and taxonomy non-eligible activities related to the environmental objectives of climate change adaptation and climate change mitigation</w:t>
      </w:r>
      <w:r w:rsidR="00D76C59">
        <w:t>.</w:t>
      </w:r>
    </w:p>
    <w:p w14:paraId="063B80D2" w14:textId="77777777" w:rsidR="00F50BAC" w:rsidRDefault="00000000">
      <w:r>
        <w:t>In 2023, two new Delegated acts issued by the European Commission have been adopted, The Delegated Regulation 20232485, which extends the number of eligible activities in the climate change adaptation and mitigation objectives.</w:t>
      </w:r>
    </w:p>
    <w:p w14:paraId="33C9B851" w14:textId="77777777" w:rsidR="00F50BAC" w:rsidRDefault="00000000">
      <w:r>
        <w:t>The Delegated Regulation 20232486, which establishes the technical screening criteria for the economic activities of the remaining four environmental objectives.</w:t>
      </w:r>
    </w:p>
    <w:p w14:paraId="5CB0CA36" w14:textId="6E91B14C" w:rsidR="00F50BAC" w:rsidRDefault="00000000">
      <w:r>
        <w:t>For the first time in 2023, credit institutions will publish the Green Asset Ratio</w:t>
      </w:r>
      <w:r w:rsidR="00D76C59">
        <w:t xml:space="preserve"> </w:t>
      </w:r>
      <w:r>
        <w:t>on each of the first two environmental objectives CCM and CCA, which determines the extent to which the Groups assets finance and are invested in taxonomy-aligned economic activities, that is the ratio of the Group's taxonomy aligned assets to covered assets total assets excluding exposure to sovereigns, central banks and the trading portfolio.</w:t>
      </w:r>
    </w:p>
    <w:p w14:paraId="054A6674" w14:textId="6B6D0FA7" w:rsidR="00F50BAC" w:rsidRDefault="00000000">
      <w:r>
        <w:t>Moreover, as required by the EU Taxonomy Regulation, activities, to be taxonomy-aligned, must meet the specific taxonomy criteria and ensure that they cause no significant harm to any of the other environmental objectives and meet minimum social safeguards</w:t>
      </w:r>
      <w:r w:rsidR="00D76C59">
        <w:t>.</w:t>
      </w:r>
    </w:p>
    <w:p w14:paraId="1249306F" w14:textId="77777777" w:rsidR="00F50BAC" w:rsidRDefault="00000000">
      <w:r>
        <w:t xml:space="preserve">With the gradual adoption of the new Corporate Sustainability Reporting Directive by large companies, small and medium listed companies and large companies outside the EU with </w:t>
      </w:r>
      <w:r>
        <w:lastRenderedPageBreak/>
        <w:t>significant activity in the EU, the Group's KPIs are expected to improve as the number of companies subject to this new directive will increase.</w:t>
      </w:r>
    </w:p>
    <w:p w14:paraId="1CD3BFF5" w14:textId="77777777" w:rsidR="00F50BAC" w:rsidRDefault="00000000">
      <w:r>
        <w:t>The SFF has been drawn from international best practices and is based on two key guiding frameworks, The ICMA principles on sustainable financing Green Bond Principles, Green Loan Principles and Sustainability linked Bond Principles and the EU Taxonomy.</w:t>
      </w:r>
    </w:p>
    <w:p w14:paraId="4CA1F05C" w14:textId="77777777" w:rsidR="00F50BAC" w:rsidRDefault="00000000">
      <w:r>
        <w:t xml:space="preserve">Not known use of proceeds the SFF defines two other approaches, a Company Business mix Financing to companies that fulfil the eligibility green social criteria and derive </w:t>
      </w:r>
      <w:proofErr w:type="gramStart"/>
      <w:r>
        <w:t>the majority of</w:t>
      </w:r>
      <w:proofErr w:type="gramEnd"/>
      <w:r>
        <w:t xml:space="preserve"> their revenues from eligible activities.</w:t>
      </w:r>
    </w:p>
    <w:sectPr w:rsidR="00F50B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057461000">
    <w:abstractNumId w:val="8"/>
  </w:num>
  <w:num w:numId="2" w16cid:durableId="550115918">
    <w:abstractNumId w:val="6"/>
  </w:num>
  <w:num w:numId="3" w16cid:durableId="688530871">
    <w:abstractNumId w:val="5"/>
  </w:num>
  <w:num w:numId="4" w16cid:durableId="886651333">
    <w:abstractNumId w:val="4"/>
  </w:num>
  <w:num w:numId="5" w16cid:durableId="104545904">
    <w:abstractNumId w:val="7"/>
  </w:num>
  <w:num w:numId="6" w16cid:durableId="1091047289">
    <w:abstractNumId w:val="3"/>
  </w:num>
  <w:num w:numId="7" w16cid:durableId="1582569597">
    <w:abstractNumId w:val="2"/>
  </w:num>
  <w:num w:numId="8" w16cid:durableId="1206403591">
    <w:abstractNumId w:val="1"/>
  </w:num>
  <w:num w:numId="9" w16cid:durableId="376854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F47"/>
    <w:rsid w:val="0029639D"/>
    <w:rsid w:val="00326F90"/>
    <w:rsid w:val="003703D8"/>
    <w:rsid w:val="00497B2A"/>
    <w:rsid w:val="004F5755"/>
    <w:rsid w:val="007C10B2"/>
    <w:rsid w:val="007F7836"/>
    <w:rsid w:val="008073D0"/>
    <w:rsid w:val="00AA1D8D"/>
    <w:rsid w:val="00B238ED"/>
    <w:rsid w:val="00B47730"/>
    <w:rsid w:val="00CB0664"/>
    <w:rsid w:val="00D76C59"/>
    <w:rsid w:val="00F50B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759A6"/>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7293</Words>
  <Characters>41571</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2025-08-03T18:40:00Z</dcterms:modified>
  <cp:category/>
</cp:coreProperties>
</file>