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A2CF3" w14:textId="77777777" w:rsidR="008D29FB" w:rsidRDefault="00000000">
      <w:r>
        <w:t>NBG is committed to publicly disclose information in compliance with EU Regulation 5752013 of the European Parliament and of the Council, as well as all applicable additional EU Regulations and EBA Guidelines, and to have adequate internal processes and systems in place to meet these disclosure requirements.</w:t>
      </w:r>
    </w:p>
    <w:p w14:paraId="650B588B" w14:textId="77777777" w:rsidR="008D29FB" w:rsidRDefault="00000000">
      <w:r>
        <w:t>Moreover, the Policy defines the relevant disclosures governance, including the assessment of the appropriateness of the disclosures, their verification and frequency.</w:t>
      </w:r>
    </w:p>
    <w:p w14:paraId="7F50A668" w14:textId="77777777" w:rsidR="008D29FB" w:rsidRDefault="00000000">
      <w:r>
        <w:t>The Bank is firmly committed to best practices regarding public disclosures and recognizes that Pillar III provides an additional layer of market information and transparency, hence contributing to financial stability.</w:t>
      </w:r>
    </w:p>
    <w:p w14:paraId="0D650E5E" w14:textId="18755BED" w:rsidR="008D29FB" w:rsidRDefault="00000000">
      <w:r>
        <w:t xml:space="preserve">Additional information for investors and other stakeholders regarding </w:t>
      </w:r>
      <w:r w:rsidR="00AF6DF2">
        <w:t>t</w:t>
      </w:r>
      <w:r>
        <w:t xml:space="preserve">he members of the management body, the Corporate Governance Code etc is to be found in the Banks website The objectives of the Pillar III Disclosures are, </w:t>
      </w:r>
      <w:proofErr w:type="gramStart"/>
      <w:r>
        <w:t>To</w:t>
      </w:r>
      <w:proofErr w:type="gramEnd"/>
      <w:r>
        <w:t xml:space="preserve"> provide investors and other stakeholders with the appropriate, complete, accurate and timely information that they reasonably need to make investment decisions and informed judgements of NBG Group.</w:t>
      </w:r>
    </w:p>
    <w:p w14:paraId="78E4DB5A" w14:textId="77777777" w:rsidR="008D29FB" w:rsidRDefault="00000000">
      <w:r>
        <w:t>Proposal for CRD 5 is on exempted entities, financial holding companies, mixed financial holding companies, remuneration, supervisory measures and powers, and capital conservation measures.</w:t>
      </w:r>
    </w:p>
    <w:p w14:paraId="7EBFF62A" w14:textId="77777777" w:rsidR="008D29FB" w:rsidRDefault="00000000">
      <w:r>
        <w:t>The main points were, SREP results show banks have solid capital and liquidity positions and increased profitability Internal governance, risk management and capital planning remain key areas for supervisory action in light of deteriorating risk outlook Overall average SREP score broadly unchanged.</w:t>
      </w:r>
    </w:p>
    <w:p w14:paraId="2553ADCF" w14:textId="77777777" w:rsidR="008D29FB" w:rsidRDefault="00000000">
      <w:r>
        <w:t>On January 24th, 2023 the ECB published a first set of climate-related statistical indicators, to better assess the impact of climate-related risks on the financial sector and to monitor the development of sustainable and green finance, fulfilling another of the commitments of its climate action plan.</w:t>
      </w:r>
    </w:p>
    <w:p w14:paraId="163F9E1E" w14:textId="77777777" w:rsidR="008D29FB" w:rsidRDefault="00000000">
      <w:r>
        <w:t>Enhancements to the Pillar 1 framework to capture environmental and social risks On October 12th, 2023 the EBA published a report on the role of environmental and social risks in the prudential framework of credit institutions and investment firms.</w:t>
      </w:r>
    </w:p>
    <w:p w14:paraId="21A1960E" w14:textId="77777777" w:rsidR="008D29FB" w:rsidRDefault="00000000">
      <w:r>
        <w:t>Taking a risk-based approach, the Report assesses how the current prudential framework captures environmental and social risks.</w:t>
      </w:r>
    </w:p>
    <w:p w14:paraId="4F06508E" w14:textId="77777777" w:rsidR="008D29FB" w:rsidRDefault="00000000">
      <w:r>
        <w:t>ESG Disclosures Disclosure of information on ESG risks is a vital tool to promote market discipline, allowing stakeholders to assess banks ESG related risks and sustainable finance strategy.</w:t>
      </w:r>
    </w:p>
    <w:p w14:paraId="404D3DA3" w14:textId="77777777" w:rsidR="008D29FB" w:rsidRDefault="00000000">
      <w:r>
        <w:t xml:space="preserve">The policy takes into account new regulatory developments, such as the end of the supervisory leverage relief measures of the European Central Bank, changes to the Capital Requirement Regulation recently agreed by the EU colegislators on the indirect holding of </w:t>
      </w:r>
      <w:r>
        <w:lastRenderedPageBreak/>
        <w:t>internal MREL iMREL and the MREL calibration for banks with a multiple point-of-entry resolution strategy.</w:t>
      </w:r>
    </w:p>
    <w:p w14:paraId="6E427F30" w14:textId="77777777" w:rsidR="008D29FB" w:rsidRDefault="00000000">
      <w:r>
        <w:t>People, Organization &amp; Culture, Development, motivation and reward of our people through a modern HR framework, and enhancement of our culture in line with our purpose and values.</w:t>
      </w:r>
    </w:p>
    <w:p w14:paraId="081640A3" w14:textId="77777777" w:rsidR="008D29FB" w:rsidRDefault="00000000">
      <w:r>
        <w:t>Climate &amp; Environment, Incorporation of climate and environment-related considerations in the Banks risk management framework and its business strategy, including setting specific targets with respect to our direct and indirect GHG emissions as disclosed in our ESG report and capturing business opportunities in green, sustainable and transition finance.</w:t>
      </w:r>
    </w:p>
    <w:p w14:paraId="58BA6BC7" w14:textId="77777777" w:rsidR="008D29FB" w:rsidRDefault="00000000">
      <w:r>
        <w:t>Apart from a market-leading franchise in the financing of renewable energy projects, a core part of our strategy remains to offer solutions for investments in the context of green transition, incl.</w:t>
      </w:r>
    </w:p>
    <w:p w14:paraId="02C5A4D6" w14:textId="77777777" w:rsidR="008D29FB" w:rsidRDefault="00000000">
      <w:r>
        <w:t>ESG, o Capturing business opportunities in green, sustainable and transition finance in line with our Net Zero targets Pillar III Disclosures on a consolidated basis December 31, 2023 NBGs TRANFORMATION PROGRAM 15 for 2030 and continuing targeted actions to reduce our own emissions.</w:t>
      </w:r>
    </w:p>
    <w:p w14:paraId="73515CA9" w14:textId="77777777" w:rsidR="008D29FB" w:rsidRDefault="00000000">
      <w:r>
        <w:t>ESG Reporting Platform Emissions measurement enhancements &amp; Net Zero Target Setting monitoring Pursue further automations incl external files shipping, REO data Incorporate Obligor Assessment selected fields and scoring outcome in ESG360 Regulatory KPIsreporting requirements Implement Banking Book Taxonomy Alignment Ratio calculation in alignment with current practices of the Bank proxies Assess feasibility of integrating subsidiaries ESG data in 360 platform with priority on Leasing and Factors C&amp;E Pillar 3 Disclosures Pillar III as of 30.</w:t>
      </w:r>
    </w:p>
    <w:p w14:paraId="135CC512" w14:textId="77777777" w:rsidR="008D29FB" w:rsidRDefault="00000000">
      <w:r>
        <w:t>Oversight and approval At the top of the house, the members of the Board are responsible for oversight and approval on governance structures of NBG, ensuring the right frameworks and policies are in place to ensure the bank can be effectively managed.</w:t>
      </w:r>
    </w:p>
    <w:p w14:paraId="68C5BB72" w14:textId="73D3A2A6" w:rsidR="008D29FB" w:rsidRDefault="00000000">
      <w:r>
        <w:t xml:space="preserve">Methodology and framework Procedures and methodologies are in place to guide risk management, </w:t>
      </w:r>
      <w:r w:rsidR="001A3E69">
        <w:t>c</w:t>
      </w:r>
      <w:r>
        <w:t>redit approval procedures, model development and validation, product assessments.</w:t>
      </w:r>
    </w:p>
    <w:p w14:paraId="04B4F2F0" w14:textId="77777777" w:rsidR="008D29FB" w:rsidRDefault="00000000">
      <w:r>
        <w:t>The BRC reviews and proposes to the Board on an annual basis, or more frequently if necessary, the Bank's risk strategy and risk appetite for approval, and ensures that the Banks risk appetite and risk strategy are clearly communicated throughout the Bank and form the basis on which risk policies and risk limits are established at group, business andor regional level.</w:t>
      </w:r>
    </w:p>
    <w:p w14:paraId="2CD89198" w14:textId="77777777" w:rsidR="008D29FB" w:rsidRDefault="00000000">
      <w:r>
        <w:t xml:space="preserve">The BRC has the responsibility to review reports and evaluate the overall risk exposure of the Bank and the Group on a regular basis, taking into account the approved risk strategy </w:t>
      </w:r>
      <w:r>
        <w:lastRenderedPageBreak/>
        <w:t>and the business plan of the Group, to draft proposals and recommend corrective actions to the Board where it ascertains that the implementation of the risk strategy adopted by the Bank is not feasible or that actual implementation diverges from planned implementation thereof.</w:t>
      </w:r>
    </w:p>
    <w:p w14:paraId="0B5634BC" w14:textId="77777777" w:rsidR="008D29FB" w:rsidRDefault="00000000">
      <w:r>
        <w:t>In the context of its responsibilities and during the course of the year, key workings of the Committee included, Review and update of ICAAPILAAP Annual Review and Update of ICAAPStress Test Frameworks, Risk Appetite Framework with additions among others in the area of Commercial Real Estate , Climate and Environment C&amp;E.</w:t>
      </w:r>
    </w:p>
    <w:p w14:paraId="0531D2D6" w14:textId="77777777" w:rsidR="008D29FB" w:rsidRDefault="00000000">
      <w:r>
        <w:t>Ongoing-monthly updates on Risk Management issues and ad hoc briefings on developments.</w:t>
      </w:r>
    </w:p>
    <w:p w14:paraId="63721A9B" w14:textId="77777777" w:rsidR="008D29FB" w:rsidRDefault="00000000">
      <w:r>
        <w:t>Review of Operational Risk KRI Dashboard, Risk &amp; Control Self-Assessment process, Operational Risk training activity.</w:t>
      </w:r>
    </w:p>
    <w:p w14:paraId="2B73955C" w14:textId="77777777" w:rsidR="008D29FB" w:rsidRDefault="00000000">
      <w:r>
        <w:t>Review of Annual Regulatory reports and disclosures Pillar III Disclosures, Annual Report to the Bank of Greece on Risk Management Function activity, Annual Operational Risk Report.</w:t>
      </w:r>
    </w:p>
    <w:p w14:paraId="0C35B73A" w14:textId="77777777" w:rsidR="008D29FB" w:rsidRDefault="00000000">
      <w:r>
        <w:t>The GORMD consists of the, Operational Risk Framework Implementation Sector, which in turn consists of the Operational Risk Program Implementation, the Information &amp; Communication Technology ICT Risks Oversight and the Operational Risk Internal Events Collection Sub-divisions.</w:t>
      </w:r>
    </w:p>
    <w:p w14:paraId="03C2E685" w14:textId="77777777" w:rsidR="008D29FB" w:rsidRDefault="00000000">
      <w:r>
        <w:t>Pillar III Disclosures on a consolidated basis December 31, 2023 RISK MANAGEMENT FRAMEWORK 20 analyze the hypothesis and assumptions embedded in the Strategic Planning, Business Planning business model mapping and Future Profitability.</w:t>
      </w:r>
    </w:p>
    <w:p w14:paraId="67122380" w14:textId="77777777" w:rsidR="008D29FB" w:rsidRDefault="00000000">
      <w:r>
        <w:t>This approach is aligned with NBGs Enterprise Risk Management concept, which is also applicable for the C&amp;E risk area.</w:t>
      </w:r>
    </w:p>
    <w:p w14:paraId="3DE8E5A1" w14:textId="77777777" w:rsidR="008D29FB" w:rsidRDefault="00000000">
      <w:r>
        <w:t>The RAF constitutes an integral part of the Groups Risk Strategy and the overall Group Risk Management Framework.</w:t>
      </w:r>
    </w:p>
    <w:p w14:paraId="2ABE1C32" w14:textId="77777777" w:rsidR="008D29FB" w:rsidRDefault="00000000">
      <w:r>
        <w:t>An effective RAF is fundamental to a strong risk management and governance framework.</w:t>
      </w:r>
    </w:p>
    <w:p w14:paraId="5A4C614F" w14:textId="77777777" w:rsidR="008D29FB" w:rsidRDefault="00000000">
      <w:r>
        <w:t>Pillar III Disclosures on a consolidated basis December 31, 2023 RISK MANAGEMENT FRAMEWORK 22 Qualitative, any risk that may affect the future profitability and capital adequacy of the Bank.</w:t>
      </w:r>
    </w:p>
    <w:p w14:paraId="3F3E07EA" w14:textId="77777777" w:rsidR="008D29FB" w:rsidRDefault="00000000">
      <w:r>
        <w:t>Both the Board of Directors and the Banks executive committees are actively involved and support the ICAAP.</w:t>
      </w:r>
    </w:p>
    <w:p w14:paraId="49C26B48" w14:textId="77777777" w:rsidR="008D29FB" w:rsidRDefault="00000000">
      <w:r>
        <w:t>Risks materiality assessment is performed on the basis of certain quantitative e.</w:t>
      </w:r>
    </w:p>
    <w:p w14:paraId="429A89BD" w14:textId="77777777" w:rsidR="008D29FB" w:rsidRDefault="00000000">
      <w:r>
        <w:t>Exposure as percentage of the Group Risk Weighted Assets RWAs and qualitative criteria e.</w:t>
      </w:r>
    </w:p>
    <w:p w14:paraId="3DA2F6AB" w14:textId="77777777" w:rsidR="008D29FB" w:rsidRDefault="00000000">
      <w:r>
        <w:lastRenderedPageBreak/>
        <w:t>Established framework of risk management policies, procedures and systems, governance framework and specific roles and responsibilities of relevant units, limits setting and evaluation.</w:t>
      </w:r>
    </w:p>
    <w:p w14:paraId="2FDDE440" w14:textId="77777777" w:rsidR="008D29FB" w:rsidRDefault="00000000">
      <w:r>
        <w:t>The ILAAP is an integrated process, therefore it is aligned with the Groups Risk Management Framework and takes into account its current operating environment.</w:t>
      </w:r>
    </w:p>
    <w:p w14:paraId="6E8A34D4" w14:textId="77777777" w:rsidR="008D29FB" w:rsidRDefault="00000000">
      <w:r>
        <w:t>The Guide is part of a wider strategy intended to assist supervised banks in strengthening their risk data aggregation capabilities as well as internal risk reporting practices, thus enhancing the group risk management and decision-making processes.</w:t>
      </w:r>
    </w:p>
    <w:p w14:paraId="47199117" w14:textId="77777777" w:rsidR="008D29FB" w:rsidRDefault="00000000">
      <w:r>
        <w:t>As a next step, stakeholders within the Bank are to be defined and involved in a project with specific objectives leading to guidelines implementation.</w:t>
      </w:r>
    </w:p>
    <w:p w14:paraId="3AE004BC" w14:textId="77777777" w:rsidR="008D29FB" w:rsidRDefault="00000000">
      <w:r>
        <w:t>Enhancements in line with regulatory developments and best practices.</w:t>
      </w:r>
    </w:p>
    <w:p w14:paraId="3F2270EC" w14:textId="77777777" w:rsidR="008D29FB" w:rsidRDefault="00000000">
      <w:r>
        <w:t>Risk monitoring by providing a common frame of reference that enables meaningful analysis and oversight of the outputs generated by any risk management tool.</w:t>
      </w:r>
    </w:p>
    <w:p w14:paraId="2752D24C" w14:textId="77777777" w:rsidR="008D29FB" w:rsidRDefault="00000000">
      <w:r>
        <w:t>NBGs Risk Taxonomy comprises of Risk Types which support a multi-level tree categorization in which NBGs risks are classified and of Risk Themes which are sub-categories of Non-Financial Risks, the inclusion of which in the NBG Risk Taxonomy Framework provides an additional dimension improving the overall risk classification.</w:t>
      </w:r>
    </w:p>
    <w:p w14:paraId="2F5A68CE" w14:textId="77777777" w:rsidR="008D29FB" w:rsidRDefault="00000000">
      <w:r>
        <w:t>Risk Themes are also used in order to accommodate additional regulatory compliance requirements and internal risk analysis and reporting needs.</w:t>
      </w:r>
    </w:p>
    <w:p w14:paraId="3A736D58" w14:textId="77777777" w:rsidR="008D29FB" w:rsidRDefault="00000000">
      <w:r>
        <w:t>The main target of this process is to facilitate key risk management processes and to be aligned with the requirements of the new regulatory Basel IV Framework.</w:t>
      </w:r>
    </w:p>
    <w:p w14:paraId="79369FE2" w14:textId="77777777" w:rsidR="008D29FB" w:rsidRDefault="00000000">
      <w:r>
        <w:t>With regards to the Corporate portfolio, the Bank has proceeded to optimization of its Project Finance scorecard, in alignment with the respective Regulatory Technical Standards and the best market practices.</w:t>
      </w:r>
    </w:p>
    <w:p w14:paraId="3FA095EA" w14:textId="77777777" w:rsidR="008D29FB" w:rsidRDefault="00000000">
      <w:r>
        <w:t>The purpose of the respective Policy is to set out a coherent framework of principles and standards governing the development, and documentation of credit risk models, providing guidance for their quantitative monitoring.</w:t>
      </w:r>
    </w:p>
    <w:p w14:paraId="0EA412BE" w14:textId="77777777" w:rsidR="008D29FB" w:rsidRDefault="00000000">
      <w:r>
        <w:t>The policy applies to all models used for credit risk measurement purposes, including financial reporting and credit impairment calculation, regulatory, credit decision making, as well as Internal Capital Adequacy and Stress Testing purposes.</w:t>
      </w:r>
    </w:p>
    <w:p w14:paraId="476FC99B" w14:textId="77777777" w:rsidR="008D29FB" w:rsidRDefault="00000000">
      <w:r>
        <w:t>The policy is in line with the requirements of the regulatory guidelines and market leading practices and ensures that credit risk models are fit for purpose taking into account their ability to generate accurate and consistent estimates for the measurement of credit risk on an on-going basis.</w:t>
      </w:r>
    </w:p>
    <w:p w14:paraId="26961D32" w14:textId="77777777" w:rsidR="008D29FB" w:rsidRDefault="00000000">
      <w:r>
        <w:lastRenderedPageBreak/>
        <w:t>Other developments per Risk Type Market Risk and Counterparty Credit Risk Given the Banks continuous effort to enhance the robustness and completeness of its Market Risk and Counterparty Credit Risk management processes and in order to comply with the revised regulatory framework Basel III, the key developments related to these risks within 2023 are summarized below, Inclusion of Vega risk in the VaRsVaR calculations since 2 January 2023, based on ECBs approval letter.</w:t>
      </w:r>
    </w:p>
    <w:p w14:paraId="67EAD17E" w14:textId="77777777" w:rsidR="008D29FB" w:rsidRDefault="00000000">
      <w:r>
        <w:t>Update of Market Risk Policy and Methodology documents, to reflect the inclusion of Vega risk in the VaR model.</w:t>
      </w:r>
    </w:p>
    <w:p w14:paraId="3673AFCE" w14:textId="77777777" w:rsidR="008D29FB" w:rsidRDefault="00000000">
      <w:r>
        <w:t>Moreover, the following actions are scheduled for 2024, Implementation of the revised standardized approach for the calculation of CVA capital charges under Basel III BA- CVA, as well as of the current regulatory framework, in the same risk platform used for Counterparty Credit Risk capital requirements.</w:t>
      </w:r>
    </w:p>
    <w:p w14:paraId="0F2C544C" w14:textId="77777777" w:rsidR="008D29FB" w:rsidRDefault="00000000">
      <w:r>
        <w:t>More specifically, Review and update of the Liquidity Risk Management Policy, as per the supervisory requirements.</w:t>
      </w:r>
    </w:p>
    <w:p w14:paraId="32AA8EA6" w14:textId="5F4ECD3D" w:rsidR="008D29FB" w:rsidRDefault="00000000">
      <w:r>
        <w:t xml:space="preserve">Among these, the most significant are, </w:t>
      </w:r>
      <w:r w:rsidR="000841F2">
        <w:t>a</w:t>
      </w:r>
      <w:r>
        <w:t xml:space="preserve">s part of the Enterprise Risk Management </w:t>
      </w:r>
      <w:proofErr w:type="gramStart"/>
      <w:r>
        <w:t>Project</w:t>
      </w:r>
      <w:proofErr w:type="gramEnd"/>
      <w:r>
        <w:t xml:space="preserve"> which is part of the Banks Transformation Plan, GORMD performed an analysis of the Outsourcing, Vendor3d Party and Cyber Attack InternalExternal Risk Themes, developing a RACI matrix of involved stakeholders, assessing adequacy of all related documents, designingupdating the reporting and monitoring procedures and identifying the maturity level of the organization.</w:t>
      </w:r>
    </w:p>
    <w:p w14:paraId="542F4222" w14:textId="77777777" w:rsidR="008D29FB" w:rsidRDefault="00000000">
      <w:r>
        <w:t>Besides, all NBGs Dashboard KRIs were reviewed and updated in order to further improve their relevancy and consistency with Banks Risk Profile, whereas all KRIs thresholds were also reviewed and calibrated.</w:t>
      </w:r>
    </w:p>
    <w:p w14:paraId="3408E54C" w14:textId="77777777" w:rsidR="008D29FB" w:rsidRDefault="00000000">
      <w:r>
        <w:t>GORMD continued with the ongoing monitoring of the Outsourcing Risk that includes, among others, the review of all Outsourcing Risk Assessments, the review and evaluation of the relevant Exit Plans, the contribution in the update of Outsourcing Arrangements Registry, the preparation of regular reporting to the Outsourcing Committee and the Board of Directors.</w:t>
      </w:r>
    </w:p>
    <w:p w14:paraId="5451715F" w14:textId="77777777" w:rsidR="008D29FB" w:rsidRDefault="00000000">
      <w:r>
        <w:t>The exercise was led by the Group Operational Risk Management and the Group Cyber Security Divisions with the support and participation of an external consultant, as well as the participation of relevant stakeholders from the 2nd &amp; 1st lines of defense of the Bank.</w:t>
      </w:r>
    </w:p>
    <w:p w14:paraId="53771E68" w14:textId="5E55A704" w:rsidR="008D29FB" w:rsidRDefault="00000000">
      <w:r>
        <w:t xml:space="preserve">More specifically, </w:t>
      </w:r>
      <w:r w:rsidR="009C0095">
        <w:t>a</w:t>
      </w:r>
      <w:r>
        <w:t xml:space="preserve"> project regarding the design and development of GRC reporting templates by utilizing Power BI capabilities was initiated and is planned to be finalized within 2024.</w:t>
      </w:r>
    </w:p>
    <w:p w14:paraId="1BD64DE8" w14:textId="73D58907" w:rsidR="008D29FB" w:rsidRDefault="00000000">
      <w:r>
        <w:t>A deep dive analysis of data related to Phishing events, ATM robberies as well as Damage to Physical Assets from natural disasters was performed and presented to the Executive Management.</w:t>
      </w:r>
    </w:p>
    <w:p w14:paraId="077773C2" w14:textId="77777777" w:rsidR="008D29FB" w:rsidRDefault="00000000">
      <w:r>
        <w:lastRenderedPageBreak/>
        <w:t>The review of the internal loss database according to the regulatory requirements of the new Standardized Approach Basel IV for Operational Risk.</w:t>
      </w:r>
    </w:p>
    <w:p w14:paraId="0CA08EFB" w14:textId="77777777" w:rsidR="008D29FB" w:rsidRDefault="00000000">
      <w:r>
        <w:t>Two projects were developed and implemented within the Internal Control Coordination Committee ICCC, o The development of a financial impact scale for the risk assessment of the Groups Subsidiaries as part of the NBG Group Common Principles for Operational Risk and Control Assessment document.</w:t>
      </w:r>
    </w:p>
    <w:p w14:paraId="0699DAD3" w14:textId="77777777" w:rsidR="008D29FB" w:rsidRDefault="00000000">
      <w:r>
        <w:t>Finally, and in order to establish and develop a number of Risk Culture initiatives, Group Operational Risk designed and provided throughout the Group training in the implementation of Operational Risk Programs, including training on outsourcing, as well as on the new enhancements in the Operational Risk Management Module of the Governance, Risk and Compliance GRC platform.</w:t>
      </w:r>
    </w:p>
    <w:p w14:paraId="576C8780" w14:textId="77777777" w:rsidR="008D29FB" w:rsidRDefault="00000000">
      <w:r>
        <w:t>A new initiative was also the development of new e-learning courses for the Operational Risk Management Framework and the use of the GRC platform RCSA, Key Risk Indicators and Internal Events that were launched in Q4.</w:t>
      </w:r>
    </w:p>
    <w:p w14:paraId="799711D6" w14:textId="77777777" w:rsidR="008D29FB" w:rsidRDefault="00000000">
      <w:r>
        <w:t>Thus, the Group achieves active credit risk management through, The application of appropriate limits for exposures to a particular single or group of obligors.</w:t>
      </w:r>
    </w:p>
    <w:p w14:paraId="339444DD" w14:textId="77777777" w:rsidR="008D29FB" w:rsidRDefault="00000000">
      <w:r>
        <w:t>All credit risk control procedures, always in compliance with the Credit Policy, are set out in the Procedures and Management Regulation Manuals of the relevant Retail Divisions.</w:t>
      </w:r>
    </w:p>
    <w:p w14:paraId="5A22B15E" w14:textId="77777777" w:rsidR="008D29FB" w:rsidRDefault="00000000">
      <w:r>
        <w:t>GCRCD is responsible for limits setting, limits monitoring and regulatory compliance.</w:t>
      </w:r>
    </w:p>
    <w:p w14:paraId="7FFB503E" w14:textId="77777777" w:rsidR="008D29FB" w:rsidRDefault="00000000">
      <w:r>
        <w:t>All the methodologies and processes followed by NBG for the estimation, monitoring and management of the counterparty credit risk, both for internal purposes, as well as for regulatory compliance are detailed in the Counterparty Credit Risk Framework document.</w:t>
      </w:r>
    </w:p>
    <w:p w14:paraId="67424658" w14:textId="77777777" w:rsidR="008D29FB" w:rsidRDefault="00000000">
      <w:r>
        <w:t>These limits are based on the Banks Risk Appetite, Pillar III Disclosures on a consolidated basis December 31, 2023 RISK MANAGEMENT FRAMEWORK 32 as outlined in the Risk Appetite Framework , the anticipated profitability of the Treasury, as well as on the level of the Banks own funds capital budgeting, in the context of the Group strategy.</w:t>
      </w:r>
    </w:p>
    <w:p w14:paraId="7491867E" w14:textId="77777777" w:rsidR="008D29FB" w:rsidRDefault="00000000">
      <w:r>
        <w:t>Additionally, the VaR model as well as the processes followed by GFLRMD for the measurement and monitoring of Market Risk are described in the VaRsVaR Model Methodology document, which is subordinate to the Market Risk Management Policy and is subject to changes, in accordance with amendments to the Policy.</w:t>
      </w:r>
    </w:p>
    <w:p w14:paraId="0DE17887" w14:textId="77777777" w:rsidR="008D29FB" w:rsidRDefault="00000000">
      <w:r>
        <w:t>The adequacy of the Market Risk Management Framework as a whole, as well as the appropriateness of the VaR model, were successfully reassessed twice by the SSM, in the context of the Targeted Review of Internal Models TRIM and during the Internal Model Investigation IMI for the inclusion of Vega risk in the VaR model.</w:t>
      </w:r>
    </w:p>
    <w:p w14:paraId="1DD983F9" w14:textId="77777777" w:rsidR="008D29FB" w:rsidRDefault="00000000">
      <w:r>
        <w:lastRenderedPageBreak/>
        <w:t>As per the ECBs Decision, NBG may continue calculating the own funds requirements for general market risk with the internal model approach, which verifies the robustness of the Banks Market Risk management model.</w:t>
      </w:r>
    </w:p>
    <w:p w14:paraId="3CA8B263" w14:textId="77777777" w:rsidR="008D29FB" w:rsidRDefault="00000000">
      <w:r>
        <w:t>The first line of defense is at the risk-taking level, where NBGs various market risk taking Business Lines are responsible to monitor and maintain compliance with the set market risk limits, on a continuous basis.</w:t>
      </w:r>
    </w:p>
    <w:p w14:paraId="2ED04C05" w14:textId="77777777" w:rsidR="008D29FB" w:rsidRDefault="00000000">
      <w:r>
        <w:t>Finally, NBGs Internal Audit is responsible to validate that the Group, as a whole, as well as the various departments individually, are compliant with the set market risk policies and procedures.</w:t>
      </w:r>
    </w:p>
    <w:p w14:paraId="08011D4F" w14:textId="77777777" w:rsidR="008D29FB" w:rsidRDefault="00000000">
      <w:r>
        <w:t>This Framework complies with regulatory requirements and is reviewed regularly.</w:t>
      </w:r>
    </w:p>
    <w:p w14:paraId="2DCE09BC" w14:textId="77777777" w:rsidR="008D29FB" w:rsidRDefault="00000000">
      <w:r>
        <w:t>Compliance risk refers to the risk that NBG, in the course of conducting its business or risk management activities, may be found, in circumstances of a breach of the institutions guidelinespolicies as well as the regulatory framework as defined in certain international, EU and Greek laws and regulations, as well as the risk deriving from legal or regulatory sanctions, material financial loss or loss of reputation the Bank might suffer as a result of such breach.</w:t>
      </w:r>
    </w:p>
    <w:p w14:paraId="54584750" w14:textId="77777777" w:rsidR="008D29FB" w:rsidRDefault="00000000">
      <w:r>
        <w:t>This includes security risks resulting from inadequate or failed internal processes or Pillar III Disclosures on a consolidated basis December 31, 2023 RISK MANAGEMENT FRAMEWORK 33 internalexternal cyber-attacks or inadequate physical security.</w:t>
      </w:r>
    </w:p>
    <w:p w14:paraId="59B4B5FB" w14:textId="77777777" w:rsidR="008D29FB" w:rsidRDefault="00000000">
      <w:r>
        <w:t>For this reason, all employees are responsible for managing and controlling OR generated in their sphere of action.</w:t>
      </w:r>
    </w:p>
    <w:p w14:paraId="04B649EF" w14:textId="77777777" w:rsidR="008D29FB" w:rsidRDefault="00000000">
      <w:r>
        <w:t>An Outsourcing Committee, responsible for overseeing the outsourcing arrangements risk of the Group was established and operates in accordance with the applicable legal and regulatory framework.</w:t>
      </w:r>
    </w:p>
    <w:p w14:paraId="603F10F1" w14:textId="77777777" w:rsidR="008D29FB" w:rsidRDefault="00000000">
      <w:r>
        <w:t>Furthermore, it regularly reviews the ORM Framework in order to ensure that all relevant regulatory requirements are met.</w:t>
      </w:r>
    </w:p>
    <w:p w14:paraId="6E79D373" w14:textId="77777777" w:rsidR="008D29FB" w:rsidRDefault="00000000">
      <w:r>
        <w:t>The overall responsibility for the management of Operational Risk relies within the 1st Level of Defense Business Units, that are responsible and accountable for directly identifying, assessing, controlling and mitigating operational risk within their business activities in compliance with the Banks standards and policies.</w:t>
      </w:r>
    </w:p>
    <w:p w14:paraId="52B1E42D" w14:textId="77777777" w:rsidR="008D29FB" w:rsidRDefault="00000000">
      <w:r>
        <w:t>They act as liaisons to the GORMD and are responsible for coordinating the ORMF implementation, assisting in the development of the culture of operational risk and communicating relevant information throughout to the GORMD.</w:t>
      </w:r>
    </w:p>
    <w:p w14:paraId="0D8B86DD" w14:textId="77777777" w:rsidR="008D29FB" w:rsidRDefault="00000000">
      <w:r>
        <w:t>NBGs software is fully configured to calculate Risk Weighted Assets for the entire Group according to the regulatory approach chosen for each portfolio, in accordance with the current CRR CRD IV Basel III regulatory framework.</w:t>
      </w:r>
    </w:p>
    <w:p w14:paraId="3CC19112" w14:textId="77777777" w:rsidR="008D29FB" w:rsidRDefault="00000000">
      <w:r>
        <w:lastRenderedPageBreak/>
        <w:t>The derivative financial instruments that are subject to the Market Risk framework are those held with a trading intent, thus included in the daily, regulatory, VaR and stressed VaR calculations.</w:t>
      </w:r>
    </w:p>
    <w:p w14:paraId="68E72FA3" w14:textId="77777777" w:rsidR="008D29FB" w:rsidRDefault="00000000">
      <w:r>
        <w:t>Based on the current regulatory framework there is no substantial, practical or legal incapacity in capital transfers or payment of obligations between parent Bank and its subsidiaries.</w:t>
      </w:r>
    </w:p>
    <w:p w14:paraId="081B60BA" w14:textId="77777777" w:rsidR="008D29FB" w:rsidRDefault="00000000">
      <w:r>
        <w:t>Moreover, in the context of the implementation of NBGs strategy to ensure ongoing compliance with its MREL requirements, the Bank has successfully completed the below issuances, On 26 September 2023, the Bank completed the placement of €500 million Subordinated Tier II bonds in the international capital markets with a yield of 8.</w:t>
      </w:r>
    </w:p>
    <w:p w14:paraId="1D5A7140" w14:textId="77777777" w:rsidR="008D29FB" w:rsidRDefault="00000000">
      <w:r>
        <w:t>The Bank has initiated the process of enhancing its credit risk assessment process, incorporating climate and environmental factors for the purposes of evaluating borrowers risk of default and ultimately the ECL calculation.</w:t>
      </w:r>
    </w:p>
    <w:p w14:paraId="31B76823" w14:textId="77777777" w:rsidR="008D29FB" w:rsidRDefault="00000000">
      <w:r>
        <w:t>Acknowledging the importance and potential impact of Environmental, Social and Governance risks, the Bank has proceeded with the identification and materiality assessment of such risks and their incorporation in the overall risk management framework, and is committed to monitoring, assessing and managing the particular risks going forward.</w:t>
      </w:r>
    </w:p>
    <w:p w14:paraId="6422CFEB" w14:textId="77777777" w:rsidR="008D29FB" w:rsidRDefault="00000000">
      <w:r>
        <w:t>In principle, NBG accepts the following credit risk mitigation types funded and unfunded for capital calculation purposes under the Standardised Approach, Guarantees from, o Legal entities, both from the Private and Public Sector o Central governments, Regional governments, local authorities and PSEs o Financial institutions o The Greek Government o The Hellenic Development Bank o The European Investment Fund o The European Investment Bank Pledges of o Securities cheques and bills of exchange o Deposits o Equity, Mutual funds and Non-tangible securities bonds, etc.</w:t>
      </w:r>
    </w:p>
    <w:p w14:paraId="268F55F8" w14:textId="77777777" w:rsidR="008D29FB" w:rsidRDefault="00000000">
      <w:r>
        <w:t>As per the current regulatory framework, the calculations only pertain to transactions with financial institutions.</w:t>
      </w:r>
    </w:p>
    <w:p w14:paraId="63E1DEA3" w14:textId="77777777" w:rsidR="008D29FB" w:rsidRDefault="00000000">
      <w:r>
        <w:t>The VaR estimates are used internally as a risk management tool, as well as for regulatory purposes.</w:t>
      </w:r>
    </w:p>
    <w:p w14:paraId="6B27015B" w14:textId="77777777" w:rsidR="008D29FB" w:rsidRDefault="00000000">
      <w:r>
        <w:t>Moreover, since the Bank has approval to use an internal model approach only for general market risk purposes, the issuer risk and the equity specific risk of the portfolio are excluded from the regulatory VaR calculations.</w:t>
      </w:r>
    </w:p>
    <w:p w14:paraId="526C00B6" w14:textId="77777777" w:rsidR="008D29FB" w:rsidRDefault="00000000">
      <w:r>
        <w:t>Under the Standardized Approach, the capital requirement for operational risk is the average, over three years, of the risk-weighted relevant indicators calculated each year through the allocation of Gross Income to the eight, regulatory business lines.</w:t>
      </w:r>
    </w:p>
    <w:p w14:paraId="14641B50" w14:textId="77777777" w:rsidR="008D29FB" w:rsidRDefault="00000000">
      <w:r>
        <w:lastRenderedPageBreak/>
        <w:t>In this context, banks acknowledge their role in accelerating the transition to a lowcarbon world by supporting capital allocation to green activities, while also financing the transition of businesses and households to more sustainable models.</w:t>
      </w:r>
    </w:p>
    <w:p w14:paraId="5F7893B1" w14:textId="77777777" w:rsidR="008D29FB" w:rsidRDefault="00000000">
      <w:r>
        <w:t>To this end, we articulated our Environment E, Society S and Governance G strategy in 9 themes.</w:t>
      </w:r>
    </w:p>
    <w:p w14:paraId="2FC6E004" w14:textId="77777777" w:rsidR="008D29FB" w:rsidRDefault="00000000">
      <w:r>
        <w:t>These themes stem from and reflect our revamped value system, align with selected UNs Sustainable Development Goals SDGs, and complement the Banks overall business strategy and transformation, as well as our vision to become the undisputed Bank of First Choice in Greece.</w:t>
      </w:r>
    </w:p>
    <w:p w14:paraId="7B8CD6CF" w14:textId="77777777" w:rsidR="008D29FB" w:rsidRDefault="00000000">
      <w:r>
        <w:t>Our environment-related themes encapsulate our climate change action, portfolio and operations decarbonization strategy, all of which we keep evolving, detailing, monitoring and adjusting on an on-going basis.</w:t>
      </w:r>
    </w:p>
    <w:p w14:paraId="6519CFD6" w14:textId="77777777" w:rsidR="008D29FB" w:rsidRDefault="00000000">
      <w:r>
        <w:t>As of October 2023, we have committed to specific net zero emissions targets for 2030, understanding the business environment context for prioritized high-emitting, hightransition risk sectors portfolios Power Generation, Oil &amp; Gas, Cement, Aluminum, CRE, RRE.</w:t>
      </w:r>
    </w:p>
    <w:p w14:paraId="2A4742B3" w14:textId="77777777" w:rsidR="008D29FB" w:rsidRDefault="00000000">
      <w:r>
        <w:t>Specifically, we have studied the decarbonization levers per sectorportfolio, preparing the ground for our businesses Corporate for key sectors, and Retail for mortgages to support the transition of each sectorportfolio through our credit expansion, and, as part of our Budget &amp; Business Plan 2024-26 process, we also estimated short-term, financed emissions for selected material sectors portfolios, in line with our 2030 net zero aspirations and commitments see also 10.</w:t>
      </w:r>
    </w:p>
    <w:p w14:paraId="0AD68D78" w14:textId="77777777" w:rsidR="008D29FB" w:rsidRDefault="00000000">
      <w:r>
        <w:t>In the RIMA, both physical and transition Climate risks are covered, with a forward-looking impact approach, distinctly per primary risk type and on aggregate, considering all material business linesportfolios, regions and distinct time horizons, short, medium and long term.</w:t>
      </w:r>
    </w:p>
    <w:p w14:paraId="63FDF029" w14:textId="77777777" w:rsidR="008D29FB" w:rsidRDefault="00000000">
      <w:r>
        <w:t>Specifically, NBG defined medium-term, financed emissions targets for 6 sectors portfolios while at the same time, also committing to net-zero financed emissions in the long-term, through its membership in the NZBA, announced in Nov 20234.</w:t>
      </w:r>
    </w:p>
    <w:p w14:paraId="1FF33E3F" w14:textId="77777777" w:rsidR="008D29FB" w:rsidRDefault="00000000">
      <w:r>
        <w:t>At NBG we regard emissions target-setting as a key means to achieving business model resilience, in that, the process followed to define 2030 interim Net-Zero targets, including portfolio analyses and projections, market growth drivers research, and deep-dives into counterparties plans to decarbonize, provided us with a good understanding of our own business models vulnerability to C&amp;E factors both risks and opportunities and a good degree of trust on its resilience.</w:t>
      </w:r>
    </w:p>
    <w:p w14:paraId="51A7B933" w14:textId="77777777" w:rsidR="008D29FB" w:rsidRDefault="00000000">
      <w:r>
        <w:t xml:space="preserve">Such investments are channeled to RES projects financing, and towards establishing the Banks position as a pioneer in the greensustainable energy market, with offerings, partnerships, and ecosystems serving climate and environmental objectives, such as, for </w:t>
      </w:r>
      <w:r>
        <w:lastRenderedPageBreak/>
        <w:t>example, our strategic partnership with PPC in the market of home energy upgrade financing.</w:t>
      </w:r>
    </w:p>
    <w:p w14:paraId="2A78A9DA" w14:textId="77777777" w:rsidR="008D29FB" w:rsidRDefault="00000000">
      <w:r>
        <w:t>Also, our Sponsorships and CSR activity strives to serve, alongside the S Social, also our E-Environmental strategic orientation, with NBG committing a significant budget towards environmental objectives.</w:t>
      </w:r>
    </w:p>
    <w:p w14:paraId="3F393F91" w14:textId="6C37891B" w:rsidR="008D29FB" w:rsidRDefault="00000000">
      <w:r>
        <w:t xml:space="preserve">Lastly, by being the first among domestic peers to issue a Sustainable Bond </w:t>
      </w:r>
      <w:proofErr w:type="gramStart"/>
      <w:r>
        <w:t>Framework ,</w:t>
      </w:r>
      <w:proofErr w:type="gramEnd"/>
      <w:r>
        <w:t xml:space="preserve"> NBG places itself in full readiness to channel proceeds from any upcoming instrument, to be issued under this Framework towards financing investing in a series of Green and Social projects, </w:t>
      </w:r>
      <w:r w:rsidR="00D85D9A">
        <w:t>i</w:t>
      </w:r>
      <w:r>
        <w:t>n eligible project categories, as these are detailed in the SBF6.</w:t>
      </w:r>
    </w:p>
    <w:p w14:paraId="124862B0" w14:textId="77777777" w:rsidR="008D29FB" w:rsidRDefault="00000000">
      <w:r>
        <w:t>More specifically, it establishes the criteria for determining whether an economic activity qualifies as environmentally sustainable and incorporates an obligation that companies subject to the Non-Financial Reporting Directive NFRD, including financial corporations, must disclose how their operations align with the EU Taxonomy.</w:t>
      </w:r>
    </w:p>
    <w:p w14:paraId="7DFEB893" w14:textId="77777777" w:rsidR="008D29FB" w:rsidRDefault="00000000">
      <w:r>
        <w:t>These disclosures should focus on how their financing and investments contribute to environmental objectives, the degree of alignment with the EU Taxonomy, and the significant adverse impacts of investment decisions on sustainability factors.</w:t>
      </w:r>
    </w:p>
    <w:p w14:paraId="2FFBD9E9" w14:textId="77777777" w:rsidR="008D29FB" w:rsidRDefault="00000000">
      <w:r>
        <w:t>In that regard, a dedicated Board Training session took place in 2021 on ESG related topics, and more specifically it included a half day program hosted by the International Corporate Governance Network, with all Directors attending and with a certificate provided by the Organization as per their completion of the training.</w:t>
      </w:r>
    </w:p>
    <w:p w14:paraId="6BE398E2" w14:textId="77777777" w:rsidR="008D29FB" w:rsidRDefault="00000000">
      <w:r>
        <w:t>During 2023, the Board focused on a number of key areas, including but not limited to the activities described below, taking into account in its discussions and decision-making the interests of its stakeholders.</w:t>
      </w:r>
    </w:p>
    <w:p w14:paraId="156CFCC2" w14:textId="77777777" w:rsidR="008D29FB" w:rsidRDefault="00000000">
      <w:r>
        <w:t>Indicatively, the Board of Directors, continued focusing on sustainable development and strong performance of the Bank, while maintaining high standards in its corporate governance and conduct arrangements.</w:t>
      </w:r>
    </w:p>
    <w:p w14:paraId="11294C1C" w14:textId="77777777" w:rsidR="008D29FB" w:rsidRDefault="00000000">
      <w:r>
        <w:t>In this context, the Board of Directors, during the Off-Site Strategy Days Meetings was presented and discussed ESG and Sustainability.</w:t>
      </w:r>
    </w:p>
    <w:p w14:paraId="78599966" w14:textId="77777777" w:rsidR="008D29FB" w:rsidRDefault="00000000">
      <w:r>
        <w:t>Furthermore, the Board of Directors reviewed the Banks initiatives in the context of the Banks ESG Strategy and climate risk related initiatives.</w:t>
      </w:r>
    </w:p>
    <w:p w14:paraId="205EC5FC" w14:textId="77777777" w:rsidR="008D29FB" w:rsidRDefault="00000000">
      <w:r>
        <w:t>More specifically its responsibilities include, Oversight of Policies the Bank adopts in compliance with regulatory framework and best practices incl.</w:t>
      </w:r>
    </w:p>
    <w:p w14:paraId="6EDE059F" w14:textId="77777777" w:rsidR="008D29FB" w:rsidRDefault="00000000">
      <w:r>
        <w:t>Oversight of the management of the Banks staff compliance and ethical conduct and assessment of the extent to which the Bank is managing its compliance risk effectively incl.</w:t>
      </w:r>
    </w:p>
    <w:p w14:paraId="568AA3FD" w14:textId="77777777" w:rsidR="008D29FB" w:rsidRDefault="00000000">
      <w:r>
        <w:lastRenderedPageBreak/>
        <w:t>Awareness at Board level of how the bankingfinancial sector landscape is shaping, and updated knowledge of the factors that can affect the formulation of the Banks longterm strategy, its performanceposition in the market and the perception stakeholders may have about the Bank incl.</w:t>
      </w:r>
    </w:p>
    <w:p w14:paraId="1FC20B16" w14:textId="77777777" w:rsidR="008D29FB" w:rsidRDefault="00000000">
      <w:r>
        <w:t>Within this context it may provide feedback to the Compliance, Ethics and Culture and other Committees, for further consideration.</w:t>
      </w:r>
    </w:p>
    <w:p w14:paraId="72300D3A" w14:textId="77777777" w:rsidR="008D29FB" w:rsidRDefault="00000000">
      <w:r>
        <w:t>Furthermore, given the nature of its role, the Committee shall receive necessary inputs including by means of consultantsadvisors providing information and support as required, indicatively in terms of how international developments and ESG trends may affect or be applied at the Bank.</w:t>
      </w:r>
    </w:p>
    <w:p w14:paraId="387859CA" w14:textId="77777777" w:rsidR="008D29FB" w:rsidRDefault="00000000">
      <w:r>
        <w:t>During 2023, the Innovation and Sustainability Committee convened three times and its workings included among others the, Review of the Banks ESG Strategy and the respective implementation roadmap.</w:t>
      </w:r>
    </w:p>
    <w:p w14:paraId="7C196DA0" w14:textId="77777777" w:rsidR="008D29FB" w:rsidRDefault="00000000">
      <w:r>
        <w:t>Moreover, as noted above, the BRC is responsible for the inclusion of ESG related metrics in the Banks Risk Appetite Framework, and the Banks Risk Management Framework overall.</w:t>
      </w:r>
    </w:p>
    <w:p w14:paraId="768F8BC2" w14:textId="77777777" w:rsidR="008D29FB" w:rsidRDefault="00000000">
      <w:r>
        <w:t>HR &amp; Remuneration Committee, Review and oversight of executive remuneration objectives and outcomes incl.</w:t>
      </w:r>
    </w:p>
    <w:p w14:paraId="7BF17C3F" w14:textId="77777777" w:rsidR="008D29FB" w:rsidRDefault="00000000">
      <w:r>
        <w:t>Audit Committee, Assessment of Banks capacity and capability to manage risks incl.</w:t>
      </w:r>
    </w:p>
    <w:p w14:paraId="7A3876F1" w14:textId="77777777" w:rsidR="008D29FB" w:rsidRDefault="00000000">
      <w:r>
        <w:t>Its purpose is in the context of its strategic approach and commitment to continuously promote sustainable development and responsible entrepreneurship, aiming at effective management of ESG, sustainability and sustainable financing issues, in line with regulatory requirements and taking into account best practices as per international treaties and initiatives.</w:t>
      </w:r>
    </w:p>
    <w:p w14:paraId="6337F7B5" w14:textId="77777777" w:rsidR="008D29FB" w:rsidRDefault="00000000">
      <w:r>
        <w:t>Its responsibilities include, Ensuring adherence to the relevant regulatory framework for ESG and sustainability incl.</w:t>
      </w:r>
    </w:p>
    <w:p w14:paraId="7526B3D7" w14:textId="77777777" w:rsidR="008D29FB" w:rsidRDefault="00000000">
      <w:r>
        <w:t>Considering trends and best-practices over and above the legal frameworkregulatory expectations.</w:t>
      </w:r>
    </w:p>
    <w:p w14:paraId="68CE3E2F" w14:textId="77777777" w:rsidR="008D29FB" w:rsidRDefault="00000000">
      <w:r>
        <w:t>Determining the Banks overall strategy regarding ESG and sustainability issues incl.</w:t>
      </w:r>
    </w:p>
    <w:p w14:paraId="4B346D50" w14:textId="77777777" w:rsidR="008D29FB" w:rsidRDefault="00000000">
      <w:r>
        <w:t>Deciding on ESG and sustainability KPIs and targets incl.</w:t>
      </w:r>
    </w:p>
    <w:p w14:paraId="3552608B" w14:textId="77777777" w:rsidR="008D29FB" w:rsidRDefault="00000000">
      <w:r>
        <w:t>Monitoring and assessing performance against ESG and sustainability KPIs and targets incl.</w:t>
      </w:r>
    </w:p>
    <w:p w14:paraId="344E7D1A" w14:textId="77777777" w:rsidR="008D29FB" w:rsidRDefault="00000000">
      <w:r>
        <w:t>Deciding on the policies, initiatives and actions that result in mitigating andor reducing the environmental impacts and footprint of the Bank.</w:t>
      </w:r>
    </w:p>
    <w:p w14:paraId="422228A9" w14:textId="77777777" w:rsidR="008D29FB" w:rsidRDefault="00000000">
      <w:r>
        <w:t xml:space="preserve">In this context, the pre-existing Corporate Social Responsibility &amp; Sustainable Development Division of the Bank &amp; Group, was split into two new Divisions, the Corporate Social </w:t>
      </w:r>
      <w:r>
        <w:lastRenderedPageBreak/>
        <w:t>Responsibility &amp; ESG Reporting Division and the Data Privacy, Technology &amp; ESG Compliance Advisory Division.</w:t>
      </w:r>
    </w:p>
    <w:p w14:paraId="337EA98C" w14:textId="77777777" w:rsidR="008D29FB" w:rsidRDefault="00000000">
      <w:r>
        <w:t>Τhe Corporate Social Responsibility &amp; ESG Reporting Division of the Bank &amp; Group, is under the supervision of the General Manager of Transformation, Strategy &amp; International Activities.</w:t>
      </w:r>
    </w:p>
    <w:p w14:paraId="1D3B24A5" w14:textId="77777777" w:rsidR="008D29FB" w:rsidRDefault="00000000">
      <w:r>
        <w:t>Its main responsibilities include sustainability reporting, ESG raters assessments and communication, the formulation and execution of the Groups Social Strategy and the development of CSR programmes, as well as coordination across the first line business units and functions pertaining to these issues.</w:t>
      </w:r>
    </w:p>
    <w:p w14:paraId="00F99E0B" w14:textId="77777777" w:rsidR="008D29FB" w:rsidRDefault="00000000">
      <w:r>
        <w:t>Τhe Data Privacy, Technology &amp; ESG Compliance Advisory Division of the Bank &amp; Group, operates within the Group Compliance function, under the supervision of the General Manager of Group Compliance and Corporate Governance.</w:t>
      </w:r>
    </w:p>
    <w:p w14:paraId="0330C625" w14:textId="77777777" w:rsidR="008D29FB" w:rsidRDefault="00000000">
      <w:r>
        <w:t>The objective of this new Division, apart from monitoring of issues pertaining to personal data and AI, is to enhance the monitoring of the respective regulatory framework and advise on its implementation, overseeing and assessing compliance and reputational risks related to ESG and also conducting ESG due diligence for service providerssuppliers.</w:t>
      </w:r>
    </w:p>
    <w:p w14:paraId="012E2B20" w14:textId="77777777" w:rsidR="008D29FB" w:rsidRDefault="00000000">
      <w:r>
        <w:t>Climate &amp; Environmental Strategy Sector An independent sector, the Climate &amp; Environmental Strategy Sector, has been set up to strengthen NBGs ESG Governance and the shaping and execution of the Bank and Groups ESG Strategy.</w:t>
      </w:r>
    </w:p>
    <w:p w14:paraId="633913A5" w14:textId="77777777" w:rsidR="008D29FB" w:rsidRDefault="00000000">
      <w:r>
        <w:t>To serve its mission, the Sector bears responsibility to, Actively support the Bank and Groups Management in shaping NBGs climate and environmental strategy, as well as enabling and monitoring its execution.</w:t>
      </w:r>
    </w:p>
    <w:p w14:paraId="1FB3882A" w14:textId="77777777" w:rsidR="008D29FB" w:rsidRDefault="00000000">
      <w:r>
        <w:t>Co-ordinate involved 1st LoD units in identifying, articulating, road-mapping, and carrying out specific initiatives pertaining to Climate &amp; Environmental targetsetting and implementation actions to achieve the Banks C&amp;E strategy.</w:t>
      </w:r>
    </w:p>
    <w:p w14:paraId="457B85C1" w14:textId="77777777" w:rsidR="008D29FB" w:rsidRDefault="00000000">
      <w:r>
        <w:t>Develop, keep improving, and safeguard methodologies and tools used for measuring and monitoring Climate &amp; Environmental KPIs, relevant to the 1st LoD activity, while also measuring carbon footprint related metrics and other C&amp;E KPIs.</w:t>
      </w:r>
    </w:p>
    <w:p w14:paraId="2EC7166E" w14:textId="77777777" w:rsidR="008D29FB" w:rsidRDefault="00000000">
      <w:r>
        <w:t>The Bank aims to create positive economic and social impacts for its Stakeholders and more broadly for the economies and societies where it operates, through its activities the provision of funds, products and services, within its role as an employer, as well as with the deployment of specific programs of CSR actions.</w:t>
      </w:r>
    </w:p>
    <w:p w14:paraId="26B44138" w14:textId="77777777" w:rsidR="008D29FB" w:rsidRDefault="00000000">
      <w:r>
        <w:t>NBG Group Sustainability Policy As of 2021 the new NBG Sustainability Policy has been approved by the Board of Directors and the Audit Committee, as per the provisions of the applicable legal framework, who reviewed and opined on the Sustainability Policy as part of their Report to Shareholders.</w:t>
      </w:r>
    </w:p>
    <w:p w14:paraId="6C36D137" w14:textId="77777777" w:rsidR="008D29FB" w:rsidRDefault="00000000">
      <w:r>
        <w:lastRenderedPageBreak/>
        <w:t>NBG Group Sustainability Policy is publicly available on its website and is also communicated to its employees through Sustainability awareness announcements at NBGs website.</w:t>
      </w:r>
    </w:p>
    <w:p w14:paraId="75345464" w14:textId="2E11F38B" w:rsidR="008D29FB" w:rsidRDefault="00000000">
      <w:r>
        <w:t>Fully aware of the significance of our role in contributing to sustainable development, the purpose of the Policy is to set the framework for the development of actions that assist in the management of economic, social, governance and environmental impacts of the Bank and the Group of Companies and mainly lead in</w:t>
      </w:r>
      <w:r w:rsidR="00C53772">
        <w:t xml:space="preserve"> r</w:t>
      </w:r>
      <w:r>
        <w:t>educing and, where possible, offsetting our environmental impacts including those related to climate change, as such arises from the financing of our customers' activities, as well as from the operation of NBG itself including energy consumption of buildings.</w:t>
      </w:r>
    </w:p>
    <w:p w14:paraId="7396706B" w14:textId="77777777" w:rsidR="008D29FB" w:rsidRDefault="00000000">
      <w:r>
        <w:t>Undertaking initiatives and innovative actions in the fields of Corporate Governance, Corporate Social Responsibility and Business Ethics, in addition to ensuring compliance with the current legal and regulatory framework for these issues, thereby contributing to our vision of making NBG the Bank of First Choice.</w:t>
      </w:r>
    </w:p>
    <w:p w14:paraId="6D63AEE1" w14:textId="77777777" w:rsidR="008D29FB" w:rsidRDefault="00000000">
      <w:r>
        <w:t>ESG in Loan Origination In response to ECB's Climate &amp; Environmental Guide expectations and as part of executing its short-term action plan included in the Thematic Review exercise, NBG has already effectuated enhancements in its lending policies and processes, incorporating the assessment of E, S and G risks of its corporate borrowers.</w:t>
      </w:r>
    </w:p>
    <w:p w14:paraId="2438F13D" w14:textId="77777777" w:rsidR="008D29FB" w:rsidRDefault="00000000">
      <w:r>
        <w:t>This ESG risk assessment, in which climate and environmental factors are a prominent component, of the E part, is performed via an ESG Obligor Assessment questionnaire at the stage of loan origination.</w:t>
      </w:r>
    </w:p>
    <w:p w14:paraId="378B829C" w14:textId="77777777" w:rsidR="008D29FB" w:rsidRDefault="00000000">
      <w:r>
        <w:t>The corporate obligor is required to submit responses qualitative and quantitative, which are fed into respective models tailored to size and sector, and yield a standardized ESG risk vulnerability outcome, that is coevaluated together with transaction-specific attributes in line with the TSC of the 2 first Environmental Goals of the EU Taxonomy, as reflected in NBG's Sustainable Lending Criteria Framework, at the stage of credit assessment.</w:t>
      </w:r>
    </w:p>
    <w:p w14:paraId="7E1E5F27" w14:textId="77777777" w:rsidR="008D29FB" w:rsidRDefault="00000000">
      <w:r>
        <w:t>Given that the definition and the quantification of social factors and risks impact has not yet matured, any further updatesenhancements to the business strategy, financial planning, and risk management practices with respect to social factors and related risks will be dully added and included in the upcoming disclosures.</w:t>
      </w:r>
    </w:p>
    <w:p w14:paraId="101BDBF8" w14:textId="23190699" w:rsidR="008D29FB" w:rsidRDefault="00000000">
      <w:r>
        <w:t xml:space="preserve">Finally, via the G part of Obligor Assessment, Governance risks are assessed </w:t>
      </w:r>
      <w:r w:rsidR="000A748E">
        <w:t>r</w:t>
      </w:r>
      <w:r>
        <w:t>egulatory Compliance, Transparency, Business Ethics, Remunaration, etc.</w:t>
      </w:r>
    </w:p>
    <w:p w14:paraId="17D27052" w14:textId="77777777" w:rsidR="008D29FB" w:rsidRDefault="00000000">
      <w:r>
        <w:t>Specifically, variable remuneration is supported by the annual performance management process assuring consistency and clarity of relevant performance objectives, including environmental and climate-related, social and governance objectives, as well as broader behavioral expectations aligned with business strategy, culture and values.</w:t>
      </w:r>
    </w:p>
    <w:p w14:paraId="7F2BA83E" w14:textId="77777777" w:rsidR="008D29FB" w:rsidRDefault="00000000">
      <w:r>
        <w:lastRenderedPageBreak/>
        <w:t>Ιn this context, the Bank and Group companies express their commitment to observe and promote values such as integrity, accountability, honesty, transparency, trust, equality and high ethical standards in all operations.</w:t>
      </w:r>
    </w:p>
    <w:p w14:paraId="48E2440A" w14:textId="77777777" w:rsidR="008D29FB" w:rsidRDefault="00000000">
      <w:r>
        <w:t>In this context, the Bank conducts regular inspections to ensure the appropriateness and adequacy of the existing standards of health and safety in the workplace, ensures appropriate training and consultation with employees on such issues, while it has also prepared emergency plans aimed at preventing Pillar III Disclosures on a consolidated basis December 31, 2023 ESG RISKS 91 occupational hazards and supporting employees in cases of violent incidents robberies and verbalphysical abuse.</w:t>
      </w:r>
    </w:p>
    <w:p w14:paraId="2B5914AB" w14:textId="77777777" w:rsidR="008D29FB" w:rsidRDefault="00000000">
      <w:r>
        <w:t>Through the adoption and implementation of the Outsourcing Policy, NBG among others, Complies with the relevant legal and regulatory framework.</w:t>
      </w:r>
    </w:p>
    <w:p w14:paraId="137AA037" w14:textId="77777777" w:rsidR="008D29FB" w:rsidRDefault="00000000">
      <w:r>
        <w:t>Pursuant to the institutional framework, all parties involved in procurement and technical projects must be aware of and conform with the Banks and the Groups Code of Ethics, which also applies to purchasing and technical projects.</w:t>
      </w:r>
    </w:p>
    <w:p w14:paraId="62612B61" w14:textId="77777777" w:rsidR="008D29FB" w:rsidRDefault="00000000">
      <w:r>
        <w:t>All prospective suppliers are under the obligation to comply with Corporate Social Responsibility requirements documenting compliance by sending relevant supporting material, as these are stipulated in the relevant EU Directives, on issues such as, o Environmental protection.</w:t>
      </w:r>
    </w:p>
    <w:p w14:paraId="44CA1A6E" w14:textId="77777777" w:rsidR="008D29FB" w:rsidRDefault="00000000">
      <w:r>
        <w:t>Reviews reports submitted by the Group Compliance and Corporate Governance Function on customers issues Pillar III Disclosures on a consolidated basis December 31, 2023 ESG RISKS 92 such as customer perceptions customer satisfaction data survey results customer complaints etc.</w:t>
      </w:r>
    </w:p>
    <w:p w14:paraId="1864C0E9" w14:textId="77777777" w:rsidR="008D29FB" w:rsidRDefault="00000000">
      <w:r>
        <w:t>Monitors and reviews via the Compliance Function the procedures on the basis of which the Bank manages centrally all complaints submitted by the Banks clients so as to ensure the resolution of the issue in a transparent, impartial and objective manner, within the stipulated timeframe, as well as relevant Ombudsman enquiries and recommendations.</w:t>
      </w:r>
    </w:p>
    <w:p w14:paraId="6C49610A" w14:textId="77777777" w:rsidR="008D29FB" w:rsidRDefault="00000000">
      <w:r>
        <w:t>In 2023, the Bank has not identified any non-compliance with environmental laws andor regulations, and no fines were imposed on the Bank regarding the environment.</w:t>
      </w:r>
    </w:p>
    <w:p w14:paraId="561CB7E4" w14:textId="77777777" w:rsidR="008D29FB" w:rsidRDefault="00000000">
      <w:r>
        <w:t>In this context, product characteristics are checked regarding regulatory compliance while the total text and contents of contracts, as well as terms of use and forms providing precontractual information, that are intended for contractual agreements between the Bank and its customers are updated on the basis of current guidelines, legislation or business decisions by the Banks legal services and the Groups Compliance function and then communicated to customers according to procedure also subject to the applicable regulatory framework.</w:t>
      </w:r>
    </w:p>
    <w:p w14:paraId="26C77807" w14:textId="77777777" w:rsidR="008D29FB" w:rsidRDefault="00000000">
      <w:r>
        <w:t xml:space="preserve">The Committees duties include the approval of programs regarding the promotion of the Banks corporate image, products and services, as well as the evaluation of proposals for the </w:t>
      </w:r>
      <w:r>
        <w:lastRenderedPageBreak/>
        <w:t>best development of the Banks website and alternative channels as a means of marketing its products and services.</w:t>
      </w:r>
    </w:p>
    <w:p w14:paraId="4D5461FC" w14:textId="77777777" w:rsidR="008D29FB" w:rsidRDefault="00000000">
      <w:r>
        <w:t>This approach is reflected in the Codes and Policies that the Bank has adopted, on the controls embedded within the procedures followed in the Banks day-to-day operations and on the monitoring and audit processes applied.</w:t>
      </w:r>
    </w:p>
    <w:p w14:paraId="393FD84A" w14:textId="77777777" w:rsidR="008D29FB" w:rsidRDefault="00000000">
      <w:r>
        <w:t>Additionally, in accordance with particular requirements within the applicable regulatory framework Bank of Greece Governors Act 25772006 imposes in this respect, external auditors review and assess the effectiveness of the Banks Internal Control System on a three-year basis.</w:t>
      </w:r>
    </w:p>
    <w:p w14:paraId="61595D42" w14:textId="77777777" w:rsidR="008D29FB" w:rsidRDefault="00000000">
      <w:r>
        <w:t>A set of Codes and Policies which the Board of Directors has approved include several measures against the risk of bribery and corruption.</w:t>
      </w:r>
    </w:p>
    <w:p w14:paraId="3C5B86AB" w14:textId="77777777" w:rsidR="008D29FB" w:rsidRDefault="00000000">
      <w:r>
        <w:t>Indicatively, such measures are incorporated in the NBG Group Code of Ethics, the Code of Ethics for Financial Professionals, the Anti-Fraud Policy, the Conflict of Interest Policy and the Anti-Bribery Policy.</w:t>
      </w:r>
    </w:p>
    <w:p w14:paraId="1E4A11DC" w14:textId="77777777" w:rsidR="008D29FB" w:rsidRDefault="00000000">
      <w:r>
        <w:t>At a further level, the Whistleblowing Policy in force, provides for the existence of appropriate communication channels enabling the submission of whistle-blowers reports, both in case these Pillar III Disclosures on a consolidated basis December 31, 2023 ESG RISKS 93 may come from within the Bank as well as in case such reports are being submitted by third-parties.</w:t>
      </w:r>
    </w:p>
    <w:p w14:paraId="1A9BE031" w14:textId="77777777" w:rsidR="008D29FB" w:rsidRDefault="00000000">
      <w:r>
        <w:t>The Board of Directors is committed to prevent bribery and corruption and promotes the establishment of a culture against them, according to which any form of bribery and corruption is non-acceptable, while it is responsible for approving the relevant Policies, as well as overseeing its implementation and periodic assessment.</w:t>
      </w:r>
    </w:p>
    <w:p w14:paraId="68F48546" w14:textId="77777777" w:rsidR="008D29FB" w:rsidRDefault="00000000">
      <w:r>
        <w:t>Further, mandatory learning programs on the NBG Groups applicable Code of Ethics, which, focuses, among others, on bribery, corruption issues, and Whistleblowing Policy, as well as an e-learning program dedicated to the Whistleblowing Policy, are provided to all employees of the Bank, and all personnel has access to the internal e-communication network of the Bank intranet, through which they are able to get prompt and full information on all key matters regarding Groups developments and operations, including internal communication announcements, internal circulars, policies that the Bank has in place etc.</w:t>
      </w:r>
    </w:p>
    <w:p w14:paraId="07A9C798" w14:textId="77777777" w:rsidR="008D29FB" w:rsidRDefault="00000000">
      <w:r>
        <w:t>In this context, with the Bank laying great emphasis on ensuring that the highest standards on ethics and integrity are applied throughout all of its activities in accordance with international best practices, the Bank has established the Compliance, Ethics and Culture Committee of the Board of Directors.</w:t>
      </w:r>
    </w:p>
    <w:p w14:paraId="175ABAAF" w14:textId="77777777" w:rsidR="008D29FB" w:rsidRDefault="00000000">
      <w:r>
        <w:t xml:space="preserve">With a view to the Banks full compliance with the current legal and regulatory framework, as well as international best practices and guidelines regarding the combating of corruption </w:t>
      </w:r>
      <w:r>
        <w:lastRenderedPageBreak/>
        <w:t>and bribery, and considering that these phenomena are very common in international business transactions and undermine the effective corporate governance of the companies, the Bank has in place the following arrangements, Policies and Codes, o NBG Code of Ethics for Financial Professionals.</w:t>
      </w:r>
    </w:p>
    <w:p w14:paraId="0EB8825A" w14:textId="77777777" w:rsidR="008D29FB" w:rsidRDefault="00000000">
      <w:r>
        <w:t>The Bank and its Group companies collect and manage specific information, which concerns their employees, shareholders, customers with whom they maintain any kind of business relationship, persons with whom they maintain a customer relationship, and third parties in the context of any relationship other than those mentioned above.</w:t>
      </w:r>
    </w:p>
    <w:p w14:paraId="576D61B4" w14:textId="77777777" w:rsidR="008D29FB" w:rsidRDefault="00000000">
      <w:r>
        <w:t>This information, which contains personal data, is managed in a lawful manner, regardless of the means of collection or storage, ensuring compliance with the current legislative and regulatory framework and the provisions for confidentiality.</w:t>
      </w:r>
    </w:p>
    <w:p w14:paraId="1A4A1A46" w14:textId="77777777" w:rsidR="008D29FB" w:rsidRDefault="00000000">
      <w:r>
        <w:t>The NBG Group's primary principles regarding tax compliance are to, handle tax issues in accordance with best international practices, guidelines including OECD Transfer Pricing Guidelines and EU legislation EU Directives.</w:t>
      </w:r>
    </w:p>
    <w:p w14:paraId="27DEA7C7" w14:textId="77777777" w:rsidR="008D29FB" w:rsidRDefault="00000000">
      <w:r>
        <w:t>Furthermore, in accordance with international best practices related to donations, sponsorships and other related actions and in compliance with the provisions of Article 6 of Greek Law 43742016 regarding transparency in the relationships between banks and media companies and sponsored persons, the Bank discloses information on all payments made within the relevant fiscal year, to media companies and sponsored persons.</w:t>
      </w:r>
    </w:p>
    <w:p w14:paraId="23D7478D" w14:textId="77777777" w:rsidR="008D29FB" w:rsidRDefault="00000000">
      <w:r>
        <w:t>Incorporated ESG risksdrivers in the Risk Management Framework and implemented enhancements per primary risk area, as follows, o Developed the methodological approach to identify C&amp;E risks and assess their materiality by, performing a distinct mapping of C&amp;E risk drivers and transmission channels, to existing risk types.</w:t>
      </w:r>
    </w:p>
    <w:p w14:paraId="14E09FED" w14:textId="77777777" w:rsidR="008D29FB" w:rsidRDefault="00000000">
      <w:r>
        <w:t>Taking into consideration the respective regulatory guidance, C&amp;E risks are defined as, C&amp;E RIMA Process NBG acknowledges the risk materiality assessment as an essential process towards informed decision-making and setting out the strategic priorities with regards to Sustainability, as integral part of the overall Group Strategy.</w:t>
      </w:r>
    </w:p>
    <w:p w14:paraId="08640751" w14:textId="77777777" w:rsidR="008D29FB" w:rsidRDefault="00000000">
      <w:r>
        <w:t>Transition Refers to the financial or reputational impact that can result, directly or indirectly, from the process of adjustment towards a lower-carbon and more environmentally sustainable economy.</w:t>
      </w:r>
    </w:p>
    <w:p w14:paraId="00795518" w14:textId="77777777" w:rsidR="008D29FB" w:rsidRDefault="00000000">
      <w:r>
        <w:t>Policy and legal, Policy actions relating to climate change aim either to constrain activities that contribute to the adverse effects of climate change or to promote the adaptation to climate change.</w:t>
      </w:r>
    </w:p>
    <w:p w14:paraId="49C222B4" w14:textId="77777777" w:rsidR="008D29FB" w:rsidRDefault="00000000">
      <w:r>
        <w:t>For example, the introduction of carbon-pricing mechanisms in order to reduce GHG emissions, the shift of energy use toward lower emission sources, the promotion of energy-efficiency solutions, water efficiency measures, and more sustainable land-use practices.</w:t>
      </w:r>
    </w:p>
    <w:p w14:paraId="37BA3AF2" w14:textId="77777777" w:rsidR="008D29FB" w:rsidRDefault="00000000">
      <w:r>
        <w:lastRenderedPageBreak/>
        <w:t>Litigation or legal risk in relation to transition refer to potential failure to mitigate impacts of climate change, or failure to adapt to climate change, and the insufficiency of disclosure around material financial risks.</w:t>
      </w:r>
    </w:p>
    <w:p w14:paraId="7E7415E6" w14:textId="77777777" w:rsidR="008D29FB" w:rsidRDefault="00000000">
      <w:r>
        <w:t>Technological developments, The ability to implement technological improvements or innovations that support the transition to a lower-carbon and energy-efficient economic system may have significant financial impact, to the extent that new technology displaces old systems and disrupts parts of the existing economic system.</w:t>
      </w:r>
    </w:p>
    <w:p w14:paraId="46791D67" w14:textId="77777777" w:rsidR="008D29FB" w:rsidRDefault="00000000">
      <w:r>
        <w:t>In addition to the above, the Bank monitors scientific developments and continuously assesses the relevance of additional risk drivers to its risk profile and strategy and might proceed to further enhancements in the above list when the maturity of candidate risk drivers reaches a certain level from a scientific perspective and reliable data become available.</w:t>
      </w:r>
    </w:p>
    <w:p w14:paraId="2F69D435" w14:textId="77777777" w:rsidR="008D29FB" w:rsidRDefault="00000000">
      <w:r>
        <w:t>In longer term, credit risk may be influenced by business realignment of borrowers to comply with evolving regulations orand reassessment of the Bank's portfolio to align with regulatory goals over an extended period.</w:t>
      </w:r>
    </w:p>
    <w:p w14:paraId="0C8A1DDB" w14:textId="69C0EE19" w:rsidR="008D29FB" w:rsidRDefault="00000000">
      <w:r>
        <w:t xml:space="preserve">In longer term, strategic risk may be influenced by strategic realignment in response to evolving regulations </w:t>
      </w:r>
      <w:r w:rsidR="00292016">
        <w:t>s</w:t>
      </w:r>
      <w:r>
        <w:t>hifting financing away from carbon-intensive industries towards sustainable projects andor reassessment of the portfolio to align with long-term regulatory goals.</w:t>
      </w:r>
    </w:p>
    <w:p w14:paraId="29A80C2A" w14:textId="77777777" w:rsidR="008D29FB" w:rsidRDefault="00000000">
      <w:r>
        <w:t>In longer term, market risk can be impacted from business realignment of industries in response to evolving regulations, affecting stock valuations and market dynamics orand by reassessment of industries in terms of regulatory goals, affecting long-term stock valuations.</w:t>
      </w:r>
    </w:p>
    <w:p w14:paraId="2EE7642D" w14:textId="77777777" w:rsidR="008D29FB" w:rsidRDefault="00000000">
      <w:r>
        <w:t>In longer term, credit risk may be influenced by borrowers commercial realignment andor the reassessment of the Bank's market position or evolving sustainable financing criteria Strategic Business Risk Strategic risks may arise if potential Bank's association with industries facing climate-related controversies compromise its competitive position and ability to increase its planned market shareprofitability targets.</w:t>
      </w:r>
    </w:p>
    <w:p w14:paraId="7DFADFAC" w14:textId="77777777" w:rsidR="008D29FB" w:rsidRDefault="00000000">
      <w:r>
        <w:t>In longer term, financial and reputational implications could be triggered due to the sustainability profile of borrowers affecting the Banks achievement of its medium-term financed emissions targets.</w:t>
      </w:r>
    </w:p>
    <w:p w14:paraId="1C63B4B6" w14:textId="77777777" w:rsidR="008D29FB" w:rsidRDefault="00000000">
      <w:r>
        <w:t>A potential failure to meet long-term climate targets can erode brand value, impacting the overall strategic standing in the market.</w:t>
      </w:r>
    </w:p>
    <w:p w14:paraId="38185AE5" w14:textId="77777777" w:rsidR="008D29FB" w:rsidRDefault="00000000">
      <w:r>
        <w:t>Also, sustainability of the Bank's long-term market position might include increased costs for a comprehensive branding strategy, while also potential failure to evaluate other actions timely, such as partnerships with green technology companies, could affect the Banks competitiveness.</w:t>
      </w:r>
    </w:p>
    <w:p w14:paraId="1963E68D" w14:textId="10D75A01" w:rsidR="008D29FB" w:rsidRDefault="00000000">
      <w:r>
        <w:lastRenderedPageBreak/>
        <w:t xml:space="preserve">The methodology and approach implemented is developed per risk type and involves, Credit risk &amp; </w:t>
      </w:r>
      <w:proofErr w:type="spellStart"/>
      <w:r>
        <w:t>StrategicBusiness</w:t>
      </w:r>
      <w:proofErr w:type="spellEnd"/>
      <w:r>
        <w:t xml:space="preserve"> risk, Climate Transition risk, The Corporate portfolio is assessed through concentration analysis of exposures in sectors classified as bearing elevated transition risk, considering sectors contribution to NBGs GHG emissions intensity and total Financed emissions.</w:t>
      </w:r>
    </w:p>
    <w:p w14:paraId="28905D28" w14:textId="77777777" w:rsidR="008D29FB" w:rsidRDefault="00000000">
      <w:r>
        <w:t>Pillar III Disclosures on a consolidated basis December 31, 2023 ESG RISKS 99 environmental risk management, Observations from the 2022 Thematic Review.</w:t>
      </w:r>
    </w:p>
    <w:p w14:paraId="45528845" w14:textId="77777777" w:rsidR="008D29FB" w:rsidRDefault="00000000">
      <w:r>
        <w:t>NBG has developed a methodological approach to estimate the vulnerability of real estate properties to all physical climate risks sea level rise, soil &amp; coastal erosion.</w:t>
      </w:r>
    </w:p>
    <w:p w14:paraId="3794D218" w14:textId="47F1DAB1" w:rsidR="008D29FB" w:rsidRDefault="00000000">
      <w:r>
        <w:t>Biodiversity loss risk and Environmental degradation, Environmental Impact analysis, NBG conducted the Environmental Impact analysis, exploring in detail the potential contribution of the financed economic activities to risk drivers of Nature loss, for 11 Environmental risk impact drivers individually GHG emissions, Water pollutants, Soil pollutants etc.</w:t>
      </w:r>
    </w:p>
    <w:p w14:paraId="634CA687" w14:textId="77777777" w:rsidR="008D29FB" w:rsidRDefault="00000000">
      <w:r>
        <w:t>In this context, the Corporate portfolio is assessed through concentration analysis of exposures to economic activity segments which have a potentially High or Very High contribution to at least one of the 11 examined Environmental risk impact drivers, as well as, through the core income reliance on the aforementioned economic activity segments.</w:t>
      </w:r>
    </w:p>
    <w:p w14:paraId="0E9D71A5" w14:textId="77777777" w:rsidR="008D29FB" w:rsidRDefault="00000000">
      <w:r>
        <w:t>Impact assessed includes damages to premises, equipment andor monetary content, cost of repairs or replacement, business disruption due to inaccessibility to premises andor due to electricity or telecommunication outages, lossinjury of employees andor customers and respective compensations, decrease in labor productivity, deterioration of working conditions, environmental restitution costs, fines and lawsuits due to breaches of environmental requirements, adverse publicity and reputational damage Operational risk perspective.</w:t>
      </w:r>
    </w:p>
    <w:p w14:paraId="491D904C" w14:textId="77777777" w:rsidR="008D29FB" w:rsidRDefault="00000000">
      <w:r>
        <w:t>Scenario analysis Forward looking perspective The Bank has incorporated a forward-looking perspective into its materiality assessment of Climate and Environmental risks, focusing on the Corporate and the Real Estate portfolios.</w:t>
      </w:r>
    </w:p>
    <w:p w14:paraId="0E3586C8" w14:textId="77777777" w:rsidR="008D29FB" w:rsidRDefault="00000000">
      <w:r>
        <w:t>Moderate disruptions to economics activities are assumed, and companies reduce most emissions by 2040.</w:t>
      </w:r>
    </w:p>
    <w:p w14:paraId="368071F6" w14:textId="5F6B62F6" w:rsidR="008D29FB" w:rsidRDefault="00000000">
      <w:r>
        <w:t xml:space="preserve">Disorderly scenario, </w:t>
      </w:r>
      <w:proofErr w:type="gramStart"/>
      <w:r>
        <w:t>The</w:t>
      </w:r>
      <w:proofErr w:type="gramEnd"/>
      <w:r>
        <w:t xml:space="preserve"> implementation of climate policies to prevent temperature increase is late not introduced until 2030, leading to economic disruption affecting business.</w:t>
      </w:r>
    </w:p>
    <w:p w14:paraId="78A0B2E5" w14:textId="77777777" w:rsidR="008D29FB" w:rsidRDefault="00000000">
      <w:r>
        <w:t>Following a bottom up approach, the impact of climate risk drivers is converted into stress on the core credit risk metrics of NBGs counterparties, such as PDs and LGDs, using also sector-level impact information from a climate data-vendor.</w:t>
      </w:r>
    </w:p>
    <w:p w14:paraId="47FBF4CD" w14:textId="77777777" w:rsidR="008D29FB" w:rsidRDefault="00000000">
      <w:r>
        <w:t xml:space="preserve">The RIMA outcome and conclusions inform responsible stakeholders and are utilized in decision-making and key processes of NBG, both strategic and operational, in a way that C&amp;E risk awareness is promoted, management actions are prioritized and set in place to </w:t>
      </w:r>
      <w:r>
        <w:lastRenderedPageBreak/>
        <w:t>efficiently manage the material C&amp;E risks identified, towards minimizing the residual C&amp;E risk impacts on NBGs Business Model and operations.</w:t>
      </w:r>
    </w:p>
    <w:p w14:paraId="27EB2ED2" w14:textId="77777777" w:rsidR="008D29FB" w:rsidRDefault="00000000">
      <w:r>
        <w:t>Actions address both the downside risks aiming to minimize the impact of significant risk sources and the opportunities aiming to promote Sustainability objectives, hence maximize positive impacts which offset the adverse effects of C&amp;E risks.</w:t>
      </w:r>
    </w:p>
    <w:p w14:paraId="046FF9AC" w14:textId="77777777" w:rsidR="008D29FB" w:rsidRDefault="00000000">
      <w:r>
        <w:t>On these grounds, the effective management of C&amp;E risks in NBG involves, Strategy definition elements, formulation and constant updating of clearly defined strategic goals and priorities relating to Climate and Environmental objectives, as an integral part of the overall Strategy and internal target setting.</w:t>
      </w:r>
    </w:p>
    <w:p w14:paraId="56C9E49E" w14:textId="77777777" w:rsidR="008D29FB" w:rsidRDefault="00000000">
      <w:r>
        <w:t>This involves, o Setting strategic goals in relation to NBGs C&amp;E profile, focusing by priority to the carbon footprint ambition own and financed GHG emissions.</w:t>
      </w:r>
    </w:p>
    <w:p w14:paraId="1A5476E3" w14:textId="77777777" w:rsidR="008D29FB" w:rsidRDefault="00000000">
      <w:r>
        <w:t>Transparency and disclosure initiatives, Announcement of Net Zero Targets for 2030 and adherence to relevant disclosure requirements.</w:t>
      </w:r>
    </w:p>
    <w:p w14:paraId="3561B51D" w14:textId="77777777" w:rsidR="008D29FB" w:rsidRDefault="00000000">
      <w:r>
        <w:t>Specifically, the Bank has included into its RAF 5 Key Risk indicators, taking explicitly into consideration the following, NBG joined the Net-Zero Banking Alliance and announced Net Zero Targets for 2030.</w:t>
      </w:r>
    </w:p>
    <w:p w14:paraId="006DDA6D" w14:textId="77777777" w:rsidR="008D29FB" w:rsidRDefault="00000000">
      <w:r>
        <w:t>Dedicated RAF metrics were introduced to consider for the execution risk of meeting the commitments, with a forward-looking view.</w:t>
      </w:r>
    </w:p>
    <w:p w14:paraId="1161469E" w14:textId="77777777" w:rsidR="008D29FB" w:rsidRDefault="00000000">
      <w:r>
        <w:t>The Bank is planning to enhance its RAF as methodological approaches mature, quantificationanalytical capabilities develop, and additional climate and environmental data becomes available.</w:t>
      </w:r>
    </w:p>
    <w:p w14:paraId="5BDEC5A8" w14:textId="77777777" w:rsidR="008D29FB" w:rsidRDefault="00000000">
      <w:r>
        <w:t>Risk appetite limit Oil &amp; Gas sector financed emissions NBG has announced targets for 2030 for reduction of financed emissions to Oil &amp; Gas sector absolute FEs.</w:t>
      </w:r>
    </w:p>
    <w:p w14:paraId="0C51B475" w14:textId="77777777" w:rsidR="008D29FB" w:rsidRDefault="00000000">
      <w:r>
        <w:t>Risk appetite limit Power Generation sector financed emissions intensity NBG has announced targets for 2030 for reduction of financed emissions intensity for the Power Generation sector.</w:t>
      </w:r>
    </w:p>
    <w:p w14:paraId="3584B662" w14:textId="77777777" w:rsidR="008D29FB" w:rsidRDefault="00000000">
      <w:r>
        <w:t>Risk appetite limit EPC allocation of new mortgage portfolio disbursements NBG has announced targets for 2030 for reduction of financed emissions intensity for the RRE portfolio.</w:t>
      </w:r>
    </w:p>
    <w:p w14:paraId="3F55AB30" w14:textId="77777777" w:rsidR="008D29FB" w:rsidRDefault="00000000">
      <w:r>
        <w:t>In line with market best practices, the Bank has followed a comprehensive approach for the development of the ESG Obligor assessment questionnaires, including the identification of the ESG sensitive perimeter, the identification of material ESG factors per sector, the identification of key assessment dimensions and performance measurement for the E, S &amp; G components assessment.</w:t>
      </w:r>
    </w:p>
    <w:p w14:paraId="54952541" w14:textId="77777777" w:rsidR="008D29FB" w:rsidRDefault="00000000">
      <w:r>
        <w:lastRenderedPageBreak/>
        <w:t>The ESG Obligor assessment process results in a score for each component Environmental, Social and Governance, as well as for the overall ESG assessment of the obligor.</w:t>
      </w:r>
    </w:p>
    <w:p w14:paraId="78C32020" w14:textId="77777777" w:rsidR="008D29FB" w:rsidRDefault="00000000">
      <w:r>
        <w:t>These policy actions relate to credit risk classification, loan pricing, frequency of ESG obligor assessment and submission of Obligors action plans, in order to mitigate the climate and ESG related risks.</w:t>
      </w:r>
    </w:p>
    <w:p w14:paraId="70B472F1" w14:textId="77777777" w:rsidR="008D29FB" w:rsidRDefault="00000000">
      <w:r>
        <w:t>Ιn that regard, the Bank is currently implementing a centralized ESG Reporting architecture aiming at ramping up NBGs ESG reporting capabilities and data collection and governance process.</w:t>
      </w:r>
    </w:p>
    <w:p w14:paraId="55AA8967" w14:textId="77777777" w:rsidR="008D29FB" w:rsidRDefault="00000000">
      <w:r>
        <w:t>Important actions currently underway refer to the following areas, EU Taxonomy implementation &amp; Sustainable Financing Framework Nature and Environmental risks Scenario Analysis and Stress Testing capabilities Expansion of regular monitoring and reporting tools.</w:t>
      </w:r>
    </w:p>
    <w:p w14:paraId="0A660605" w14:textId="2FBE5B7E" w:rsidR="008D29FB" w:rsidRDefault="00000000">
      <w:r>
        <w:t xml:space="preserve">Banking book- Climate Change transition risk, Credit quality of exposures by sector, emissions and residual maturity Summary, comments on content perimeter </w:t>
      </w:r>
      <w:proofErr w:type="gramStart"/>
      <w:r>
        <w:t>The</w:t>
      </w:r>
      <w:proofErr w:type="gramEnd"/>
      <w:r>
        <w:t xml:space="preserve"> template includes Group exposures towards non-financial corporates, including loans and advances, debt securities and equity instruments, classified in the accounting portfolios in the banking book, by sector of economic activities using NACE codes based on the principal activity of the counterparty.</w:t>
      </w:r>
    </w:p>
    <w:p w14:paraId="070199E1" w14:textId="77777777" w:rsidR="008D29FB" w:rsidRDefault="00000000">
      <w:r>
        <w:t>Furthermore, the Bank is disclosing additional information concerning RES Renewale Energy Sources exposures that are included in the Template perimeter giving a forward looking to its volumes breakdown to sectors that highly contribute to climate change in alignment with its ESG Strategy.</w:t>
      </w:r>
    </w:p>
    <w:p w14:paraId="6378F8B8" w14:textId="77777777" w:rsidR="008D29FB" w:rsidRDefault="00000000">
      <w:r>
        <w:t>Greater systemic availability of internal data on attributes features of own collaterals, as well as greater variety of available collateral attributes could significantly ameliorate model performance iii the energy efficiency estimation did not derive from model development but rather was based on publicly available information from the Ministry of Environment and Energy.</w:t>
      </w:r>
    </w:p>
    <w:p w14:paraId="32EA9C96" w14:textId="77777777" w:rsidR="008D29FB" w:rsidRDefault="00000000">
      <w:r>
        <w:t>Following the development of the model a set of postmodel business rules were applied to the model outcome related to the construction year and predicted EPC class.</w:t>
      </w:r>
    </w:p>
    <w:p w14:paraId="6D85F5FD" w14:textId="77777777" w:rsidR="008D29FB" w:rsidRDefault="00000000">
      <w:r>
        <w:t>All exposures are included in the first column Gross carrying amount whereas exposures sensitive to impact from climate change physical events are shown in following columns according to relevant breakdowns presented considering their remaining maturities, climate risk sensitivity and credit quality.</w:t>
      </w:r>
    </w:p>
    <w:p w14:paraId="473AE066" w14:textId="77777777" w:rsidR="008D29FB" w:rsidRDefault="00000000">
      <w:r>
        <w:t xml:space="preserve">The vulnerability assessment aims to identify potential significant hazards and related risk and forms the basis for the decision to continue the risk assessment, while it is aligned with the Invest EU methodology Technical guidance on the climate proofing of infrastructure in </w:t>
      </w:r>
      <w:r>
        <w:lastRenderedPageBreak/>
        <w:t>the period 2021-2027 and with the ECB, Good practices for climate related and environmental risk management, Observations from the 2022 thematic review.</w:t>
      </w:r>
    </w:p>
    <w:p w14:paraId="24F96948" w14:textId="10ED9ED4" w:rsidR="008D29FB" w:rsidRDefault="00000000">
      <w:r>
        <w:t xml:space="preserve">In parallel, the Bank has developed a methodological approach to estimate the vulnerability of real estate properties linked to mortgagescollaterals to all physical climate risks and to selected risks which are more relevant to buildings type of asset </w:t>
      </w:r>
      <w:r w:rsidR="009A48D5">
        <w:t>s</w:t>
      </w:r>
      <w:r>
        <w:t>ea level rise, soil &amp; coastal erosion.</w:t>
      </w:r>
    </w:p>
    <w:p w14:paraId="0F48AE2D" w14:textId="77777777" w:rsidR="008D29FB" w:rsidRDefault="00000000">
      <w:r>
        <w:t>Analysis has been carried out at a regional level, in order to capture at a higher resolution, the impact of climate change.</w:t>
      </w:r>
    </w:p>
    <w:p w14:paraId="724E9E9B" w14:textId="77777777" w:rsidR="008D29FB" w:rsidRDefault="00000000">
      <w:r>
        <w:t>From those three classifications, exposures to geographical areas with High climate vulnerability, are included in the set of exposures sensitive to impact from climate change physical events under the respective categories of chronic, acute, chronic and acute.</w:t>
      </w:r>
    </w:p>
    <w:p w14:paraId="4D278B3B" w14:textId="77777777" w:rsidR="008D29FB" w:rsidRDefault="00000000">
      <w:r>
        <w:t>Finally, the European Commission published, on 21st of December, an additional notice regarding the legal interpretation and implementation of the provisions covering the technical screening criteria for Taxonomy-aligned economic activities set out in the Climate Delegated Act.</w:t>
      </w:r>
    </w:p>
    <w:p w14:paraId="01153812" w14:textId="77777777" w:rsidR="008D29FB" w:rsidRDefault="00000000">
      <w:r>
        <w:t>The eligibility ratio for the rest four environmental objectives, as per the Delegated Acts Delegated Regulation 20232485 and Delegated Regulation 20232486 released by the European Commission in July of 2023, was not calculated due to data availability constraints.</w:t>
      </w:r>
    </w:p>
    <w:p w14:paraId="2614B1A7" w14:textId="77777777" w:rsidR="008D29FB" w:rsidRDefault="00000000">
      <w:r>
        <w:t>Collection of relevant and adequate documentation as evidence for evaluating the alignment of specialized lending, and, more specifically, for conducting due diligence on the Technical Screening Criteria TSC for Significant Contribution and DNSH, as well as for checking compliance with minimum social safeguards, is also proving a significant challenge.</w:t>
      </w:r>
    </w:p>
    <w:p w14:paraId="02F02678" w14:textId="77777777" w:rsidR="008D29FB" w:rsidRDefault="00000000">
      <w:r>
        <w:t>Based on the review of the underlying Frameworks established by the issuers as well as the associated Impact Reports where available, the proceeds of these instruments are directed towards activities that aim to promote a sustainable, low-carbon economy.</w:t>
      </w:r>
    </w:p>
    <w:p w14:paraId="52007D8E" w14:textId="77777777" w:rsidR="008D29FB" w:rsidRDefault="00000000">
      <w:r>
        <w:t>Regarding the Green Bonds, our evaluation entailed a thorough analysis of the use of proceeds as outlined in the respective frameworks, as well as an examination of the corresponding Impact Reports.</w:t>
      </w:r>
    </w:p>
    <w:p w14:paraId="77DD9C5F" w14:textId="77777777" w:rsidR="008D29FB" w:rsidRDefault="00000000">
      <w:r>
        <w:t>Based on this analysis, we have concluded that the financing derived from these bonds is being directed towards activities aimed at mitigating the effects of climate change.</w:t>
      </w:r>
    </w:p>
    <w:p w14:paraId="0BC4D144" w14:textId="77777777" w:rsidR="008D29FB" w:rsidRDefault="00000000">
      <w:r>
        <w:t>As for the Sustainability-linked bonds, our assessment has centered on the issuers' stated targets and concluded that these targets are related to clients' decarbonization paths.</w:t>
      </w:r>
    </w:p>
    <w:p w14:paraId="189CCEA2" w14:textId="77777777" w:rsidR="008D29FB" w:rsidRDefault="00000000">
      <w:r>
        <w:t xml:space="preserve">As an originator and for the purposes of CRR Article 409, in compliance with that outlined in Article 405, the Bank maintains a commitment to consistently retain in a securitization of </w:t>
      </w:r>
      <w:r>
        <w:lastRenderedPageBreak/>
        <w:t>which it is an originator, a significant net economic interest of at least 5%, which it has done by retaining at least 5% of the bonds or at least 5% of the portfolio of similar assets.</w:t>
      </w:r>
    </w:p>
    <w:p w14:paraId="52AFE7C7" w14:textId="77777777" w:rsidR="008D29FB" w:rsidRDefault="00000000">
      <w:r>
        <w:t>The sensitivity of the Groups EVE and NII measures as of 31 December 2023, under the standard regulatory stress scenarios introduced by EBAs latest IRRBB Management Guidelines EBAGL202214 20 October 2022 are presented in the following table.</w:t>
      </w:r>
    </w:p>
    <w:p w14:paraId="415BAFB5" w14:textId="77777777" w:rsidR="008D29FB" w:rsidRDefault="00000000">
      <w:r>
        <w:t>Since liquidity risk management seeks to ensure that the respective risk of the Group is measured properly and is maintained within acceptable levels then, even under adverse conditions, the Group must have access to funds necessary to cover customer needs, maturing liabilities and other capital needs, while simultaneously maintaining the appropriate liquidity buffer to ensure the above.</w:t>
      </w:r>
    </w:p>
    <w:p w14:paraId="75709A9A" w14:textId="77777777" w:rsidR="008D29FB" w:rsidRDefault="00000000">
      <w:r>
        <w:t>Policies for hedging and mitigating the liquidity risk and strategies and processes for monitoring the continuing effectiveness of hedges and mitigants In the Liquidity Risk Management Policy, it is analyzed how the Bank manages all Liquidity Risk types.</w:t>
      </w:r>
    </w:p>
    <w:p w14:paraId="7BE7FCB4" w14:textId="77777777" w:rsidR="008D29FB" w:rsidRDefault="00000000">
      <w:r>
        <w:t>Outline of the banks contingency funding plans The Contingency Funding Plan CFP is a dedicated document of the Bank, which describes the governance and the specific corrective actions and measures that could be taken in case of a liquidity emergency and which is periodically updated, if required, in order to ensure its effectiveness.</w:t>
      </w:r>
    </w:p>
    <w:p w14:paraId="0DD681DA" w14:textId="77777777" w:rsidR="008D29FB" w:rsidRDefault="00000000">
      <w:r>
        <w:t>The framework contains policies, metrics, and comprehensive processes that are frequently updated and further enhanced to capture market and bank-specific developments.</w:t>
      </w:r>
    </w:p>
    <w:p w14:paraId="7940306E" w14:textId="77777777" w:rsidR="008D29FB" w:rsidRDefault="00000000">
      <w:r>
        <w:t>Institutions overall liquidity risk profile associated with the business strategy The Bank's current liquidity state is at its strongest levels historically, as it is outlined by the Basel III regulatory liquidity metrics, which are significantly higher than their respective regulatory minimums.</w:t>
      </w:r>
    </w:p>
    <w:p w14:paraId="2E8EDA8E" w14:textId="77777777" w:rsidR="008D29FB" w:rsidRDefault="00000000">
      <w:r>
        <w:t>NBG targets to always preserve the LCR well above minimum regulatory level and also maintain an adequate liquidity buffer going forward.</w:t>
      </w:r>
    </w:p>
    <w:p w14:paraId="39635752" w14:textId="77777777" w:rsidR="008D29FB" w:rsidRDefault="00000000">
      <w:r>
        <w:t>Except for the RAF limits on the regulatory metrics of Liquidity Coverage Ratio and Net Stable Funding Ratio , the Bank also measures and manages an internal liquidity risk metric, the Liquidity Buffer HQLAs, which stands at the highest historical level of €21.</w:t>
      </w:r>
    </w:p>
    <w:p w14:paraId="3319C78C" w14:textId="77777777" w:rsidR="008D29FB" w:rsidRDefault="00000000">
      <w:r>
        <w:t>The governance arrangements and decision making process regarding the remuneration policy are presented in the following paragraphs.</w:t>
      </w:r>
    </w:p>
    <w:p w14:paraId="7F0908C4" w14:textId="77777777" w:rsidR="008D29FB" w:rsidRDefault="00000000">
      <w:r>
        <w:t>The proportionality principle The Bank applies the provisions of the current regulatory remuneration framework in a way and to the extent that is appropriate to its size, internal organization, nature, scope and complexity of its activities.</w:t>
      </w:r>
    </w:p>
    <w:p w14:paraId="18A24F47" w14:textId="77777777" w:rsidR="008D29FB" w:rsidRDefault="00000000">
      <w:r>
        <w:t>In particular, the Bank aims to match the Remuneration Policy and practices with the individual risk profile, risk appetite and strategy of the Bank and its Group.</w:t>
      </w:r>
    </w:p>
    <w:p w14:paraId="25C804E0" w14:textId="77777777" w:rsidR="008D29FB" w:rsidRDefault="00000000">
      <w:r>
        <w:lastRenderedPageBreak/>
        <w:t>In particular, the Committee ensures the adoption on behalf of the Bank of a clear, well documented and transparent remuneration policy, which shall be consistent with the Banks values, culture, business strategy, ESG strategy, risk profile andrisk appetite, shall not encourage excessive and short-term risk-taking, shall promote sustainability and ethical behavior and shall be gender neutral and support equal treatment.</w:t>
      </w:r>
    </w:p>
    <w:p w14:paraId="056FD40E" w14:textId="77777777" w:rsidR="008D29FB" w:rsidRDefault="00000000">
      <w:r>
        <w:t>Where periodic reviews reveal that the remuneration policies do not operate as intended or prescribed or where recommendations are made, the HRRC shall ensure that a remedial action plan is proposed, approved and timeously implemented.</w:t>
      </w:r>
    </w:p>
    <w:p w14:paraId="2E26C5EC" w14:textId="77777777" w:rsidR="008D29FB" w:rsidRDefault="00000000">
      <w:r>
        <w:t>To this end, the Committee shall receive information on Internal Audit findings that may be relevant to the appropriate implementation of the Remuneration Policy which the Bank applies.</w:t>
      </w:r>
    </w:p>
    <w:p w14:paraId="7AA9E175" w14:textId="60F0C297" w:rsidR="008D29FB" w:rsidRDefault="00000000">
      <w:r>
        <w:t xml:space="preserve">The Committee shall cooperate with other Committees of the Board, whenever required, and shall ensure the proper involvement of the internal control and other relevant functions </w:t>
      </w:r>
      <w:r w:rsidR="005D6AD5">
        <w:t>r</w:t>
      </w:r>
      <w:r>
        <w:t xml:space="preserve">isk, </w:t>
      </w:r>
      <w:r w:rsidR="005D6AD5">
        <w:t>c</w:t>
      </w:r>
      <w:r>
        <w:t>ompliance, Audit, Human resources, Finance within the respective areas of expertise and where necessary seek external advice.</w:t>
      </w:r>
    </w:p>
    <w:p w14:paraId="623B519E" w14:textId="77777777" w:rsidR="008D29FB" w:rsidRDefault="00000000">
      <w:r>
        <w:t>The Committee composition shall include members possessing experience in the financial sector, while at least one member shall possess adequate expertise and professional experience in risk management and audit activities, mainly in alignment of remuneration policy with the risk and capital profile of the Bank.</w:t>
      </w:r>
    </w:p>
    <w:p w14:paraId="18B70DDE" w14:textId="77777777" w:rsidR="008D29FB" w:rsidRDefault="00000000">
      <w:r>
        <w:t>Review of NBG Group Remuneration Policy and of NBG Directors and Senior Managers Remuneration Policy according to Greek Law 45482018.</w:t>
      </w:r>
    </w:p>
    <w:p w14:paraId="419BAD9A" w14:textId="77777777" w:rsidR="008D29FB" w:rsidRDefault="00000000">
      <w:r>
        <w:t>Review of variable remuneration cycle Head Office Schemes payout for the assessment period 2022, retention based Long Term Incentive scheme for Senior Management, as well as performance based LTI scheme for Directors, Stock awards program, regulation and list of beneficiaries.</w:t>
      </w:r>
    </w:p>
    <w:p w14:paraId="0C5FD061" w14:textId="77777777" w:rsidR="008D29FB" w:rsidRDefault="00000000">
      <w:r>
        <w:t>Update on Learning Initiatives, review of training programs and initiatives for personnel upskillingreskilling Detailed members falls within the competence of the Corporate Governance and Nominations Committee.</w:t>
      </w:r>
    </w:p>
    <w:p w14:paraId="52C9CE23" w14:textId="77777777" w:rsidR="008D29FB" w:rsidRDefault="00000000">
      <w:r>
        <w:t>NBG is committed to ensuring fair treatment in terms of remuneration regardless of gender identity, age, race, ethnicity, sexual orientation, ability, social background, religious or ethical values system and political beliefs, union action or participation in workers councilsorganizations, or any other category protected by law.</w:t>
      </w:r>
    </w:p>
    <w:p w14:paraId="22F5F7B2" w14:textId="77777777" w:rsidR="008D29FB" w:rsidRDefault="00000000">
      <w:r>
        <w:t>Furthermore, in line with regulatory provisions, the Remuneration Policy is designed with particular attention to avoiding incentive elements especially in variable compensation inducing behaviors not aligned with the Banks aim for sustainable business results or inconsistent with its risk appetite.</w:t>
      </w:r>
    </w:p>
    <w:p w14:paraId="512C3F7B" w14:textId="77777777" w:rsidR="008D29FB" w:rsidRDefault="00000000">
      <w:r>
        <w:lastRenderedPageBreak/>
        <w:t>In particular, the Remuneration Policy is based on the following principles, maximizing value by supporting the Groups strategy.</w:t>
      </w:r>
    </w:p>
    <w:p w14:paraId="298C2707" w14:textId="77777777" w:rsidR="008D29FB" w:rsidRDefault="00000000">
      <w:r>
        <w:t>Moreover, the Remuneration Policy reaffirms the Groups corporate culture and values, aims at promoting ethical conduct and behaviors, meritocracy, transparency and, within given constraints, follows market trends and dynamics.</w:t>
      </w:r>
    </w:p>
    <w:p w14:paraId="00C20D1E" w14:textId="77777777" w:rsidR="008D29FB" w:rsidRDefault="00000000">
      <w:r>
        <w:t>Group companies adopt similar Remuneration Policies, in line with the principles set out in the Group Remuneration Policy, adjusted appropriately and in a proportionate manner to their size and internal organization, as well as to the nature, scope and complexity of their activities, market conditions and regulatory environment including sector and corporate CLAs of the country or countries they operate.</w:t>
      </w:r>
    </w:p>
    <w:p w14:paraId="2F7DD5A5" w14:textId="77777777" w:rsidR="008D29FB" w:rsidRDefault="00000000">
      <w:r>
        <w:t>The Bank further monitors developments in the applicable framework.</w:t>
      </w:r>
    </w:p>
    <w:p w14:paraId="0979F90E" w14:textId="77777777" w:rsidR="008D29FB" w:rsidRDefault="00000000">
      <w:r>
        <w:t>Pillar III Disclosures on a consolidated basis December 31, 2023 REMUNERATION POLICIES &amp; PRACTICES 145 Remuneration Policy Governance The Policy is regularly reviewed and at least at every material change.</w:t>
      </w:r>
    </w:p>
    <w:p w14:paraId="27545276" w14:textId="77777777" w:rsidR="008D29FB" w:rsidRDefault="00000000">
      <w:r>
        <w:t>Policy revisions are approved by the Banks Board of Directors non-executive members, following a proposal by the HRRC.</w:t>
      </w:r>
    </w:p>
    <w:p w14:paraId="68EC35D2" w14:textId="77777777" w:rsidR="008D29FB" w:rsidRDefault="00000000">
      <w:r>
        <w:t>Group HR is responsible for submitting proposals on Remuneration Policy Revisions to the HRRC.</w:t>
      </w:r>
    </w:p>
    <w:p w14:paraId="48D99D48" w14:textId="77777777" w:rsidR="008D29FB" w:rsidRDefault="00000000">
      <w:r>
        <w:t>Main characteristics of the remuneration system of the Bank according to the Banks Remuneration Policy The remuneration practices of the Bank are in compliance with the provisions of the existing regulatory framework concerning all staff, as well as with regulatory provisions regarding identified staff specific categories of staff determined in accordance with Regulation No.</w:t>
      </w:r>
    </w:p>
    <w:p w14:paraId="5F73A92C" w14:textId="77777777" w:rsidR="008D29FB" w:rsidRDefault="00000000">
      <w:r>
        <w:t>The maximum ratio of fixed to variable remuneration shall be determined in compliance with the provisions of the Regulatory framework, internal risk appetite as well as the competitive environment and international best practices.</w:t>
      </w:r>
    </w:p>
    <w:p w14:paraId="732DEAE7" w14:textId="77777777" w:rsidR="008D29FB" w:rsidRDefault="00000000">
      <w:r>
        <w:t>Beneficiaries received variable remuneration in the form of common registered shares with voting rights Common Equity Tier 1 instruments, hence aligning individual incentives with the Banks long-term interests including a well-balanced risk-taking profile in compliance with the legislative and regulatory framework.</w:t>
      </w:r>
    </w:p>
    <w:p w14:paraId="43998BAA" w14:textId="77777777" w:rsidR="008D29FB" w:rsidRDefault="00000000">
      <w:r>
        <w:t>In view of driving long-term, sustainable value creation, NBGs variable remuneration is designed to incentivize and reward achievements by tying pay directly to performance outcomes over short, medium, and long-term time horizons.</w:t>
      </w:r>
    </w:p>
    <w:p w14:paraId="748FDA3D" w14:textId="77777777" w:rsidR="008D29FB" w:rsidRDefault="00000000">
      <w:r>
        <w:t>To foster alignment between the interests of shareholders, management, and employees, performance measures are based on the Companys overall outcomes, relevant business unit performance, as well as individual achievements.</w:t>
      </w:r>
    </w:p>
    <w:p w14:paraId="4DB43C10" w14:textId="77777777" w:rsidR="008D29FB" w:rsidRDefault="00000000">
      <w:r>
        <w:lastRenderedPageBreak/>
        <w:t>Νοtably, short-term variable remuneration is paid out in cash and in a single installment, unless otherwise determined by the applicable Legal and Regulatory framework, as each time in force.</w:t>
      </w:r>
    </w:p>
    <w:p w14:paraId="16710CDA" w14:textId="77777777" w:rsidR="008D29FB" w:rsidRDefault="00000000">
      <w:r>
        <w:t>Group HR is responsible to design variable remuneration systems, in collaboration with competent functions and in accordance with the relevant InternalLegal framework as this each time applies.</w:t>
      </w:r>
    </w:p>
    <w:p w14:paraId="0A06D546" w14:textId="77777777" w:rsidR="008D29FB" w:rsidRDefault="00000000">
      <w:r>
        <w:t>Their identification, in line with the qualitative and quantitative criteria as per the provisions of the at each time applicable Legal and Regulatory framework, is conducted by the Group Corporate Governance and Compliance function, in cooperation with the competent units.</w:t>
      </w:r>
    </w:p>
    <w:p w14:paraId="43309C3F" w14:textId="77777777" w:rsidR="008D29FB" w:rsidRDefault="00000000">
      <w:r>
        <w:t>In line with the Regulatory framework as well as with prudent risk management practices, Risk Takers are not provided with variable remuneration promoting excessive risktaking practices transaction-specific risks, nor are they rewarded for taking cumulatively risks which exceed the risk Pillar III Disclosures on a consolidated basis December 31, 2023 REMUNERATION POLICIES &amp; PRACTICES 146 tolerance threshold of the organisation Risk Appetite framework limits.</w:t>
      </w:r>
    </w:p>
    <w:p w14:paraId="3AE6F11B" w14:textId="77777777" w:rsidR="008D29FB" w:rsidRDefault="00000000">
      <w:r>
        <w:t>NBG Group defines and manages conduct risk explicitly as part of its risk management framework.</w:t>
      </w:r>
    </w:p>
    <w:p w14:paraId="48BC78F1" w14:textId="77777777" w:rsidR="008D29FB" w:rsidRDefault="00000000">
      <w:r>
        <w:t>There are robust processes in place to ensure that risk, reputation and conduct related matters, as well as financial losses and impairments, and other breaches of the risk management framework are specifically considered when assessing performance and determining variable remuneration rewards.</w:t>
      </w:r>
    </w:p>
    <w:p w14:paraId="0178911E" w14:textId="77777777" w:rsidR="008D29FB" w:rsidRDefault="00000000">
      <w:r>
        <w:t>Variable remuneration is granted through processes which promote accountability, reward appropriate behaviors and penalize inappropriate ones.</w:t>
      </w:r>
    </w:p>
    <w:p w14:paraId="0963DE07" w14:textId="77777777" w:rsidR="008D29FB" w:rsidRDefault="00000000">
      <w:r>
        <w:t>In this context, the Committee sets the criteria and the relative framework by which conduct risk assessment is applied in terms of variable remuneration payment, as well as reviews, endorses and monitors conduct risk findings and takes appropriate proactive measures as necessary.</w:t>
      </w:r>
    </w:p>
    <w:p w14:paraId="574979E0" w14:textId="77777777" w:rsidR="008D29FB" w:rsidRDefault="00000000">
      <w:r>
        <w:t>Adjustment deferral retention claw back of variable remuneration The Banks Remuneration Policy foresees particular provisions including on deferral of at least 40% of variable remuneration for at least 4 to 5 years, or in the case of a variable remuneration component of a particularly high amount, of at least 60% of the amount, as well as on retention of instruments forming part of variable remuneration, with a view to aligning incentives with the Banks longer-term interests and taking into consideration performance and performance-linked current and future risks over time.</w:t>
      </w:r>
    </w:p>
    <w:p w14:paraId="38D568B8" w14:textId="77777777" w:rsidR="008D29FB" w:rsidRDefault="00000000">
      <w:r>
        <w:t xml:space="preserve">Respectively and, without prejudice to the provisions of labor Law, any variable remuneration paid should be reclaimed if, following such payment, it is discovered that the </w:t>
      </w:r>
      <w:r>
        <w:lastRenderedPageBreak/>
        <w:t>performance for which the variable remuneration was offered derived from practices that are inconsistent with the principles and policies of the Bank Group.</w:t>
      </w:r>
    </w:p>
    <w:p w14:paraId="6E1F3102" w14:textId="77777777" w:rsidR="008D29FB" w:rsidRDefault="00000000">
      <w:r>
        <w:t>In the event that financial and capital performance is significantly deteriorating, total variable remuneration including payments of remuneration vesting from previous periods will be postponed, reduced or altogether cancelled.</w:t>
      </w:r>
    </w:p>
    <w:p w14:paraId="3DA81595" w14:textId="77777777" w:rsidR="008D29FB" w:rsidRDefault="00000000">
      <w:r>
        <w:t>Specifically, the Bankentity andor Group reserves the right to postpone, reduce or cancel previously vested or vesting payments, upon recommendation of the respective local Bankentity or Group Finance or Risk functions to the HRRC and following the approval of the Board of Directors.</w:t>
      </w:r>
    </w:p>
    <w:p w14:paraId="7450D8B5" w14:textId="77777777" w:rsidR="008D29FB" w:rsidRDefault="00000000">
      <w:r>
        <w:t>Remuneration of senior management In accordance with Directive 2017828, as this has been partly transposed into the Greek legal framework with Greek Law 45482018 on Sociétés Anonymes, listed companies are required, among others, to establish a remuneration policy as regards directors and shareholders have the right to vote on the remuneration policy at the General Meeting.</w:t>
      </w:r>
    </w:p>
    <w:p w14:paraId="5C9680F4" w14:textId="77777777" w:rsidR="008D29FB" w:rsidRDefault="00000000">
      <w:r>
        <w:t>The NBG Board of Directors &amp; Senior Managers Remuneration Policy shall be applicable for a period of four years, unless revised earlier or in cases of temporary derogations, in alignment with the relevant applicable provisions.</w:t>
      </w:r>
    </w:p>
    <w:p w14:paraId="14DDEB62" w14:textId="77777777" w:rsidR="008D29FB" w:rsidRDefault="00000000">
      <w:r>
        <w:t>The revised NBG Directors and Senior Managers Remuneration Policy was approved by the Annual General Meeting of Shareholders of 28 July 2023 by 86.</w:t>
      </w:r>
    </w:p>
    <w:p w14:paraId="209BC0CE" w14:textId="77777777" w:rsidR="008D29FB" w:rsidRDefault="00000000">
      <w:r>
        <w:t>The NBG Board of Directors &amp; Senior Managers Remuneration Policy is available on the Banks website, at governancecorporate-governance-framework .</w:t>
      </w:r>
    </w:p>
    <w:p w14:paraId="12406D24" w14:textId="77777777" w:rsidR="008D29FB" w:rsidRDefault="00000000">
      <w:r>
        <w:t>Potential restrictions that may apply as per the applicable legal and regulatory framework shall be followed, in accordance with the specific provisions the framework prescribes and the conditions applying at the Bank per case, as further detailed within the Policy.</w:t>
      </w:r>
    </w:p>
    <w:p w14:paraId="4CA7AA6F" w14:textId="77777777" w:rsidR="008D29FB" w:rsidRDefault="00000000">
      <w:r>
        <w:t>Further, for the period of participation of the Bank in the capital increase program of Article 7 of Law 38642010, variable remuneration may only take the form of shares or stock options or other means within the meaning of articles 52 or 63 of the Regulation 5752013, according to article 86 of Law 42612014.</w:t>
      </w:r>
    </w:p>
    <w:p w14:paraId="5742528B" w14:textId="77777777" w:rsidR="008D29FB" w:rsidRDefault="00000000">
      <w:r>
        <w:t>Within this context, the Board of Directors, following proposal of the Corporate Governance and Nominations Committee, submitted the NBG Directors Remuneration Policy to the Annual General Meeting of Shareholders , which approved it on 31 July 2019.</w:t>
      </w:r>
    </w:p>
    <w:p w14:paraId="26657FC1" w14:textId="77777777" w:rsidR="008D29FB" w:rsidRDefault="00000000">
      <w:r>
        <w:t>The remuneration proposal takes into consideration, among others, the general employment and payment conditions applying to the total of NBG staff, looking to ensure consistency, while also takes into account the differences in responsibilities and impact ability of each directorship position.</w:t>
      </w:r>
    </w:p>
    <w:p w14:paraId="1EE2E01D" w14:textId="77777777" w:rsidR="008D29FB" w:rsidRDefault="00000000">
      <w:r>
        <w:lastRenderedPageBreak/>
        <w:t>Outside reviewvalidation of the Remuneration Policy can be sought as may be deemed appropriate by the Corporate Governance and Nominations Committee from a well reputed specialized consulting company, which can be appointed in accordance with the provisions of the Corporate Governance Code and in line with the budget available.</w:t>
      </w:r>
    </w:p>
    <w:p w14:paraId="00BC7994" w14:textId="77777777" w:rsidR="008D29FB" w:rsidRDefault="00000000">
      <w:r>
        <w:t>Directors' remuneration is paid proportionally for as long as each member Pillar III Disclosures on a consolidated basis December 31, 2023 REMUNERATION POLICIES &amp; PRACTICES 148 holds the corresponding position.</w:t>
      </w:r>
    </w:p>
    <w:p w14:paraId="5990C95A" w14:textId="77777777" w:rsidR="008D29FB" w:rsidRDefault="00000000">
      <w:r>
        <w:t>For instance,n accordance with the provisions of Law 38642010, as lastly amended by Law 49412022 and as each time in force, article 10 para 3 for as long as the ratio of non-performing loans to total loans exceeds ten percent 10%, or for financial reporting years up to and including 2022, the Directors fixed remuneration, could not exceed the total respective remuneration of the Governor of the Bank of Greece, and any variable remuneration bonus would be abolished.</w:t>
      </w:r>
    </w:p>
    <w:p w14:paraId="22897071" w14:textId="77777777" w:rsidR="008D29FB" w:rsidRDefault="00000000">
      <w:r>
        <w:t>Further, for the period of participation of the Bank in the capital increase program of Article 7 of Law 38642010, variable remuneration may only take the form of shares or stock options or other means within the meaning of articles 52 or 63 of the Regulation 5752013, according to article 86 of Law 42612014.</w:t>
      </w:r>
    </w:p>
    <w:p w14:paraId="0DAB6FD4" w14:textId="77777777" w:rsidR="008D29FB" w:rsidRDefault="00000000">
      <w:r>
        <w:t>More information on the NBG Directors &amp; Senior Managers Remuneration Policy is available in the Banks website, governancecorporate-governance-framework .</w:t>
      </w:r>
    </w:p>
    <w:sectPr w:rsidR="008D29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875046199">
    <w:abstractNumId w:val="8"/>
  </w:num>
  <w:num w:numId="2" w16cid:durableId="1006640631">
    <w:abstractNumId w:val="6"/>
  </w:num>
  <w:num w:numId="3" w16cid:durableId="1271205094">
    <w:abstractNumId w:val="5"/>
  </w:num>
  <w:num w:numId="4" w16cid:durableId="1372656813">
    <w:abstractNumId w:val="4"/>
  </w:num>
  <w:num w:numId="5" w16cid:durableId="329872280">
    <w:abstractNumId w:val="7"/>
  </w:num>
  <w:num w:numId="6" w16cid:durableId="1882401395">
    <w:abstractNumId w:val="3"/>
  </w:num>
  <w:num w:numId="7" w16cid:durableId="1647782300">
    <w:abstractNumId w:val="2"/>
  </w:num>
  <w:num w:numId="8" w16cid:durableId="984118300">
    <w:abstractNumId w:val="1"/>
  </w:num>
  <w:num w:numId="9" w16cid:durableId="1819566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1F2"/>
    <w:rsid w:val="000A748E"/>
    <w:rsid w:val="0015074B"/>
    <w:rsid w:val="001A3E69"/>
    <w:rsid w:val="00292016"/>
    <w:rsid w:val="0029639D"/>
    <w:rsid w:val="00307981"/>
    <w:rsid w:val="00326F90"/>
    <w:rsid w:val="005D6AD5"/>
    <w:rsid w:val="008D29FB"/>
    <w:rsid w:val="009A48D5"/>
    <w:rsid w:val="009C0095"/>
    <w:rsid w:val="00AA1D8D"/>
    <w:rsid w:val="00AF6DF2"/>
    <w:rsid w:val="00B47730"/>
    <w:rsid w:val="00C53772"/>
    <w:rsid w:val="00CB0664"/>
    <w:rsid w:val="00D45721"/>
    <w:rsid w:val="00D85D9A"/>
    <w:rsid w:val="00FB74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6FF131"/>
  <w14:defaultImageDpi w14:val="300"/>
  <w15:docId w15:val="{83F9B840-C550-EB4C-8E85-90E104B6F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27</Pages>
  <Words>10619</Words>
  <Characters>60532</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16</cp:revision>
  <dcterms:created xsi:type="dcterms:W3CDTF">2013-12-23T23:15:00Z</dcterms:created>
  <dcterms:modified xsi:type="dcterms:W3CDTF">2025-08-01T11:15:00Z</dcterms:modified>
  <cp:category/>
</cp:coreProperties>
</file>