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DDA6D" w14:textId="77777777" w:rsidR="00E91CFE" w:rsidRDefault="00000000">
      <w:r>
        <w:t>NBG is committed to publicly disclose information in compliance with EU Regulation 5752013 of the European Parliament and of the Council, as well as all applicable additional EU Regulations and EBA Guidelines, and to have adequate internal processes and systems in place to meet these disclosure requirements.</w:t>
      </w:r>
    </w:p>
    <w:p w14:paraId="7B913A9F" w14:textId="77777777" w:rsidR="00E91CFE" w:rsidRDefault="00000000">
      <w:r>
        <w:t>Moreover, the Policy defines the relevant disclosures governance, including the assessment of the appropriateness of the disclosures, their verification and frequency.</w:t>
      </w:r>
    </w:p>
    <w:p w14:paraId="0D82DA5B" w14:textId="77777777" w:rsidR="00E91CFE" w:rsidRDefault="00000000">
      <w:r>
        <w:t>The Bank is firmly committed to best practices regarding public disclosures and recognizes that Pillar III provides an additional layer of market information and transparency, hence contributing to financial stability.</w:t>
      </w:r>
    </w:p>
    <w:p w14:paraId="370959C1" w14:textId="788C4B51" w:rsidR="00E91CFE" w:rsidRDefault="00000000">
      <w:r>
        <w:t xml:space="preserve">Additional information for investors and other stakeholders regarding </w:t>
      </w:r>
      <w:r w:rsidR="00050F10">
        <w:t>t</w:t>
      </w:r>
      <w:r>
        <w:t xml:space="preserve">he members of the management body, the Corporate Governance Code etc is to be found in the Banks website The objectives of the Pillar III Disclosures are, </w:t>
      </w:r>
      <w:proofErr w:type="gramStart"/>
      <w:r>
        <w:t>To</w:t>
      </w:r>
      <w:proofErr w:type="gramEnd"/>
      <w:r>
        <w:t xml:space="preserve"> provide investors and other stakeholders with the appropriate, complete, accurate and timely information that they reasonably need to make investment decisions and informed judgements of NBG Group.</w:t>
      </w:r>
    </w:p>
    <w:p w14:paraId="7CC521FE" w14:textId="77777777" w:rsidR="00E91CFE" w:rsidRDefault="00000000">
      <w:r>
        <w:t>Proposal for CRD 5 is on exempted entities, financial holding companies, mixed financial holding companies, remuneration, supervisory measures and powers, and capital conservation measures.</w:t>
      </w:r>
    </w:p>
    <w:p w14:paraId="31B60828" w14:textId="77777777" w:rsidR="00E91CFE" w:rsidRDefault="00000000">
      <w:r>
        <w:t>These ITS will ensure that market participants have sufficient comparable information to assess the risk profiles of institutions and understand compliance with CRR3 requirements, further promoting market discipline.</w:t>
      </w:r>
    </w:p>
    <w:p w14:paraId="2F63BC2D" w14:textId="77777777" w:rsidR="00E91CFE" w:rsidRDefault="00000000">
      <w:r>
        <w:t>The omnibus legislation focuses on fostering a more favorable business environment, reducing regulatory burdens, and helping companies transition to a sustainable economy, aligning with the EU's Green Deal objectives.</w:t>
      </w:r>
    </w:p>
    <w:p w14:paraId="2036D56E" w14:textId="77777777" w:rsidR="00E91CFE" w:rsidRDefault="00000000">
      <w:r>
        <w:t>ESG Disclosures Disclosure of information on ESG risks is a vital tool to promote market discipline, allowing stakeholders to assess banks ESG related risks and sustainable finance strategy.</w:t>
      </w:r>
    </w:p>
    <w:p w14:paraId="72A69095" w14:textId="77777777" w:rsidR="00E91CFE" w:rsidRDefault="00000000">
      <w:r>
        <w:t>The revisions mostly aim to align these RTS with the Capital Requirements Regulation CRR3 and ensure stability in the applicable regulatory framework.</w:t>
      </w:r>
    </w:p>
    <w:p w14:paraId="7B05AA19" w14:textId="77777777" w:rsidR="00E91CFE" w:rsidRDefault="00000000">
      <w:r>
        <w:t>Apart from a market-leading franchise in the financing of renewable energy projects, a core part of our strategy remains to offer solutions for investments in the context of green transition, including in the commercial and residential ecosystems.</w:t>
      </w:r>
    </w:p>
    <w:p w14:paraId="235B7898" w14:textId="7A5C0399" w:rsidR="00E91CFE" w:rsidRDefault="00000000">
      <w:proofErr w:type="spellStart"/>
      <w:proofErr w:type="gramStart"/>
      <w:r>
        <w:t>ESG,Further</w:t>
      </w:r>
      <w:proofErr w:type="spellEnd"/>
      <w:proofErr w:type="gramEnd"/>
      <w:r>
        <w:t xml:space="preserve"> capturing commercial opportunities in green, sustainable and transition finance in line with our Net Zero targets for 2030 and Sustainable Finance Framework and continuing targeted actions to reduce our own emissions.</w:t>
      </w:r>
    </w:p>
    <w:p w14:paraId="072E2E46" w14:textId="77777777" w:rsidR="00E91CFE" w:rsidRDefault="00000000">
      <w:r>
        <w:lastRenderedPageBreak/>
        <w:t>Risk management and control play a fundamental role in the overall strategy of the Group, aiming to both effectively manage the risks of the organization and align with the legal and regulatory requirements.</w:t>
      </w:r>
    </w:p>
    <w:p w14:paraId="11B1D8BF" w14:textId="77777777" w:rsidR="00E91CFE" w:rsidRDefault="00000000">
      <w:r>
        <w:t>The BRC reviews and proposes to the Board on an annual basis, or more frequently if necessary, the Bank's risk strategy and risk appetite for approval, and ensures that the Banks risk appetite and risk strategy are clearly communicated throughout the Bank and form the basis on which risk policies and risk limits are established at group, business andor regional level.</w:t>
      </w:r>
    </w:p>
    <w:p w14:paraId="6ED4DC65" w14:textId="77777777" w:rsidR="00E91CFE" w:rsidRDefault="00000000">
      <w:r>
        <w:t>The BRC has the responsibility to review reports and evaluate the overall risk exposure of the Bank and the Group on a regular basis, taking into account the approved risk strategy and the business plan of the Group, to draft proposals and recommend corrective actions to the Board where it ascertains that the implementation of the risk strategy adopted by the Bank is not feasible or that actual implementation diverges from planned implementation thereof.</w:t>
      </w:r>
    </w:p>
    <w:p w14:paraId="7717F3B1" w14:textId="77777777" w:rsidR="00E91CFE" w:rsidRDefault="00000000">
      <w:r>
        <w:t>In the context of its responsibilities and during the course of the year, key workings of the Committee included, among others, the following, Ongoing-monthly updates on Risk Management issues CRO Monthly Report, Quarterly C&amp;E internal Reporting, Monthly Recovery Plan Dashboards and ad hoc briefings on developments.</w:t>
      </w:r>
    </w:p>
    <w:p w14:paraId="6CECC7CE" w14:textId="77777777" w:rsidR="00E91CFE" w:rsidRDefault="00000000">
      <w:r>
        <w:t>Review and update of Risk Appetite Framework including enhancements in Risk Appetite Dashboard in line with regulatory expectations guidance ECB, SSM and best practices, changes in composition &amp; tiering of metrics in certain areas e.</w:t>
      </w:r>
    </w:p>
    <w:p w14:paraId="52BA2970" w14:textId="77777777" w:rsidR="00E91CFE" w:rsidRDefault="00000000">
      <w:r>
        <w:t>Credit asset quality, ESG and Cyber security related KRIs etc.</w:t>
      </w:r>
    </w:p>
    <w:p w14:paraId="4AD4946A" w14:textId="77777777" w:rsidR="00E91CFE" w:rsidRDefault="00000000">
      <w:r>
        <w:t>Oversight of the actions towards the enhancement of the Risk Management Framework in relation to ESG risks including Sustainable Financing Framework and EU Taxonomy alignment, C&amp;E Reputational &amp; Litigation Risk Assessment framework &amp; methodologies, quantitative assessment &amp; stress-testing models and KRIs in the areas of Natural capitalEnvironmental Risk and Climate Physical Risk.</w:t>
      </w:r>
    </w:p>
    <w:p w14:paraId="584E8178" w14:textId="77777777" w:rsidR="00E91CFE" w:rsidRDefault="00000000">
      <w:r>
        <w:t>Pillar III Disclosures on a consolidated basis December 31, 2024 RISK MANAGEMENT FRAMEWORK 20 ensure the development of policies, methods and systems for the identification, measurement and monitoring of operational risks and their periodic assessment and ratification.</w:t>
      </w:r>
    </w:p>
    <w:p w14:paraId="56C9C610" w14:textId="77777777" w:rsidR="00E91CFE" w:rsidRDefault="00000000">
      <w:r>
        <w:t>The GORMD consists of the, Operational Risk Framework Implementation Sector, which in turn consists of the Operational Risk Program Implementation, the Information &amp; Communication Technology ICT Risks Oversight and the Operational Risk Internal Events Collection Sub-divisions.</w:t>
      </w:r>
    </w:p>
    <w:p w14:paraId="15C03C1E" w14:textId="77777777" w:rsidR="00E91CFE" w:rsidRDefault="00000000">
      <w:r>
        <w:t>This approach is aligned with NBGs Enterprise Risk Management concept, which is also applicable for the ESG risk area.</w:t>
      </w:r>
    </w:p>
    <w:p w14:paraId="0ACEF862" w14:textId="77777777" w:rsidR="00E91CFE" w:rsidRDefault="00000000">
      <w:r>
        <w:lastRenderedPageBreak/>
        <w:t>Pillar III Disclosures on a consolidated basis December 31, 2024 RISK MANAGEMENT FRAMEWORK 21 recertify models on a regular basis, depending on their materiality and review the results of on-going model monitoring.</w:t>
      </w:r>
    </w:p>
    <w:p w14:paraId="411B84E5" w14:textId="77777777" w:rsidR="00E91CFE" w:rsidRDefault="00000000">
      <w:r>
        <w:t>The RAF constitutes an integral part of the Groups Risk Strategy and the overall Group Risk Management Framework.</w:t>
      </w:r>
    </w:p>
    <w:p w14:paraId="57C60EFF" w14:textId="77777777" w:rsidR="00E91CFE" w:rsidRDefault="00000000">
      <w:r>
        <w:t>An effective RAF is fundamental to a strong risk management and governance framework.</w:t>
      </w:r>
    </w:p>
    <w:p w14:paraId="643A2340" w14:textId="77777777" w:rsidR="00E91CFE" w:rsidRDefault="00000000">
      <w:r>
        <w:t>Risk Appetite Dashboard was updated in line with regulatory expectationsguidance and best practices, without changing the overall risk profile of the Bank.</w:t>
      </w:r>
    </w:p>
    <w:p w14:paraId="25674D8E" w14:textId="77777777" w:rsidR="00E91CFE" w:rsidRDefault="00000000">
      <w:r>
        <w:t>Both the Board of Directors and the Banks executive committees are actively involved and support the ICAAP.</w:t>
      </w:r>
    </w:p>
    <w:p w14:paraId="07170B5E" w14:textId="77777777" w:rsidR="00E91CFE" w:rsidRDefault="00000000">
      <w:r>
        <w:t>The ILAAP is an integrated process, therefore it is aligned with the Groups Risk Management Framework and takes into account its current operating environment.</w:t>
      </w:r>
    </w:p>
    <w:p w14:paraId="1A1BD344" w14:textId="77777777" w:rsidR="00E91CFE" w:rsidRDefault="00000000">
      <w:r>
        <w:t>Risk monitoring by providing a common frame of reference that enables meaningful analysis and oversight of the outputs generated by any risk management tool.</w:t>
      </w:r>
    </w:p>
    <w:p w14:paraId="3884A16F" w14:textId="77777777" w:rsidR="00E91CFE" w:rsidRDefault="00000000">
      <w:r>
        <w:t>NBGs Risk Taxonomy comprises of Risk Types which support a multi-level tree categorization in which NBGs risks are classified and of Risk Themes which are sub-categories of Non-Financial Risks, the inclusion of which in the NBG Risk Taxonomy Framework provides an additional dimension improving the overall risk classification.</w:t>
      </w:r>
    </w:p>
    <w:p w14:paraId="5331EEF9" w14:textId="77777777" w:rsidR="00E91CFE" w:rsidRDefault="00000000">
      <w:r>
        <w:t>Risk Themes are also used in order to accommodate additional regulatory compliance requirements and internal risk analysis and reporting needs.</w:t>
      </w:r>
    </w:p>
    <w:p w14:paraId="3DA9A385" w14:textId="77777777" w:rsidR="00E91CFE" w:rsidRDefault="00000000">
      <w:r>
        <w:t>Enhancements in line with regulatory developments and best practices.</w:t>
      </w:r>
    </w:p>
    <w:p w14:paraId="2FF2EFB9" w14:textId="77777777" w:rsidR="00E91CFE" w:rsidRDefault="00000000">
      <w:r>
        <w:t>The Guide is part of a wider strategy intended to assist supervised banks in strengthening their risk data aggregation capabilities as well as internal risk reporting practices, thus enhancing the group risk management and decision-making processes.</w:t>
      </w:r>
    </w:p>
    <w:p w14:paraId="15E34DD9" w14:textId="77777777" w:rsidR="00E91CFE" w:rsidRDefault="00000000">
      <w:r>
        <w:t>On 20 June 2024, Basel IV text CRR3, CRD6 was published in the Official Journal of the European Union noting that the final framework will be effective from 1 January 2025.</w:t>
      </w:r>
    </w:p>
    <w:p w14:paraId="4C2E35CE" w14:textId="46D4C157" w:rsidR="00E91CFE" w:rsidRDefault="00000000">
      <w:r>
        <w:t xml:space="preserve">Credit Risk </w:t>
      </w:r>
      <w:r w:rsidR="00B14B75">
        <w:t>i</w:t>
      </w:r>
      <w:r>
        <w:t>mplementation of Basel IV Updates NBG has considered compliance with CRR3 amendments as a strategic objective.</w:t>
      </w:r>
    </w:p>
    <w:p w14:paraId="23D2ED9D" w14:textId="77777777" w:rsidR="00E91CFE" w:rsidRDefault="00000000">
      <w:r>
        <w:t>To that end the Bank has timely completed the Basel IV Project within the Transformation Program thus ensuring accurately compliance and implementation of the new Basel IV Framework in its processes, systems and practices ahead of regulatory deadlines.</w:t>
      </w:r>
    </w:p>
    <w:p w14:paraId="6DF26857" w14:textId="77777777" w:rsidR="00E91CFE" w:rsidRDefault="00000000">
      <w:r>
        <w:t>NBG has already completed the implementation of the respective reforms in its processes, systems and practices, ensuring its regulatory compliance.</w:t>
      </w:r>
    </w:p>
    <w:p w14:paraId="0799B650" w14:textId="77777777" w:rsidR="00E91CFE" w:rsidRDefault="00000000">
      <w:r>
        <w:lastRenderedPageBreak/>
        <w:t>Moreover, the Bank, aiming to continuously comply with the regulatory expectations, is in the right path of implementing all the relevant amendments implied by the new regulatory framework of Basel IV, effective on 1 January 2025.</w:t>
      </w:r>
    </w:p>
    <w:p w14:paraId="2EF3D356" w14:textId="77777777" w:rsidR="00E91CFE" w:rsidRDefault="00000000">
      <w:r>
        <w:t>The main target of this process is to facilitate key risk management processes and to be aligned with the requirements of the new regulatory Basel IV Framework.</w:t>
      </w:r>
    </w:p>
    <w:p w14:paraId="5AFF4D87" w14:textId="77777777" w:rsidR="00E91CFE" w:rsidRDefault="00000000">
      <w:r>
        <w:t>ESG Risks Acknowledging the importance and potential impact of ESG risks, NBG continued its efforts towards the advancement of their incorporation in the overall Risk Management Framework.</w:t>
      </w:r>
    </w:p>
    <w:p w14:paraId="0F4E123B" w14:textId="77777777" w:rsidR="00E91CFE" w:rsidRDefault="00000000">
      <w:r>
        <w:t>More elaborated information on NBGs risk management framework, practices and conclusions on ESG risks is disclosed in the relevant sections of the Sustainability Statement.</w:t>
      </w:r>
    </w:p>
    <w:p w14:paraId="661C3CC6" w14:textId="77777777" w:rsidR="00E91CFE" w:rsidRDefault="00000000">
      <w:r>
        <w:t>The purpose of this updated policy is to set out a coherent framework of principles and standards governing the development, and documentation of credit risk models, providing guidance for their quantitative monitoring.</w:t>
      </w:r>
    </w:p>
    <w:p w14:paraId="64545D9B" w14:textId="77777777" w:rsidR="00E91CFE" w:rsidRDefault="00000000">
      <w:r>
        <w:t>The policy applies to all models used for credit risk measurement purposes, including financial reporting and credit impairment calculation, regulatory, credit decision making, as well as Internal Capital Adequacy and Stress Testing purposes.</w:t>
      </w:r>
    </w:p>
    <w:p w14:paraId="1397EFCF" w14:textId="77777777" w:rsidR="00E91CFE" w:rsidRDefault="00000000">
      <w:r>
        <w:t>The policy is in line with the requirements of the regulatory guidelines and market leading practices and ensures that credit risk models are fit for purpose taking into account their ability to generate accurate and consistent estimates for the measurement of credit risk on an on-going basis.</w:t>
      </w:r>
    </w:p>
    <w:p w14:paraId="46D78C46" w14:textId="77777777" w:rsidR="00E91CFE" w:rsidRDefault="00000000">
      <w:r>
        <w:t>The scope of this project is to help the Bank achieve high quality, sound and updated implementation of IFRS 9 principles and Stress Test requirements, that meet regulatory expectations.</w:t>
      </w:r>
    </w:p>
    <w:p w14:paraId="562D3C7C" w14:textId="77777777" w:rsidR="00E91CFE" w:rsidRDefault="00000000">
      <w:r>
        <w:t>Finally, the GFLRMD schedules the review and update of the IRRBB Policy Document in 2025, in line with the relevant Regulatory requirements.</w:t>
      </w:r>
    </w:p>
    <w:p w14:paraId="20763FD5" w14:textId="77777777" w:rsidR="00E91CFE" w:rsidRDefault="00000000">
      <w:r>
        <w:t>More specifically, Review and update of the Banks Contingency Funding Plan and Liquidity Risk Management Policy, as per the supervisory requirements.</w:t>
      </w:r>
    </w:p>
    <w:p w14:paraId="737B9F99" w14:textId="77777777" w:rsidR="00E91CFE" w:rsidRDefault="00000000">
      <w:r>
        <w:t>In the context of the Basel IV implementation, GORMD reviewed the internal loss database according to the regulatory requirements of the new Standardized Approach for Operational Risk.</w:t>
      </w:r>
    </w:p>
    <w:p w14:paraId="68A6ACE3" w14:textId="77777777" w:rsidR="00E91CFE" w:rsidRDefault="00000000">
      <w:r>
        <w:t>GORMD continued with the ongoing monitoring of the Outsourcing Risk that includes, among others, the review of all Outsourcing Risk Assessments, the review and evaluation of the relevant Exit Plans, the contribution in the update of Outsourcing Arrangements Registry, the preparation of regular reporting to the Outsourcing Committee and the Board of Directors.</w:t>
      </w:r>
    </w:p>
    <w:p w14:paraId="5D43677D" w14:textId="74D19D3F" w:rsidR="00E91CFE" w:rsidRDefault="00000000">
      <w:r>
        <w:lastRenderedPageBreak/>
        <w:t>These were the development of a financial impact scale for the risk assessment of the Groups Subsidiaries as part of the NBG Group Common Principles for Operational Risk and Control Assessment document.</w:t>
      </w:r>
    </w:p>
    <w:p w14:paraId="7DE61D3E" w14:textId="77777777" w:rsidR="00E91CFE" w:rsidRDefault="00000000">
      <w:r>
        <w:t>Finally, and in order to establish and develop a number of Risk Culture initiatives, GORMD designed and provided, in cooperation with relative HR Division, e-learning courses related to the Operational Risk Management Framework.</w:t>
      </w:r>
    </w:p>
    <w:p w14:paraId="7FFCD6DF" w14:textId="77777777" w:rsidR="00E91CFE" w:rsidRDefault="00000000">
      <w:r>
        <w:t>GORMD will monitor the implementation of the Artificial Intelligence Act regulatory requirements by implementing a Bank's sound AI Governance Framework, AI Policy and AI use cases assessments.</w:t>
      </w:r>
    </w:p>
    <w:p w14:paraId="21CC12E3" w14:textId="77777777" w:rsidR="00E91CFE" w:rsidRDefault="00000000">
      <w:r>
        <w:t>Thus, the Group achieves active credit risk management through, The application of appropriate limits for exposures to a particular single or group of obligors.</w:t>
      </w:r>
    </w:p>
    <w:p w14:paraId="2CFD5B45" w14:textId="77777777" w:rsidR="00E91CFE" w:rsidRDefault="00000000">
      <w:r>
        <w:t>The NBG Credit Policy describes the main principles across both Retail and Corporate portfolios in terms of overall governance, exclusions and assessment and set the cornerstones for the respective Credit Sanctioning Guidelines.</w:t>
      </w:r>
    </w:p>
    <w:p w14:paraId="0EA32084" w14:textId="77777777" w:rsidR="00E91CFE" w:rsidRDefault="00000000">
      <w:r>
        <w:t>GCRCD is responsible for limits setting, limits monitoring and regulatory compliance.</w:t>
      </w:r>
    </w:p>
    <w:p w14:paraId="23230F25" w14:textId="77777777" w:rsidR="00E91CFE" w:rsidRDefault="00000000">
      <w:r>
        <w:t>All the methodologies and processes followed by NBG for the estimation, monitoring and management of the counterparty credit risk, both for internal purposes, as well as for regulatory compliance are detailed in NBGs Counterparty Credit Risk Policy.</w:t>
      </w:r>
    </w:p>
    <w:p w14:paraId="1308B1D8" w14:textId="77777777" w:rsidR="00E91CFE" w:rsidRDefault="00000000">
      <w:r>
        <w:t>The most significant types of market risk to which the Bank is exposed are the Pillar III Disclosures on a consolidated basis December 31, 2024 RISK MANAGEMENT FRAMEWORK 32 following, interest rate risk, equity risk, foreign exchange risk and commodity risk.</w:t>
      </w:r>
    </w:p>
    <w:p w14:paraId="4F9B762C" w14:textId="77777777" w:rsidR="00E91CFE" w:rsidRDefault="00000000">
      <w:r>
        <w:t>Additionally, the VaR model as well as the processes followed by GFLRMD for the measurement and monitoring of Market Risk are described in the VaRsVaR Model Methodology document, which is subordinate to the Market Risk Management Policy and is subject to changes, in accordance with amendments to the Policy.</w:t>
      </w:r>
    </w:p>
    <w:p w14:paraId="1A11537F" w14:textId="77777777" w:rsidR="00E91CFE" w:rsidRDefault="00000000">
      <w:r>
        <w:t>The adequacy of the Market Risk Management Framework as a whole, as well as the appropriateness of the VaR model, were successfully reassessed twice by the SSM, in the context of the Targeted Review of Internal Models TRIM and during the Internal Model Investigation IMI for the inclusion of Vega risk in the VaR model.</w:t>
      </w:r>
    </w:p>
    <w:p w14:paraId="25BCFCFD" w14:textId="77777777" w:rsidR="00E91CFE" w:rsidRDefault="00000000">
      <w:r>
        <w:t>As per the ECBs Decision, NBG may continue calculating the own funds requirements for general market risk with the internal model approach, which verifies the robustness of the Banks Market Risk management model.</w:t>
      </w:r>
    </w:p>
    <w:p w14:paraId="5E42452F" w14:textId="77777777" w:rsidR="00E91CFE" w:rsidRDefault="00000000">
      <w:r>
        <w:t>The first line of defense is at the risk-taking level, where NBGs various market risk taking Business Lines are responsible to monitor and maintain compliance with the set market risk limits, on a continuous basis.</w:t>
      </w:r>
    </w:p>
    <w:p w14:paraId="2F64FCA8" w14:textId="77777777" w:rsidR="00E91CFE" w:rsidRDefault="00000000">
      <w:r>
        <w:lastRenderedPageBreak/>
        <w:t>Finally, NBGs Internal Audit is responsible to validate that the Group, as a whole, as well as the various departments individually, are compliant with the set market risk policies and procedures.</w:t>
      </w:r>
    </w:p>
    <w:p w14:paraId="503D980A" w14:textId="77777777" w:rsidR="00E91CFE" w:rsidRDefault="00000000">
      <w:r>
        <w:t>This Framework complies with regulatory requirements and is reviewed regularly.</w:t>
      </w:r>
    </w:p>
    <w:p w14:paraId="65FE9DC2" w14:textId="77777777" w:rsidR="00E91CFE" w:rsidRDefault="00000000">
      <w:r>
        <w:t>It should be noted that Environmental Risk could have an impact on Legal Risk.</w:t>
      </w:r>
    </w:p>
    <w:p w14:paraId="73F70B6B" w14:textId="77777777" w:rsidR="00E91CFE" w:rsidRDefault="00000000">
      <w:r>
        <w:t>Compliance risk refers to the risk that NBG, in the course of conducting its business or risk management activities, may be found, in circumstances of a breach of the institutions guidelinespolicies as well as the regulatory framework as defined in certain international, EU and Greek laws and regulations, as well as the risk deriving from legal or regulatory sanctions, material financial loss or loss of reputation the Bank might suffer as a result of such breach.</w:t>
      </w:r>
    </w:p>
    <w:p w14:paraId="677DEFF2" w14:textId="77777777" w:rsidR="00E91CFE" w:rsidRDefault="00000000">
      <w:r>
        <w:t>Also, the risk, directly or indirectly, stemming from Pillar III Disclosures on a consolidated basis December 31, 2024 RISK MANAGEMENT FRAMEWORK 34 the process of adjustment towards a lower-carbon and more environmentally sustainable economy incl.</w:t>
      </w:r>
    </w:p>
    <w:p w14:paraId="656AFC4A" w14:textId="77777777" w:rsidR="00E91CFE" w:rsidRDefault="00000000">
      <w:r>
        <w:t>For this reason, all employees are responsible for managing and controlling OR generated in their sphere of action.</w:t>
      </w:r>
    </w:p>
    <w:p w14:paraId="545D99DE" w14:textId="190AD0C1" w:rsidR="00E91CFE" w:rsidRDefault="00000000">
      <w:r>
        <w:t>In addition, the Outsourcing Committee operates in accordance with the applicable regulatory framework and is responsible for overseeing the outsourcing arrangements risk of the Group.</w:t>
      </w:r>
    </w:p>
    <w:p w14:paraId="25E4C493" w14:textId="77777777" w:rsidR="00E91CFE" w:rsidRDefault="00000000">
      <w:r>
        <w:t>Furthermore, it regularly reviews the ORM Framework in order to ensure that all relevant regulatory requirements are met.</w:t>
      </w:r>
    </w:p>
    <w:p w14:paraId="5455F698" w14:textId="77777777" w:rsidR="00E91CFE" w:rsidRDefault="00000000">
      <w:r>
        <w:t>They act as liaisons to the GORMD and are responsible for coordinating the ORMF implementation, assisting in the development of the culture of operational risk and communicating relevant information throughout to the GORMD.</w:t>
      </w:r>
    </w:p>
    <w:p w14:paraId="00E21218" w14:textId="77777777" w:rsidR="00E91CFE" w:rsidRDefault="00000000">
      <w:r>
        <w:t>NBGs software is fully configured to calculate Risk Weighted Assets for the entire Group according to the regulatory approach chosen for each portfolio, in accordance with the current CRR CRD IV Basel III regulatory framework.</w:t>
      </w:r>
    </w:p>
    <w:p w14:paraId="7BDCD345" w14:textId="77777777" w:rsidR="00E91CFE" w:rsidRDefault="00000000">
      <w:r>
        <w:t>The derivative financial instruments that are subject to the Market Risk framework are those held with a trading intent, thus included in the daily, regulatory, VaR and stressed VaR calculations.</w:t>
      </w:r>
    </w:p>
    <w:p w14:paraId="61A1F2E1" w14:textId="77777777" w:rsidR="00E91CFE" w:rsidRDefault="00000000">
      <w:r>
        <w:t>Based on the current regulatory framework there is no substantial, practical or legal incapacity in capital transfers or payment of obligations between parent Bank and its subsidiaries.</w:t>
      </w:r>
    </w:p>
    <w:p w14:paraId="1CEF8DDD" w14:textId="77777777" w:rsidR="00E91CFE" w:rsidRDefault="00000000">
      <w:r>
        <w:t xml:space="preserve">Moreover, in the context of the implementation of NBGs strategy to ensure ongoing compliance with its MREL requirements, the Bank has successfully completed the below </w:t>
      </w:r>
      <w:r>
        <w:lastRenderedPageBreak/>
        <w:t>transactions in 2024, On 29 January 2024, the Bank completed the issuance of €600 million Fixed Rate Resettable Unsubordinated MREL Notes Senior Preferred Notes in the international capital markets with a yield of 4.</w:t>
      </w:r>
    </w:p>
    <w:p w14:paraId="2D220EE2" w14:textId="77777777" w:rsidR="00E91CFE" w:rsidRDefault="00000000">
      <w:r>
        <w:t>The Bank has initiated the process of enhancing its credit risk assessment process, incorporating climate and environmental factors for the purposes of evaluating borrowers risk of default and ultimately the ECL calculation.</w:t>
      </w:r>
    </w:p>
    <w:p w14:paraId="0EA1C567" w14:textId="77777777" w:rsidR="00E91CFE" w:rsidRDefault="00000000">
      <w:r>
        <w:t>Acknowledging the importance and potential impact of Environmental, Social and Governance risks, the Bank has proceeded with the identification and materiality assessment of such risks and their incorporation in the overall risk management framework, and is committed to monitoring, assessing and managing the particular risks going forward.</w:t>
      </w:r>
    </w:p>
    <w:p w14:paraId="6F1EB6F7" w14:textId="535D88C6" w:rsidR="00E91CFE" w:rsidRDefault="00000000">
      <w:r>
        <w:t xml:space="preserve">In principle, NBG accepts the following credit risk mitigation types funded and unfunded for capital calculation purposes under the </w:t>
      </w:r>
      <w:proofErr w:type="spellStart"/>
      <w:r>
        <w:t>Standardised</w:t>
      </w:r>
      <w:proofErr w:type="spellEnd"/>
      <w:r>
        <w:t xml:space="preserve"> Approach, Guarantees </w:t>
      </w:r>
      <w:proofErr w:type="spellStart"/>
      <w:r>
        <w:t>from,Legal</w:t>
      </w:r>
      <w:proofErr w:type="spellEnd"/>
      <w:r>
        <w:t xml:space="preserve"> entities, both from the Private and Public </w:t>
      </w:r>
      <w:proofErr w:type="spellStart"/>
      <w:r>
        <w:t>SectorCentral</w:t>
      </w:r>
      <w:proofErr w:type="spellEnd"/>
      <w:r>
        <w:t xml:space="preserve"> governments, Regional governments, local authorities and </w:t>
      </w:r>
      <w:proofErr w:type="spellStart"/>
      <w:r>
        <w:t>PSEsFinancial</w:t>
      </w:r>
      <w:proofErr w:type="spellEnd"/>
      <w:r>
        <w:t xml:space="preserve"> </w:t>
      </w:r>
      <w:proofErr w:type="spellStart"/>
      <w:r>
        <w:t>institutionsThe</w:t>
      </w:r>
      <w:proofErr w:type="spellEnd"/>
      <w:r>
        <w:t xml:space="preserve"> Greek </w:t>
      </w:r>
      <w:proofErr w:type="spellStart"/>
      <w:r>
        <w:t>GovernmentThe</w:t>
      </w:r>
      <w:proofErr w:type="spellEnd"/>
      <w:r>
        <w:t xml:space="preserve"> Hellenic Development </w:t>
      </w:r>
      <w:proofErr w:type="spellStart"/>
      <w:r>
        <w:t>BankThe</w:t>
      </w:r>
      <w:proofErr w:type="spellEnd"/>
      <w:r>
        <w:t xml:space="preserve"> European Investment </w:t>
      </w:r>
      <w:proofErr w:type="spellStart"/>
      <w:r>
        <w:t>FundThe</w:t>
      </w:r>
      <w:proofErr w:type="spellEnd"/>
      <w:r>
        <w:t xml:space="preserve"> European Investment Bank Pledges </w:t>
      </w:r>
      <w:proofErr w:type="spellStart"/>
      <w:r>
        <w:t>ofSecurities</w:t>
      </w:r>
      <w:proofErr w:type="spellEnd"/>
      <w:r>
        <w:t xml:space="preserve"> cheques and bills of </w:t>
      </w:r>
      <w:proofErr w:type="spellStart"/>
      <w:r>
        <w:t>exchangeDepositsEquity</w:t>
      </w:r>
      <w:proofErr w:type="spellEnd"/>
      <w:r>
        <w:t>, Mutual funds and Non-tangible securities bonds, etc.</w:t>
      </w:r>
    </w:p>
    <w:p w14:paraId="085E0491" w14:textId="77777777" w:rsidR="00E91CFE" w:rsidRDefault="00000000">
      <w:r>
        <w:t>As per the current regulatory framework, the calculations only pertain to transactions with financial institutions.</w:t>
      </w:r>
    </w:p>
    <w:p w14:paraId="19E1D245" w14:textId="77777777" w:rsidR="00E91CFE" w:rsidRDefault="00000000">
      <w:r>
        <w:t>The VaR estimates are used internally as a risk management tool, as well as for regulatory purposes.</w:t>
      </w:r>
    </w:p>
    <w:p w14:paraId="074C5F43" w14:textId="77777777" w:rsidR="00E91CFE" w:rsidRDefault="00000000">
      <w:r>
        <w:t>Moreover, since the Bank has approval to use an internal model approach only for general market risk purposes, the issuer risk and the equity specific risk of the portfolio are excluded from the regulatory VaR calculations.</w:t>
      </w:r>
    </w:p>
    <w:p w14:paraId="17EF37AD" w14:textId="77777777" w:rsidR="00E91CFE" w:rsidRDefault="00000000">
      <w:r>
        <w:t>Under the Standardized Approach, the capital requirement for operational risk is the average, over three years, of the risk-weighted relevant indicators calculated each year through the allocation of Gross Income to the eight, regulatory business lines.</w:t>
      </w:r>
    </w:p>
    <w:p w14:paraId="4F37B360" w14:textId="77777777" w:rsidR="00E91CFE" w:rsidRDefault="00000000">
      <w:r>
        <w:t>These themes stem from and reflect the four core values that characterize NBG Human, Trustworthy, Responsive, Growth Catalyst, align with selected UNs Sustainable Development Goals SDGs, and complement NBGs overall business strategy and transformation.</w:t>
      </w:r>
    </w:p>
    <w:p w14:paraId="26E94750" w14:textId="77777777" w:rsidR="00E91CFE" w:rsidRDefault="00000000">
      <w:r>
        <w:t>The environment-related themes encapsulate NBGs climate change actions, including portfolio and own operations decarbonization strategy and targets.</w:t>
      </w:r>
    </w:p>
    <w:p w14:paraId="5E618EF1" w14:textId="77777777" w:rsidR="00E91CFE" w:rsidRDefault="00000000">
      <w:r>
        <w:t xml:space="preserve">With respect to financed emissions, NBG joined in November 2023, the industry-led and United Nationsconvened Net Zero Banking Alliance , a leading global alliance of banks, </w:t>
      </w:r>
      <w:r>
        <w:lastRenderedPageBreak/>
        <w:t>committed to driving their lending and investment portfolios to net-zero emissions, as defined by the Paris Climate Agreement.</w:t>
      </w:r>
    </w:p>
    <w:p w14:paraId="5FB5AD4F" w14:textId="77777777" w:rsidR="00E91CFE" w:rsidRDefault="00000000">
      <w:r>
        <w:t>In line with its commitment to the NZBA, NBG has proceeded with the disclosure of a set of interim 2030 decarbonization targets for six priority carbon-intensive sectorsportfolios in accordance with science-based pathways and methodologies.</w:t>
      </w:r>
    </w:p>
    <w:p w14:paraId="57C68FE8" w14:textId="77777777" w:rsidR="00E91CFE" w:rsidRDefault="00000000">
      <w:r>
        <w:t>Following the setting of the interim targets, NBG has also developed the relevant Transition Plans, which are included and described within its 2024 Sustainability Statement.</w:t>
      </w:r>
    </w:p>
    <w:p w14:paraId="778B99CF" w14:textId="77777777" w:rsidR="00E91CFE" w:rsidRDefault="00000000">
      <w:r>
        <w:t>According to its net-zero vision by 2050, NBG will pursue continuous efforts to promote Greeces transition to a carbon-free future by providing green and sustainable financing to businesses and households.</w:t>
      </w:r>
    </w:p>
    <w:p w14:paraId="419894EF" w14:textId="77777777" w:rsidR="00E91CFE" w:rsidRDefault="00000000">
      <w:r>
        <w:t>Financed and non-financed emissions reduction targets are taken into account in the Banks Budgeting and Business Planning process, with business unit inputs reflecting the effortresources required to meet such targets, and the 3 year Business Plan output containing a discrete and visible ESG component dedicated to the Net- Zero commitment.</w:t>
      </w:r>
    </w:p>
    <w:p w14:paraId="15965C89" w14:textId="77777777" w:rsidR="00E91CFE" w:rsidRDefault="00000000">
      <w:r>
        <w:t>Risk Management views are informed by a dedicated risk identification and materiality assessment process C&amp;E RIMA, which informs the Group business and financial planning.</w:t>
      </w:r>
    </w:p>
    <w:p w14:paraId="4468A0BA" w14:textId="77777777" w:rsidR="00E91CFE" w:rsidRDefault="00000000">
      <w:r>
        <w:t>More information with respect to Groups Climate Change &amp; Environmental Strategy can be found in NBGs 2024 Annual Report Sustainability Statement available in relationsreportsannual-financial-report-for-the-group-andthe-bank-31-12-2024 sections, a SBM-1 Strategy, business model and value chain 184 b SBM-3 Material impacts, risks and opportunities and their interaction with strategy and business model -194 c E1-1 Transition plan for climate change mitigation 224 d E4-1 Transition plan and consideration of biodiversity and ecosystems in strategy and business model Points 7 and 8 are further analyzed under 10.</w:t>
      </w:r>
    </w:p>
    <w:p w14:paraId="7CEAD8CE" w14:textId="77777777" w:rsidR="00E91CFE" w:rsidRDefault="00000000">
      <w:r>
        <w:t>NBG monitors its performance against these targets on an ongoing basis, with current and future disclosures ensuring NBGs accountability for their delivery.</w:t>
      </w:r>
    </w:p>
    <w:p w14:paraId="588C63DA" w14:textId="77777777" w:rsidR="00E91CFE" w:rsidRDefault="00000000">
      <w:r>
        <w:t>E4-4 Targets related to biodiversity and ecosystems Pillar III Disclosures on a consolidated basis December 31, 2024 ESG RISKS 87, NBGs financed emissions targets NBGs financed emissions targets Notes 1, 2 &amp; 3 Scope Metric4 Perimeter all Bank Solo Reference Scenario Baseline Year Baseline Year Value Current Reporting Year Value, 2030 reference scenario value 2030 Target Value 2030 Target % reduction of baseline 2030 Target % reduction of current reporting year value Decarbonization Levers Scope 3 Cat.</w:t>
      </w:r>
    </w:p>
    <w:p w14:paraId="1CDF7631" w14:textId="77777777" w:rsidR="00E91CFE" w:rsidRDefault="00000000">
      <w:r>
        <w:t>Note 1 All figures are Gross no removals, no carbon credits, no avoided emissions are included not considered Note 2 All six targets shown above are Scope 3 Cat.</w:t>
      </w:r>
    </w:p>
    <w:p w14:paraId="43C60107" w14:textId="77777777" w:rsidR="00E91CFE" w:rsidRDefault="00000000">
      <w:r>
        <w:t>Note 3 Financed emissions targets relate to have been set considering and are monitored against clients Scope 1 &amp; Scope 2 market-based emissions.</w:t>
      </w:r>
    </w:p>
    <w:p w14:paraId="1E225179" w14:textId="77777777" w:rsidR="00E91CFE" w:rsidRDefault="00000000">
      <w:r>
        <w:lastRenderedPageBreak/>
        <w:t>Banks targets for Scope 1 and Scope 2 were set using SBTis Absolute Contraction approach, according to which, participants need to reduce their own absolute emissions at the same rate to achieve a given climate scenario.</w:t>
      </w:r>
    </w:p>
    <w:p w14:paraId="259C3FF6" w14:textId="77777777" w:rsidR="00E91CFE" w:rsidRDefault="00000000">
      <w:r>
        <w:t>Scope 1 and Scope 2 emissions targets concern NBGs own operations and cover the Bank only in terms of perimeter.</w:t>
      </w:r>
    </w:p>
    <w:p w14:paraId="764E9243" w14:textId="77777777" w:rsidR="00E91CFE" w:rsidRDefault="00000000">
      <w:r>
        <w:t>In terms of greenhouse gases included in our targets, these are the gases included in the estimation of the Banks own operations carbon footprint.</w:t>
      </w:r>
    </w:p>
    <w:p w14:paraId="3F4E02A2" w14:textId="77777777" w:rsidR="00E91CFE" w:rsidRDefault="00000000">
      <w:r>
        <w:t>Note 5 In line with SBTi requirements for base year selection, allowing base year selection going back up to two years prior to submission, 2021 was selected as the baseline for setting Scope 1 and Scope 2 targets.</w:t>
      </w:r>
    </w:p>
    <w:p w14:paraId="2EC7E914" w14:textId="77777777" w:rsidR="00E91CFE" w:rsidRDefault="00000000">
      <w:r>
        <w:t>The most relevant facts and figures to NBGs current and future planned investments in environmentally sustainable activities are highlighted below, with references to the respective sections of NBGs Sustainability Statement provided at the end of the section.</w:t>
      </w:r>
    </w:p>
    <w:p w14:paraId="46457124" w14:textId="77777777" w:rsidR="00E91CFE" w:rsidRDefault="00000000">
      <w:r>
        <w:t>Key figures current investment activities NBG actively supports Greece's energy transition goals and constitutes a leading Greek provider of renewable energy financing.</w:t>
      </w:r>
    </w:p>
    <w:p w14:paraId="711259DA" w14:textId="4654F1E4" w:rsidR="00E91CFE" w:rsidRDefault="00000000">
      <w:r>
        <w:t xml:space="preserve">Key considerations future investment targets &amp; oppotunity areas NBG expects the drivers of growth for future investments to stem from the following </w:t>
      </w:r>
      <w:proofErr w:type="spellStart"/>
      <w:proofErr w:type="gramStart"/>
      <w:r>
        <w:t>paths,supporting</w:t>
      </w:r>
      <w:proofErr w:type="spellEnd"/>
      <w:proofErr w:type="gramEnd"/>
      <w:r>
        <w:t xml:space="preserve"> NBG clients in achieving their own transition and decarbonization plans.</w:t>
      </w:r>
    </w:p>
    <w:p w14:paraId="680DEFFC" w14:textId="77777777" w:rsidR="00E91CFE" w:rsidRDefault="00000000">
      <w:r>
        <w:t>In addition, they are responsible for considering impacts, risks and opportunities in the NBGs strategy, decisions, major transactions and risk management processes.</w:t>
      </w:r>
    </w:p>
    <w:p w14:paraId="79BC970C" w14:textId="77777777" w:rsidR="00E91CFE" w:rsidRDefault="00000000">
      <w:r>
        <w:t>During 2024 and the first semester of 2025, the Board focused on a number of key areas, including but not limited to the activities described below, taking into account in its discussions and decision-making the interests of its stakeholders.</w:t>
      </w:r>
    </w:p>
    <w:p w14:paraId="52FB94E7" w14:textId="77777777" w:rsidR="00E91CFE" w:rsidRDefault="00000000">
      <w:r>
        <w:t>Indicatively, the Board of Directors, continued focusing on sustainable development and strong performance of the Bank, while maintaining high standards in its corporate governance and conduct arrangements.</w:t>
      </w:r>
    </w:p>
    <w:p w14:paraId="188C5130" w14:textId="77777777" w:rsidR="00E91CFE" w:rsidRDefault="00000000">
      <w:r>
        <w:t>In this context the Board of Directors reviewed the Banks initiatives related to the Banks ESG Strategy and climate risk and respective disclosures.</w:t>
      </w:r>
    </w:p>
    <w:p w14:paraId="5A136E29" w14:textId="77777777" w:rsidR="00E91CFE" w:rsidRDefault="00000000">
      <w:r>
        <w:t>Promoting awareness at Board level concerning how the banking and broader financial sector landscape is evolving, ensuring updated knowledge of the factors that can affect the Banks long-term strategy, performance and position in the market and the perception stakeholders may have about the Bank including those related to on ESG and sustainability issues.</w:t>
      </w:r>
    </w:p>
    <w:p w14:paraId="3675FEED" w14:textId="77777777" w:rsidR="00E91CFE" w:rsidRDefault="00000000">
      <w:r>
        <w:t>Promoting out-of-the-box thinking, exploration and incubation of innovative ideas and practices including those related to ESG and sustainability issues.</w:t>
      </w:r>
    </w:p>
    <w:p w14:paraId="67C19061" w14:textId="77777777" w:rsidR="00E91CFE" w:rsidRDefault="00000000">
      <w:r>
        <w:lastRenderedPageBreak/>
        <w:t>During 2024, the Innovation and Sustainability Committee convened four times and its workings included among others the, Review of the Banks initiatives related to the Banks ESG Strategy.</w:t>
      </w:r>
    </w:p>
    <w:p w14:paraId="07CCC19E" w14:textId="77777777" w:rsidR="00E91CFE" w:rsidRDefault="00000000">
      <w:r>
        <w:t>Update on Digital AI legal and regulatory framework developments Digital Operational Resilience Act DORA and AI Act.</w:t>
      </w:r>
    </w:p>
    <w:p w14:paraId="552C7ED9" w14:textId="77777777" w:rsidR="00E91CFE" w:rsidRDefault="00000000">
      <w:r>
        <w:t>The Committee ensures that the Bank adheres to supervisory expectations and follows best practices in managing, monitoring, and mitigating C&amp;E risks, and aligning them with the overall risk management framework.</w:t>
      </w:r>
    </w:p>
    <w:p w14:paraId="270B2A5E" w14:textId="77777777" w:rsidR="00E91CFE" w:rsidRDefault="00000000">
      <w:r>
        <w:t>Effective oversight of risk frameworks, policies, governance and resources for managing, monitoring and mitigating risks the Bank and Group are exposed to including C&amp;E risks.</w:t>
      </w:r>
    </w:p>
    <w:p w14:paraId="72652253" w14:textId="77777777" w:rsidR="00E91CFE" w:rsidRDefault="00000000">
      <w:r>
        <w:t>During 2024, the BRC convened thirteen times and its workings included among others the, Oversight of the actions towards the enhancement of the Risk Management Framework in relation to ESG risks including, Sustainable Financing Framework and EU Taxonomy alignment, C&amp;E Reputational &amp; Litigation Risk Assessment framework &amp; methodologies, quantitative assessment &amp; stress-testing models and KRIs in the areas of Natural capitalEnvironmental Risk and Climate Physical Risk.</w:t>
      </w:r>
    </w:p>
    <w:p w14:paraId="2CE2C39D" w14:textId="77777777" w:rsidR="00E91CFE" w:rsidRDefault="00000000">
      <w:r>
        <w:t>Ongoing-monthly updates on Risk Management issues CRO Monthly Report, Quarterly C&amp;E internal Reporting, Monthly Recovery Plan Dashboards and ad hoc briefings on developments.</w:t>
      </w:r>
    </w:p>
    <w:p w14:paraId="12772273" w14:textId="77777777" w:rsidR="00E91CFE" w:rsidRDefault="00000000">
      <w:r>
        <w:t>Review and update of Risk Appetite Framework including enhancements in Risk Appetite Dashboard in line with regulatory expectations guidance ECB, SSM and best practices, changes in composition &amp; tiering of metrics in certain areas e.</w:t>
      </w:r>
    </w:p>
    <w:p w14:paraId="7F714308" w14:textId="77777777" w:rsidR="00E91CFE" w:rsidRDefault="00000000">
      <w:r>
        <w:t>Credit asset quality, ESG and Cyber security related KRIs etc.</w:t>
      </w:r>
    </w:p>
    <w:p w14:paraId="37257F05" w14:textId="77777777" w:rsidR="00E91CFE" w:rsidRDefault="00000000">
      <w:r>
        <w:t>The mandates of the Committee include, Ensuring adherence to the relevant regulatory framework for ESG and sustainability, including CSRD and the EU Taxonomy Regulation, taking into account international best practices.</w:t>
      </w:r>
    </w:p>
    <w:p w14:paraId="3486B90F" w14:textId="77777777" w:rsidR="00E91CFE" w:rsidRDefault="00000000">
      <w:r>
        <w:t>Determining the NBGs overall strategy regarding sustainability issues and overseeing its execution.</w:t>
      </w:r>
    </w:p>
    <w:p w14:paraId="2F7650E9" w14:textId="77777777" w:rsidR="00E91CFE" w:rsidRDefault="00000000">
      <w:r>
        <w:t>Deciding on ESG KPIs and sustainability targets, and monitoring and assessing NBGs performance against these KPIs and targets.</w:t>
      </w:r>
    </w:p>
    <w:p w14:paraId="690ADA07" w14:textId="77777777" w:rsidR="00E91CFE" w:rsidRDefault="00000000">
      <w:r>
        <w:t>Deciding on policies, initiatives and actions in relation to the management of NBGs impacts, risks and opportunities IROs in sustainability matters.</w:t>
      </w:r>
    </w:p>
    <w:p w14:paraId="605B2126" w14:textId="77777777" w:rsidR="00E91CFE" w:rsidRDefault="00000000">
      <w:r>
        <w:t>Within the 2nd line of defense of the Bank, the key functions responsible for monitoring, managing and overseeing ESG risks report to the General Manager Group Chief Risk Officer and the Assistant General Manager Group Strategic, ESG &amp; Operational Risk Management.</w:t>
      </w:r>
    </w:p>
    <w:p w14:paraId="23138A25" w14:textId="77777777" w:rsidR="00E91CFE" w:rsidRDefault="00000000">
      <w:r>
        <w:lastRenderedPageBreak/>
        <w:t>Moreover, the Data Privacy, Technology &amp; ESG Compliance Advisory Division and the Group Corporate Governance Division, both reporting to the General Manager Group Compliance &amp; Corporate Governance, are responsible for ESG matters from a compliance and corporate governance perspective.</w:t>
      </w:r>
    </w:p>
    <w:p w14:paraId="3FA77107" w14:textId="77777777" w:rsidR="00E91CFE" w:rsidRDefault="00000000">
      <w:r>
        <w:t>In addition to the ESG Management Committee, the Group Internal Audit function, as the Banks 3rd line of defense, audits procedures and practices relevant to ESG across the 1st and 2nd lines of defense.</w:t>
      </w:r>
    </w:p>
    <w:p w14:paraId="15A7ED3E" w14:textId="77777777" w:rsidR="00E91CFE" w:rsidRDefault="00000000">
      <w:r>
        <w:t>Both are aligned with the Groups Remuneration Policy, which explicitly includes provisions for the consideration of sustainability matters as part of remuneration.</w:t>
      </w:r>
    </w:p>
    <w:p w14:paraId="664512E0" w14:textId="77777777" w:rsidR="00E91CFE" w:rsidRDefault="00000000">
      <w:r>
        <w:t>Non-executive Board of Directors Members do not receive variable compensation, and they are not part of retirement plans, severance payment programs or performance incentives.</w:t>
      </w:r>
    </w:p>
    <w:p w14:paraId="02F213CA" w14:textId="77777777" w:rsidR="00E91CFE" w:rsidRDefault="00000000">
      <w:r>
        <w:t>Variable remuneration and incentive structures are based, inter alia, on the achievement of targets as evaluated through the annual Performance Management System process.</w:t>
      </w:r>
    </w:p>
    <w:p w14:paraId="1BEDDBE4" w14:textId="001C98FC" w:rsidR="00E91CFE" w:rsidRDefault="00000000">
      <w:r>
        <w:t>Sustainability related targets are gradually being introduced within NBGs PMS, ensuring consistency with sustainability strategy and objectives, and correspond to a weight of</w:t>
      </w:r>
      <w:r w:rsidR="00B03E16">
        <w:t xml:space="preserve"> </w:t>
      </w:r>
      <w:r>
        <w:t>15-20% of total targets, depending on the function.</w:t>
      </w:r>
    </w:p>
    <w:p w14:paraId="5E6EE768" w14:textId="21EE2348" w:rsidR="00E91CFE" w:rsidRDefault="00000000">
      <w:r>
        <w:t xml:space="preserve">For the Environmental pillar, targets are linked to the achievement of sustainability-related business opportunities, such as portfolio growth linked to the Green Pillar of the Recovery and Resilience Facility and Renewable Energy Resources financing in Corporate, as well as provision of green loans in Retail </w:t>
      </w:r>
      <w:r w:rsidR="00B03E16">
        <w:t>g</w:t>
      </w:r>
      <w:r>
        <w:t>reen mortgage and retrofit loans, green auto loans and green business loans.</w:t>
      </w:r>
    </w:p>
    <w:p w14:paraId="5FB05872" w14:textId="77777777" w:rsidR="00E91CFE" w:rsidRDefault="00000000">
      <w:r>
        <w:t>Further targets are derived from advancing NBGs C&amp;E strategy, which involves setting emissions targets for additional sectorsportfolios, developing transition plans, operationalizing NBGs Sustainable Finance Framework, integrating environmental and nature considerations into the Banks business strategy, reducing own emissions and strengthening sustainability risk management efforts.</w:t>
      </w:r>
    </w:p>
    <w:p w14:paraId="0B3DFB30" w14:textId="77777777" w:rsidR="00E91CFE" w:rsidRDefault="00000000">
      <w:r>
        <w:t>Across all ESG pillars, targets also include employee awareness campaigns and learning programs.</w:t>
      </w:r>
    </w:p>
    <w:p w14:paraId="63DA17E2" w14:textId="75A8BBB0" w:rsidR="00E91CFE" w:rsidRDefault="00000000">
      <w:r>
        <w:t>Incorporated ESG risksdrivers in the Risk Management Framework and implemented enhancements per primary risk area, as follows</w:t>
      </w:r>
      <w:r w:rsidR="0016346D">
        <w:t xml:space="preserve"> d</w:t>
      </w:r>
      <w:r>
        <w:t>eveloped a dedicated C&amp;E Risk Identification and Materiality Assessment, including, 1.</w:t>
      </w:r>
    </w:p>
    <w:p w14:paraId="40D322D3" w14:textId="77777777" w:rsidR="00E91CFE" w:rsidRDefault="00000000">
      <w:r>
        <w:t>Description of the methodological approach to identify C&amp;E risks and assess their materiality across portfoliossegments, regions and time horizons, with reference to the existing primary risk types.</w:t>
      </w:r>
    </w:p>
    <w:p w14:paraId="7EEBDDCD" w14:textId="77777777" w:rsidR="00E91CFE" w:rsidRDefault="00000000">
      <w:r>
        <w:lastRenderedPageBreak/>
        <w:t>The Environmental are distinct from the Social and Governance criteria, which are being combined for the purposes of the overall ESG Obligor assessment, under a approved scoring methodology.</w:t>
      </w:r>
    </w:p>
    <w:p w14:paraId="39A909EB" w14:textId="77777777" w:rsidR="00E91CFE" w:rsidRDefault="00000000">
      <w:r>
        <w:t>The year of 2030 is a milestone year of reference for decarbonization plans net-zero interim targets.</w:t>
      </w:r>
    </w:p>
    <w:p w14:paraId="24EE4D5F" w14:textId="77777777" w:rsidR="00E91CFE" w:rsidRDefault="00000000">
      <w:r>
        <w:t>International standards NBG follows a holistic approach to ensure compliance with evolving regulatory framework, fulfilment of the Banks commitment to the Principles for Responsible Banking PRB, and implementation of best practices across the organization.</w:t>
      </w:r>
    </w:p>
    <w:p w14:paraId="651AF68C" w14:textId="77777777" w:rsidR="00E91CFE" w:rsidRDefault="00000000">
      <w:r>
        <w:t>Some examples are, United Nations Global Compact Climate Action in Financial Institutions Initiative Carbon Disclosure Project Partnership for Carbon Accounting Financials Net Zero Banking Alliance .</w:t>
      </w:r>
    </w:p>
    <w:p w14:paraId="56714C2C" w14:textId="77777777" w:rsidR="00E91CFE" w:rsidRDefault="00000000">
      <w:r>
        <w:t>ESG Risk Management Framework is developed in alignment with international standards.</w:t>
      </w:r>
    </w:p>
    <w:p w14:paraId="538422BA" w14:textId="75DAE18A" w:rsidR="00E91CFE" w:rsidRDefault="00000000">
      <w:r>
        <w:t>Specifically, Loan Origination, Classification and Monitoring Process</w:t>
      </w:r>
      <w:r w:rsidR="00C334D9">
        <w:t xml:space="preserve"> </w:t>
      </w:r>
      <w:r>
        <w:t>ESG Obligor Assessment For the development of the ESG Obligor Assessment Questionnaires, the Bank leverages on regulatory guidelines, as well as widely accepted principles and standards, including, The Sustainability Accounting Standards Board materiality map The Global Reporting Initiative Standards The S&amp;P Global Sustainability Yearbook 2021 &amp; 2022 The Fitch Ratings Sector Specific Topics The MSCI materiality map European Financial Reporting Advisory Group Apart from the above, for certain sectors and based on availability, the following sector specific standards and guidelines were also used, IPIECA Sustainability reporting guidance for the oil and gas sector.</w:t>
      </w:r>
    </w:p>
    <w:p w14:paraId="0F35253F" w14:textId="77777777" w:rsidR="00E91CFE" w:rsidRDefault="00000000">
      <w:r>
        <w:t>Transition Refers to the financial or reputational impact that can result, directly or indirectly, from the process of adjustment towards a lower-carbon and more environmentally sustainable economy.</w:t>
      </w:r>
    </w:p>
    <w:p w14:paraId="04E2960A" w14:textId="77777777" w:rsidR="00E91CFE" w:rsidRDefault="00000000">
      <w:r>
        <w:t>In this context, C&amp;E risks have been incorporated in the overall Risk Management Framework and have been recognized, in the Risk Taxonomy framework, as transversal and drivers of existing types of financial and nonfinancial risks, in line with regulatory guidance and market best practices.</w:t>
      </w:r>
    </w:p>
    <w:p w14:paraId="03A2C14C" w14:textId="77777777" w:rsidR="00E91CFE" w:rsidRDefault="00000000">
      <w:r>
        <w:t>An advanced climate stress-testing framework, including methodologies with sufficiently prudent assumptions and robust tools, is implemented to assess climate transition and physical risks in order to inform strategic decision making and various elements of the risk management framework.</w:t>
      </w:r>
    </w:p>
    <w:p w14:paraId="15DE34EA" w14:textId="77777777" w:rsidR="00E91CFE" w:rsidRDefault="00000000">
      <w:r>
        <w:t>Moderate disruptions to economic activities are assumed, and companies reduce most emissions by 2040.</w:t>
      </w:r>
    </w:p>
    <w:p w14:paraId="08A0A03F" w14:textId="77777777" w:rsidR="00E91CFE" w:rsidRDefault="00000000">
      <w:r>
        <w:t>Disorderly scenario, The implementation of climate policies to prevent temperature increase is late not introduced until 2030, leading to economic disruption affecting business.</w:t>
      </w:r>
    </w:p>
    <w:p w14:paraId="15303CF3" w14:textId="77777777" w:rsidR="00E91CFE" w:rsidRDefault="00000000">
      <w:r>
        <w:lastRenderedPageBreak/>
        <w:t>In this scenario the key impacts are derived from the absence of additional policy actions against climate changerisks, leading to higher temperatures and extreme weather events which trigger sharp sectoral financial shocks and physical assets devaluation.</w:t>
      </w:r>
    </w:p>
    <w:p w14:paraId="769EE242" w14:textId="77777777" w:rsidR="00E91CFE" w:rsidRDefault="00000000">
      <w:r>
        <w:t>Specifically, for collateralized portfolios RRE and CRE, NBG applies a comprehensive framework for quantifying the physical risk impacts from climate change on the value of real estate properties, using granular location data geolocations per exposure and climate hazard projections up until 2090 as available by the underlying climate scenarios.</w:t>
      </w:r>
    </w:p>
    <w:p w14:paraId="485AEFB8" w14:textId="77777777" w:rsidR="00E91CFE" w:rsidRDefault="00000000">
      <w:r>
        <w:t>NBG has also conducted an exploratory stress testing approach in order to analyze and quantify the financial impact stress stemming from the Environmental Transition risk.</w:t>
      </w:r>
    </w:p>
    <w:p w14:paraId="63AB3557" w14:textId="77777777" w:rsidR="00E91CFE" w:rsidRDefault="00000000">
      <w:r>
        <w:t>Qualitative assessment of market positioning and reputational impacts from strategic risk perspective, negative reputational impacts stemming from C&amp;E risks may arise, due to the Bank's business model being misaligned with evolving environmental and sustainability expectations, leading to negative public perception andor due to lending or investment practices perceived as contributing to environmental degradation.</w:t>
      </w:r>
    </w:p>
    <w:p w14:paraId="3A2A4018" w14:textId="77777777" w:rsidR="00E91CFE" w:rsidRDefault="00000000">
      <w:r>
        <w:t>These examine the counterpartys activity sector, the existence of strategies, disclosures and targets, the prevailing jurisdiction, any available sustainability ratings and any Environmental past incidents.</w:t>
      </w:r>
    </w:p>
    <w:p w14:paraId="01E9AB5E" w14:textId="77777777" w:rsidR="00E91CFE" w:rsidRDefault="00000000">
      <w:r>
        <w:t>Furthermore, the Framework addresses C&amp;E reputational and litigation risks stemming from NBGs own operations, in alignment with the Operational Risk Management Framework.</w:t>
      </w:r>
    </w:p>
    <w:p w14:paraId="7C5FF608" w14:textId="77777777" w:rsidR="00E91CFE" w:rsidRDefault="00000000">
      <w:r>
        <w:t>Actions address both the downside risks aiming to minimize the impact of significant risk sources and the opportunities aiming to promote Sustainability objectives, hence maximize positive impacts which offset the adverse effects of C&amp;E risks.</w:t>
      </w:r>
    </w:p>
    <w:p w14:paraId="086E9CA7" w14:textId="32296D8A" w:rsidR="00E91CFE" w:rsidRDefault="00000000">
      <w:r>
        <w:t xml:space="preserve">This </w:t>
      </w:r>
      <w:proofErr w:type="spellStart"/>
      <w:proofErr w:type="gramStart"/>
      <w:r>
        <w:t>involves,Setting</w:t>
      </w:r>
      <w:proofErr w:type="spellEnd"/>
      <w:proofErr w:type="gramEnd"/>
      <w:r>
        <w:t xml:space="preserve"> strategic goals in relation to NBGs C&amp;E profile, focusing as a priority on the carbon footprint ambition own and financed GHG emissions, the measurement and assessment of current state of financed emissions being followed by forward-looking targets and KPIs, being part of the strategic plan.</w:t>
      </w:r>
    </w:p>
    <w:p w14:paraId="167C73EF" w14:textId="77777777" w:rsidR="00E91CFE" w:rsidRDefault="00000000">
      <w:r>
        <w:t>Transparency and disclosure initiatives, Communicating Net Zero Targets for 2030 and adhering to relevant disclosure requirements.</w:t>
      </w:r>
    </w:p>
    <w:p w14:paraId="3F785351" w14:textId="77777777" w:rsidR="00E91CFE" w:rsidRDefault="00000000">
      <w:r>
        <w:t>Policies NBG Group Sustainability Policy Aware of the significance of NBGs role in fostering sustainable development, the purpose of the NBG Group Sustainability Policy is to set the framework for the development of actions that assist in the management of among others climate change related impacts of the Bank and the Group.</w:t>
      </w:r>
    </w:p>
    <w:p w14:paraId="06212CCF" w14:textId="77777777" w:rsidR="00E91CFE" w:rsidRDefault="00000000">
      <w:r>
        <w:t>Such actions aim to contribute to reducing and, where possible to, offsetting climate change impacts that arise from the financing of NBGs clients' activities, as well as from the operation of NBG itself including energy consumption in its own buildings.</w:t>
      </w:r>
    </w:p>
    <w:p w14:paraId="41C0C7A2" w14:textId="77777777" w:rsidR="00E91CFE" w:rsidRDefault="00000000">
      <w:r>
        <w:lastRenderedPageBreak/>
        <w:t>According to this NBG Group Sustainability Policy, the Groups commitments focus on its role as a financier and advisor in the transition effort to a net zero economy, which is more cyclical and depends less on natural resources.</w:t>
      </w:r>
    </w:p>
    <w:p w14:paraId="1BB761CD" w14:textId="77777777" w:rsidR="00E91CFE" w:rsidRDefault="00000000">
      <w:r>
        <w:t>More information on NBGs Group Sustainability Policy can be found in NBGs 2024 Annual Report Sustainability Statement section E1-2 Policies related to climate change mitigation and adaptation .</w:t>
      </w:r>
    </w:p>
    <w:p w14:paraId="652FC80B" w14:textId="77777777" w:rsidR="00E91CFE" w:rsidRDefault="00000000">
      <w:r>
        <w:t>The SFF is expected to facilitate effective monitoring and accurate reporting of the Banks performance against its sustainable finance targets and to serve as a mechanism for the expansion of sustainable funding to its clients.</w:t>
      </w:r>
    </w:p>
    <w:p w14:paraId="751A2E47" w14:textId="77777777" w:rsidR="00E91CFE" w:rsidRDefault="00000000">
      <w:r>
        <w:t>The SFF is subject to periodic review and may be updated to reflect evolving market conditions and best practices, as well as developments in regulatory requirements and guidelines.</w:t>
      </w:r>
    </w:p>
    <w:p w14:paraId="086E434C" w14:textId="77777777" w:rsidR="00E91CFE" w:rsidRDefault="00000000">
      <w:r>
        <w:t>The SBF builds on the eligibility criteria previously used in NBGs Green Bond Framework, expands its applicability to additional green and new social eligible categories, and further aligns with the latest market best practices in the fast-evolving field of sustainable financing and investing.</w:t>
      </w:r>
    </w:p>
    <w:p w14:paraId="0918647F" w14:textId="77777777" w:rsidR="00E91CFE" w:rsidRDefault="00000000">
      <w:r>
        <w:t>The SBF is subject to review and may be updated, aswhen needed, to reflect market developments, emerging good practices, or forthcoming regulatory requirements and guidelines.</w:t>
      </w:r>
    </w:p>
    <w:p w14:paraId="07D42439" w14:textId="77777777" w:rsidR="00E91CFE" w:rsidRDefault="00000000">
      <w:r>
        <w:t>Credit Policy NBG has incorporated in its lending policies and processes the assessment of ESG risks of its Corporate borrowers, with climate being a prominent component of the environmental pillar.</w:t>
      </w:r>
    </w:p>
    <w:p w14:paraId="707E4824" w14:textId="77777777" w:rsidR="00E91CFE" w:rsidRDefault="00000000">
      <w:r>
        <w:t>These policy actions relate to credit risk classification, loan pricing, frequency of ESG Obligor Assessment and requirement for obligors respective action plans, to mitigate ESG risks, including those related to climate.</w:t>
      </w:r>
    </w:p>
    <w:p w14:paraId="37A27814" w14:textId="77777777" w:rsidR="00E91CFE" w:rsidRDefault="00000000">
      <w:r>
        <w:t>In addition, NBG has a C&amp;E dedicated exclusion list, which covers activities bearing negative impact, including with respect to climate.</w:t>
      </w:r>
    </w:p>
    <w:p w14:paraId="6EE5596D" w14:textId="77777777" w:rsidR="00E91CFE" w:rsidRDefault="00000000">
      <w:r>
        <w:t>The integration of C&amp;E risks in the Banks Stress Testing Framework, enables the Bank to inform strategic decisionmaking and various elements of the Risk Management Framework, such as the identification and materiality assessment of C&amp;E risks in different time horizons.</w:t>
      </w:r>
    </w:p>
    <w:p w14:paraId="6FA49358" w14:textId="77777777" w:rsidR="00E91CFE" w:rsidRDefault="00000000">
      <w:r>
        <w:t>Specifically, variable remuneration is supported by the annual Performance Management System process, including ESG objectives.</w:t>
      </w:r>
    </w:p>
    <w:p w14:paraId="17B594A0" w14:textId="77777777" w:rsidR="00E91CFE" w:rsidRDefault="00000000">
      <w:r>
        <w:t>The following table summarises the C&amp;E RIMA outcome, Capital assessment In the context of NBGs Frameworks on ICAAPILAAP, the Group assessed the potential impacts of C&amp;E risks, arising from climate and environmental changes transition and physical risk factors stemming from its own operations and counterparties.</w:t>
      </w:r>
    </w:p>
    <w:p w14:paraId="2C138921" w14:textId="77777777" w:rsidR="00E91CFE" w:rsidRDefault="00000000">
      <w:r>
        <w:lastRenderedPageBreak/>
        <w:t>Ιn that regard, NBG is currently implementing a centralized ESG Reporting architecture aiming at ramping up NBGs ESG reporting capabilities and data collection and governance process.</w:t>
      </w:r>
    </w:p>
    <w:p w14:paraId="04808A03" w14:textId="77777777" w:rsidR="00E91CFE" w:rsidRDefault="00000000">
      <w:r>
        <w:t>Specifically, NBG has included in its RAF ESG-related KRIs, considering the following, NBGs membership in the Net-Zero Banking Alliance and commitment to interim Net Zero Targets for 2030.</w:t>
      </w:r>
    </w:p>
    <w:p w14:paraId="523B5275" w14:textId="77777777" w:rsidR="00E91CFE" w:rsidRDefault="00000000">
      <w:r>
        <w:t>Dedicated RAF metrics were introduced for the execution risk of meeting these commitments, with a forward-looking view.</w:t>
      </w:r>
    </w:p>
    <w:p w14:paraId="00712D4B" w14:textId="0AEDAB0D" w:rsidR="00E91CFE" w:rsidRDefault="00000000">
      <w:r>
        <w:t xml:space="preserve">Specifically, these metrics cover climate transition and physical risk, as well as environmental risk </w:t>
      </w:r>
      <w:r w:rsidR="003500D4">
        <w:t>c</w:t>
      </w:r>
      <w:r>
        <w:t>oncentration of exposures in sectors bearing elevated transition risk, concentration of sustainable exposures, insurance physical risk coverage, quantitative impact on nature.</w:t>
      </w:r>
    </w:p>
    <w:p w14:paraId="10E34933" w14:textId="77777777" w:rsidR="00E91CFE" w:rsidRDefault="00000000">
      <w:r>
        <w:t>Corporate Oil &amp; Gas sector financed emissions NBG has announced targets for 2030 for reduction of financed emissions to Oil &amp; Gas sector absolute FEs.</w:t>
      </w:r>
    </w:p>
    <w:p w14:paraId="7A7BF0C8" w14:textId="77777777" w:rsidR="00E91CFE" w:rsidRDefault="00000000">
      <w:r>
        <w:t>Regarding Climate transition risks, in accordance with the scientific literature and regulatory guidance, NBG acknowledges that transition risks are inherently associated with uncertain financial andor reputational impacts that could result from transition to a low-carbon economy, including policy changes,new legislation, technological breakthroughs and shifts in market preferences and norms.</w:t>
      </w:r>
    </w:p>
    <w:p w14:paraId="7FD12A64" w14:textId="77777777" w:rsidR="00E91CFE" w:rsidRDefault="00000000">
      <w:r>
        <w:t>Policy and legal, Policy actions relating to climate change aim either to constrain activities that contribute to the adverse effects of climate change, or to promote the adaptation to climate change for example, the introduction of carbon-pricing mechanisms in order to reduce GHG emissions.</w:t>
      </w:r>
    </w:p>
    <w:p w14:paraId="16543EFC" w14:textId="77777777" w:rsidR="00E91CFE" w:rsidRDefault="00000000">
      <w:r>
        <w:t>Litigation or reputational risk in relation to transition refer to potential failure to mitigate impacts of climate change, or failure to adapt to climate change, and the insufficiency of disclosure around material financial risks.</w:t>
      </w:r>
    </w:p>
    <w:p w14:paraId="3900F861" w14:textId="77777777" w:rsidR="00E91CFE" w:rsidRDefault="00000000">
      <w:r>
        <w:t>Technological developments, The ability to implement technological improvements or innovations that support the transition to a lower-carbon and energy-efficient economic system may have significant financial impact, to the extent that new technology displaces old systems and disrupts parts of the existing economic system for example, emerging technologies may affect the operating costs of enterprises, the demand for products and services and ultimately their competitiveness.</w:t>
      </w:r>
    </w:p>
    <w:p w14:paraId="754568DE" w14:textId="77777777" w:rsidR="00E91CFE" w:rsidRDefault="00000000">
      <w:r>
        <w:t>In the longer term, credit risk may be influenced by business realignment of borrowers to comply with evolving regulations orand reassessment of the Bank's portfolio to align with regulatory goals over an extended period.</w:t>
      </w:r>
    </w:p>
    <w:p w14:paraId="40557039" w14:textId="2FDEC4C6" w:rsidR="00E91CFE" w:rsidRDefault="00000000">
      <w:r>
        <w:t xml:space="preserve">In the longer term, strategic risk may be influenced by strategic realignment in response to evolving regulations </w:t>
      </w:r>
      <w:r w:rsidR="00D06579">
        <w:t>s</w:t>
      </w:r>
      <w:r>
        <w:t xml:space="preserve">hifting financing away from carbon-intensive industries towards </w:t>
      </w:r>
      <w:r>
        <w:lastRenderedPageBreak/>
        <w:t>sustainable projects andor reassessment of the portfolio to align with long-term regulatory goals.</w:t>
      </w:r>
    </w:p>
    <w:p w14:paraId="28BF0198" w14:textId="77777777" w:rsidR="00E91CFE" w:rsidRDefault="00000000">
      <w:r>
        <w:t>In the longer term, market risk can be impacted from business realignment of industries in response to evolving regulations, affecting stock valuations and market dynamics orand by reassessment of industries in terms of regulatory goals, affecting long-term stock valuations.</w:t>
      </w:r>
    </w:p>
    <w:p w14:paraId="42ACE841" w14:textId="77777777" w:rsidR="00E91CFE" w:rsidRDefault="00000000">
      <w:r>
        <w:t>In the longer term, financial and reputational implications could be triggered due to the sustainability profile of borrowers affecting the Banks achievement of its mediumterm financed emissions targets.</w:t>
      </w:r>
    </w:p>
    <w:p w14:paraId="7E56DCC0" w14:textId="77777777" w:rsidR="00E91CFE" w:rsidRDefault="00000000">
      <w:r>
        <w:t>A potential failure to meet long-term climate targets can erode brand value, impacting on the overall strategic standing in the market.</w:t>
      </w:r>
    </w:p>
    <w:p w14:paraId="655FBB77" w14:textId="77777777" w:rsidR="00E91CFE" w:rsidRDefault="00000000">
      <w:r>
        <w:t>Furthermore, the sustainability of the Bank's long-term market position might include increased costs for a comprehensive branding strategy, while also potential failure to evaluate other actions timely, such as partnerships with green technology companies, could affect the Banks competitiveness.</w:t>
      </w:r>
    </w:p>
    <w:p w14:paraId="24A7BEE4" w14:textId="77777777" w:rsidR="00E91CFE" w:rsidRDefault="00000000">
      <w:r>
        <w:t>Pillar III Disclosures on a consolidated basis December 31, 2024 ESG RISKS 104 Regarding Climate physical risk the mapping of risk drivers to risk type through tansimission channels is depicted in the following table, For assessing environmental risks associated with its financed activities, NBG focuses on their dependency on ecosystem services and their impacts on nature, according to the below rationale, Environmental Physical risks stem from the dependencies of industries of economy on ecosystem, either directly or via supply chains.</w:t>
      </w:r>
    </w:p>
    <w:p w14:paraId="5252F191" w14:textId="77777777" w:rsidR="00E91CFE" w:rsidRDefault="00000000">
      <w:r>
        <w:t>Environmental Transition risks stem from the impact that industries of economy have on nature and from the fact that they may be unable to comply with measures taken to protect the environment.</w:t>
      </w:r>
    </w:p>
    <w:p w14:paraId="530A1F1E" w14:textId="77777777" w:rsidR="00E91CFE" w:rsidRDefault="00000000">
      <w:r>
        <w:t>The Banks exposure to sectors that severely impact the elements of nature may signal increased financial risks under severe environmental conditions.</w:t>
      </w:r>
    </w:p>
    <w:p w14:paraId="46589AC3" w14:textId="77777777" w:rsidR="00E91CFE" w:rsidRDefault="00000000">
      <w:r>
        <w:t>Pillar III Disclosures on a consolidated basis December 31, 2024 ESG RISKS 105, Environmental risk transmission channels Risk Risk Driver Transmission channels Affected Primary Risk Types Description and Potential Impact, Environmental risk Nature-related dependencies degradation of ecosystem services Increased costs to address damages or losses caused by environmental degradation or increases in raw material prices or destruction of physical capital or due to relocation of activities.</w:t>
      </w:r>
    </w:p>
    <w:p w14:paraId="50361503" w14:textId="77777777" w:rsidR="00E91CFE" w:rsidRDefault="00000000">
      <w:r>
        <w:t>Nature-related impacts Policy &amp; Legal, Technological developments, Market sentiment Increased operating andor research andor development costs.</w:t>
      </w:r>
    </w:p>
    <w:p w14:paraId="45D0FCB1" w14:textId="77777777" w:rsidR="00E91CFE" w:rsidRDefault="00000000">
      <w:r>
        <w:lastRenderedPageBreak/>
        <w:t>In the longer term, strategic risk may be influenced by strategic realignment in response to evolving regulations andor reassessment of the portfolio to align with long-term regulatory goals.</w:t>
      </w:r>
    </w:p>
    <w:p w14:paraId="7D7ADBA7" w14:textId="77777777" w:rsidR="00E91CFE" w:rsidRDefault="00000000">
      <w:r>
        <w:t>Pillar III Disclosures on a consolidated basis December 31, 2024 ESG RISKS 106 Qualitative information on Social Risk NBG recognizes the importance of managing effectively the social risks stemming from its operations to ensure a responsible and sustainable business model.</w:t>
      </w:r>
    </w:p>
    <w:p w14:paraId="6D498F33" w14:textId="77777777" w:rsidR="00E91CFE" w:rsidRDefault="00000000">
      <w:r>
        <w:t>Moreover, to better account on social issues NBG has taken actions to shape its business model, strategy and processes.</w:t>
      </w:r>
    </w:p>
    <w:p w14:paraId="3A078932" w14:textId="77777777" w:rsidR="00E91CFE" w:rsidRDefault="00000000">
      <w:r>
        <w:t>This is reflected also by the Banks commitment to voluntary initiatives such as the United Nations Environment Programme Finance Initiative Principles for Responsible Banking UNEP FI PRB and its commitment to working towards the achievement of the UN Sustainable Development Goals SDGs and the Paris Climate Agreement targets, which aim at the realization of, interalia, social goals at a global scale.</w:t>
      </w:r>
    </w:p>
    <w:p w14:paraId="4E270BC5" w14:textId="77777777" w:rsidR="00E91CFE" w:rsidRDefault="00000000">
      <w:r>
        <w:t>These themes stem from and reflect the four core values that characterize NBG Human, Trustworthy, Responsive, Growth Catalyst, align with selected UNs Sustainable Development Goals SDGs, and complement NBGs overall business strategy and transformation.</w:t>
      </w:r>
    </w:p>
    <w:p w14:paraId="4AFB5EC8" w14:textId="77777777" w:rsidR="00E91CFE" w:rsidRDefault="00000000">
      <w:r>
        <w:t>In specific, our Social strategic themes are, Champion diversity &amp; inclusion Enable public health &amp; well-being Promote Greek heritage, culture &amp; creativity Foster entrepreneurship &amp; innovation Support prosperity through learning &amp; digital literacy As described in the Sustainability Statement included in the 2024 Annual Report, NBG focuses its social strategy on the issues that have been found material based on its Double Materiality Analysis .</w:t>
      </w:r>
    </w:p>
    <w:p w14:paraId="286FECCF" w14:textId="77777777" w:rsidR="00E91CFE" w:rsidRDefault="00000000">
      <w:r>
        <w:t>This unwavering commitment cultivates trust, instils confidence, enhances the overall quality of life for employees and promotes the Groups reputation as a socially responsible organization.</w:t>
      </w:r>
    </w:p>
    <w:p w14:paraId="68DC85FB" w14:textId="77777777" w:rsidR="00E91CFE" w:rsidRDefault="00000000">
      <w:r>
        <w:t>Moreover, NBGs remuneration provides for salary increases based on social characteristics, such as marital status or number of children, in addition to meritbased base salary increases as well as performance-related variable pay, thus ensuring not only a competitive and comprehensive compensation framework, but also a socially responsible one.</w:t>
      </w:r>
    </w:p>
    <w:p w14:paraId="6F0CE4A5" w14:textId="77777777" w:rsidR="00E91CFE" w:rsidRDefault="00000000">
      <w:r>
        <w:t>In addition to these flagship programs, NBG rolled out impactful talent development initiatives, including mentoring and coaching, providing personalized growth opportunities to high-potential employees.</w:t>
      </w:r>
    </w:p>
    <w:p w14:paraId="5CAC6E73" w14:textId="77777777" w:rsidR="00E91CFE" w:rsidRDefault="00000000">
      <w:r>
        <w:t>These initiatives benefit and empower employees across all levels, from subject-matter experts to senior leaders, equipping them with the necessary skills to thrive in an ever-evolving Pillar III Disclosures on a consolidated basis December 31, 2024 ESG RISKS 107 marketplace.</w:t>
      </w:r>
    </w:p>
    <w:p w14:paraId="5E1609D1" w14:textId="77777777" w:rsidR="00E91CFE" w:rsidRDefault="00000000">
      <w:r>
        <w:lastRenderedPageBreak/>
        <w:t>Through its comprehensive approach, NBG ensures its workforce remains adaptable, forward-thinking, and primed for success in the future, positively impacting employees across all regions where the Bank operates.</w:t>
      </w:r>
    </w:p>
    <w:p w14:paraId="0E83812D" w14:textId="77777777" w:rsidR="00E91CFE" w:rsidRDefault="00000000">
      <w:r>
        <w:t>NBG is firmly committed to upholding the highest standards for the protection of data privacy and personal data.</w:t>
      </w:r>
    </w:p>
    <w:p w14:paraId="65FF648D" w14:textId="77777777" w:rsidR="00E91CFE" w:rsidRDefault="00000000">
      <w:r>
        <w:t>This commitment extends to ensuring full compliance by the Group with the relevant legislative and regulatory frameworks in general, on the protection of individuals regarding the processing of their personal data.</w:t>
      </w:r>
    </w:p>
    <w:p w14:paraId="11C160D3" w14:textId="77777777" w:rsidR="00E91CFE" w:rsidRDefault="00000000">
      <w:r>
        <w:t>NBG and its subsidiaries collect and manage the necessary specific information, which concerns employees, shareholders, customers with whom they maintain any kind of business relationship, and third parties in the context of any relationship other than those mentioned above.</w:t>
      </w:r>
    </w:p>
    <w:p w14:paraId="42AC2BD6" w14:textId="77777777" w:rsidR="00E91CFE" w:rsidRDefault="00000000">
      <w:r>
        <w:t>This information, containing personal data, is managed in a lawful manner, regardless of the means of collection or storage, while ensuring compliance with the current legislative and regulatory framework and the relevant provisions for confidentiality.</w:t>
      </w:r>
    </w:p>
    <w:p w14:paraId="621A7886" w14:textId="77777777" w:rsidR="00E91CFE" w:rsidRDefault="00000000">
      <w:r>
        <w:t>The Policy applies to all employees and members of the Board of Directors of the Bank and Group companies, as well as to all third parties that provide services to the Group or in the name and on behalf of the Group including partners, intermediaries, agents and any other persons who cooperate with the Group under outsourcing agreements or otherwise.</w:t>
      </w:r>
    </w:p>
    <w:p w14:paraId="2C8E86F8" w14:textId="77777777" w:rsidR="00E91CFE" w:rsidRDefault="00000000">
      <w:r>
        <w:t>NBG offers a wide range of products and services throughout the digital customer journey, from digital onboarding to digital value-added services and tools that boost client engagement, to sales of digital products that meet personalized client ❖ Empowerment of households in their financial decisions As part of its social strategy and with a focus on financial literacy, NBG, in partnership with third parties, launched the ENNOIA Initiative in 2024.</w:t>
      </w:r>
    </w:p>
    <w:p w14:paraId="72DCAD36" w14:textId="77777777" w:rsidR="00E91CFE" w:rsidRDefault="00000000">
      <w:r>
        <w:t>The Community Hub will promote the transfer of knowledge and solutions related to financial education and household financial decisions through a dedicated website, conferences, and other information actions.</w:t>
      </w:r>
    </w:p>
    <w:p w14:paraId="16EDD7A5" w14:textId="77777777" w:rsidR="00E91CFE" w:rsidRDefault="00000000">
      <w:r>
        <w:t>ENNOIA is the first flagship initiative demonstrating NBGs strong commitment to support and promote financial education and inclusion as part of its overall social strategy.</w:t>
      </w:r>
    </w:p>
    <w:p w14:paraId="3D76A57D" w14:textId="77777777" w:rsidR="00E91CFE" w:rsidRDefault="00000000">
      <w:r>
        <w:t>For more information regarding NBG business strategy in relation to social risks and factors, please refer to NBGs Annual Financial Report for the Group and the Bank 31.</w:t>
      </w:r>
    </w:p>
    <w:p w14:paraId="0BB7905E" w14:textId="77777777" w:rsidR="00E91CFE" w:rsidRDefault="00000000">
      <w:r>
        <w:t>Additionally, NBG is committed to enabling financial inclusion through products with a positive social impact, including for the youth segment, in which NBG places strategic focus.</w:t>
      </w:r>
    </w:p>
    <w:p w14:paraId="1C2A2577" w14:textId="77777777" w:rsidR="00E91CFE" w:rsidRDefault="00000000">
      <w:r>
        <w:t xml:space="preserve">Own workforce Moreover, NBG calculates several key metrics to evaluate its performance and effectiveness in relation to its material impacts on its own workforceand specifically, </w:t>
      </w:r>
      <w:r>
        <w:lastRenderedPageBreak/>
        <w:t>Secure employment, The Group monitors whether all its employees are covered by social protection, through public programs or through benefits offered by it, against loss of income due to any major life events, including, sickness, unemployment starting from when the own worker is working for the undertaking, employment injury and acquired disability, parental leave, retirement.</w:t>
      </w:r>
    </w:p>
    <w:p w14:paraId="17EC0C5E" w14:textId="77777777" w:rsidR="00E91CFE" w:rsidRDefault="00000000">
      <w:r>
        <w:t>Training and skills development, The Group monitors the following metrics regarding training and skills development, the percentage of employees that participated in regular performance and career development reviews, broken down by gender and employee category the average number of training hours per employee broken down by gender and employee category Regarding targets for Training, an annual training budget of over €5 million is committed in order to provide employees with a wide range of training and skills developments programs.</w:t>
      </w:r>
    </w:p>
    <w:p w14:paraId="55A32639" w14:textId="77777777" w:rsidR="00E91CFE" w:rsidRDefault="00000000">
      <w:r>
        <w:t>Lastly, for the area of ESG, all employees are provided with ESG awareness training especially focused on climate risks and the transition to a greener economy, while more specialized programs have been designed and are offered for respective roles.</w:t>
      </w:r>
    </w:p>
    <w:p w14:paraId="6EFE3BC2" w14:textId="77777777" w:rsidR="00E91CFE" w:rsidRDefault="00000000">
      <w:r>
        <w:t>In this context NBG has adopted a comprehensive list of Policies and Regulations for managing material social impacts and risks related to its operations as well as its counterparties, in alignment with the applicable Greek and EU legal and regulatory framework and best practices.</w:t>
      </w:r>
    </w:p>
    <w:p w14:paraId="2A4786A0" w14:textId="77777777" w:rsidR="00E91CFE" w:rsidRDefault="00000000">
      <w:r>
        <w:t>In this context, the Board of Directors of each Group subsidiary is responsible for the adoption of relevant Policies, appropriately adjusted to the nature, scope and complexity of their activities, considering the applicable regulatory framework of their country of operation.</w:t>
      </w:r>
    </w:p>
    <w:p w14:paraId="1504796D" w14:textId="77777777" w:rsidR="00E91CFE" w:rsidRDefault="00000000">
      <w:r>
        <w:t>In this context, and in alignment with the principle of proportionality, NBG has adopted an ESG governance framework appropriate to the Banks current risk profile, business model and size, internal organization structure and the nature and complexity of its activities as well.</w:t>
      </w:r>
    </w:p>
    <w:p w14:paraId="67B30125" w14:textId="77777777" w:rsidR="00E91CFE" w:rsidRDefault="00000000">
      <w:r>
        <w:t>The Board and its Committees provide the necessary oversight across all ESG matters while ensuring that material environmental and social considerations are addressed in the Banks public disclosures.</w:t>
      </w:r>
    </w:p>
    <w:p w14:paraId="593FCB45" w14:textId="77777777" w:rsidR="00E91CFE" w:rsidRDefault="00000000">
      <w:r>
        <w:t>More specifically its responsibilities include, Oversight of Policies the NBG adopts in compliance with the regulatory framework and best practices incl.</w:t>
      </w:r>
    </w:p>
    <w:p w14:paraId="7F66064E" w14:textId="77777777" w:rsidR="00E91CFE" w:rsidRDefault="00000000">
      <w:r>
        <w:t>Establishes and continuously monitors the implementation of the Whistleblowing Policy, ensuring confidentiality and secrecy of comments received.</w:t>
      </w:r>
    </w:p>
    <w:p w14:paraId="080CE24A" w14:textId="77777777" w:rsidR="00E91CFE" w:rsidRDefault="00000000">
      <w:r>
        <w:t xml:space="preserve">During 2024, the Compliance, Ethics and Culture Committee convened twelve times and its workings included among others, Review of compliance reports such as the Annual Compliance and Governance Report, the AMLCFT Annual Report, Report over the suitability </w:t>
      </w:r>
      <w:r>
        <w:lastRenderedPageBreak/>
        <w:t>of measures taken by the Bank as regards safeguarding of financial instruments and clients funds as well as the use of clients financial instruments-MiFID II Law no.</w:t>
      </w:r>
    </w:p>
    <w:p w14:paraId="6CF4B7A0" w14:textId="7AD10DAC" w:rsidR="00E91CFE" w:rsidRDefault="00000000">
      <w:r>
        <w:t xml:space="preserve">Oversight of Ethical Conduct Framework and Bank initiatives on raising awareness on misconduct </w:t>
      </w:r>
      <w:proofErr w:type="spellStart"/>
      <w:r>
        <w:t>behaviours</w:t>
      </w:r>
      <w:proofErr w:type="spellEnd"/>
      <w:r>
        <w:t xml:space="preserve"> </w:t>
      </w:r>
      <w:r w:rsidR="00D06579">
        <w:t>w</w:t>
      </w:r>
      <w:r>
        <w:t>histleblowing training program, Code of Ethics Monitoring Project.</w:t>
      </w:r>
    </w:p>
    <w:p w14:paraId="03357854" w14:textId="77777777" w:rsidR="00E91CFE" w:rsidRDefault="00000000">
      <w:r>
        <w:t>Oversight of Group Compliance Risk Governance and Monitoring Activity Plan.</w:t>
      </w:r>
    </w:p>
    <w:p w14:paraId="3555E417" w14:textId="77777777" w:rsidR="00E91CFE" w:rsidRDefault="00000000">
      <w:r>
        <w:t>In particular, the Committee ensures the adoption on behalf of the Bank of a clear, well documented and transparent remuneration policy, which shall be consistent with the Banks values, culture, business strategy, ESG strategy, risk profile andrisk appetite, shall not encourage excessive and short-term risk-taking, shall promote sustainability and ethical behavior and shall be gender neutral and support equal treatment.</w:t>
      </w:r>
    </w:p>
    <w:p w14:paraId="3B1C1B54" w14:textId="77777777" w:rsidR="00E91CFE" w:rsidRDefault="00000000">
      <w:r>
        <w:t>Where periodic reviews reveal that the remuneration policies do not operate as intended or prescribed or where recommendations are made, the HRRC shall ensure that a remedial action plan is proposed, approved and timeously implemented.</w:t>
      </w:r>
    </w:p>
    <w:p w14:paraId="40512F3F" w14:textId="77777777" w:rsidR="00E91CFE" w:rsidRDefault="00000000">
      <w:r>
        <w:t>To this end, the Committee shall receive information on Internal Audit findings that may be relevant to the appropriate implementation of the Remuneration Policy which the Bank applies.</w:t>
      </w:r>
    </w:p>
    <w:p w14:paraId="058E538A" w14:textId="77777777" w:rsidR="00E91CFE" w:rsidRDefault="00000000">
      <w:r>
        <w:t>Review of the 2023 Human Resources Masterplan and of the 2024 HR Masterplan priorities and focus areas, as well as oversight of important initiatives included within the HR Masterplan.</w:t>
      </w:r>
    </w:p>
    <w:p w14:paraId="40278BD5" w14:textId="77777777" w:rsidR="00E91CFE" w:rsidRDefault="00000000">
      <w:r>
        <w:t>Moreover, NBG has established a robust risk assessment and internal control process that encompasses all aspects of sustainability reporting, based on a three lines of defense model.</w:t>
      </w:r>
    </w:p>
    <w:p w14:paraId="482C34C8" w14:textId="77777777" w:rsidR="00E91CFE" w:rsidRDefault="00000000">
      <w:r>
        <w:t>For detailed information on the Boards and its Committees oversight on ESG matters, please also refer to Qualitative information on Environmental risk, section Governance.</w:t>
      </w:r>
    </w:p>
    <w:p w14:paraId="62F1C4A8" w14:textId="77777777" w:rsidR="00E91CFE" w:rsidRDefault="00000000">
      <w:r>
        <w:t>ESG-related targets and Key Performance Indicators KPIs are gradually being introduced within NBGs PMS, ensuring consistency with sustainability strategy and objectives.</w:t>
      </w:r>
    </w:p>
    <w:p w14:paraId="70123F5D" w14:textId="77777777" w:rsidR="00E91CFE" w:rsidRDefault="00000000">
      <w:r>
        <w:t>Both are aligned with the Group Remuneration Policy, which explicitly includes provisions for the consideration of sustainability issues as part of remuneration.</w:t>
      </w:r>
    </w:p>
    <w:p w14:paraId="0715C6EE" w14:textId="77777777" w:rsidR="00E91CFE" w:rsidRDefault="00000000">
      <w:r>
        <w:t>For more information in relation to the alignment of the remuneration policy with institution's social risk-related objectives, please refer to NBGs Annual Financial Report for the Group and the Bank 31.</w:t>
      </w:r>
    </w:p>
    <w:p w14:paraId="697D3A67" w14:textId="77777777" w:rsidR="00E91CFE" w:rsidRDefault="00000000">
      <w:r>
        <w:t>Moreover, NBG aims to also implement in the future processes and mechanisms to monitor compliance with the UN Guiding Principles on Business and Human Rights, the ILO Declaration on Fundamental Principles and Rights at Work, and the OECD Guidelines for Multinational Enterprises.</w:t>
      </w:r>
    </w:p>
    <w:p w14:paraId="04366620" w14:textId="77777777" w:rsidR="00E91CFE" w:rsidRDefault="00000000">
      <w:r>
        <w:lastRenderedPageBreak/>
        <w:t>Counterparties Furthmore, in relation to counterparties, NBG has developed and implements a sustainable framework to identify, measure and monitor activities and exposures sensitive to Social risk.</w:t>
      </w:r>
    </w:p>
    <w:p w14:paraId="35F891E6" w14:textId="77777777" w:rsidR="00E91CFE" w:rsidRDefault="00000000">
      <w:r>
        <w:t>These policy actions relate to credit risk classification, loan pricing, frequency of ESG Obligor Assessment and requirement for obligors respective action plans, to mitigate ESG risks, including those related to social issues.</w:t>
      </w:r>
    </w:p>
    <w:p w14:paraId="1C01E7D8" w14:textId="77777777" w:rsidR="00E91CFE" w:rsidRDefault="00000000">
      <w:r>
        <w:t>Sustainable Bond Framework NBG has introduced a list of activities with high Social risk weapons, gambling, tobacco, adult entertainment, and Pillar III Disclosures on a consolidated basis December 31, 2024 ESG RISKS 113 predatory lending.</w:t>
      </w:r>
    </w:p>
    <w:p w14:paraId="1028014B" w14:textId="77777777" w:rsidR="00E91CFE" w:rsidRDefault="00000000">
      <w:r>
        <w:t>The Social component of the assessment encompasses key areas such as the protection of human rights, diversity and inclusion practices, sustainable procurement, health and safety as well as learning and development opportunities.</w:t>
      </w:r>
    </w:p>
    <w:p w14:paraId="69C65A15" w14:textId="77777777" w:rsidR="00E91CFE" w:rsidRDefault="00000000">
      <w:r>
        <w:t>Own workforce NBG has developed a comprehensive action plan to address the material impacts and risks related to its workforce, with a strong focus on Training and Skills Development.</w:t>
      </w:r>
    </w:p>
    <w:p w14:paraId="797ACE89" w14:textId="77777777" w:rsidR="00E91CFE" w:rsidRDefault="00000000">
      <w:r>
        <w:t>These actions include, Continuous monitoring of the regulations or provisions outlined in the Greek labor code and respective collective labor agreement in order to ensure compliance.</w:t>
      </w:r>
    </w:p>
    <w:p w14:paraId="77526816" w14:textId="77777777" w:rsidR="00E91CFE" w:rsidRDefault="00000000">
      <w:r>
        <w:t>Continuous assessment and strategic review of training needs on an annual basis, with a comprehensive training plan formulated to ensure alignment with strategic objectives and emerging business requirements.</w:t>
      </w:r>
    </w:p>
    <w:p w14:paraId="2F6FF9AC" w14:textId="77777777" w:rsidR="00E91CFE" w:rsidRDefault="00000000">
      <w:r>
        <w:t>To ensure its successful implementation, the Bank allocates every year a ringfenced budget of more than €5 million and dedicates 30 FTEs to develop, implementing and oversee this Training Plan, thus guaranteeing the availability of adequate financial as well as human capital.</w:t>
      </w:r>
    </w:p>
    <w:p w14:paraId="75CA01B0" w14:textId="77777777" w:rsidR="00E91CFE" w:rsidRDefault="00000000">
      <w:r>
        <w:t>Employees that chose to participate in the VES are provided with a supportive transition, complemented by the Professional Transition and Support Services program.</w:t>
      </w:r>
    </w:p>
    <w:p w14:paraId="61AFC4B5" w14:textId="77777777" w:rsidR="00E91CFE" w:rsidRDefault="00000000">
      <w:r>
        <w:t>Additionally, NBG initiated a Data Privacy Re-engineering Program, to raise awareness of its personnel and to further improve its everyday processes, following a risk-based approach.</w:t>
      </w:r>
    </w:p>
    <w:p w14:paraId="2F1A32B0" w14:textId="77777777" w:rsidR="00E91CFE" w:rsidRDefault="00000000">
      <w:r>
        <w:t>Further updates and more granular information in connection to the business strategy such as the establishment of Social Targets, financial planning, and risk management practices with respect to social factors and related risks e.</w:t>
      </w:r>
    </w:p>
    <w:p w14:paraId="1B176919" w14:textId="77777777" w:rsidR="00E91CFE" w:rsidRDefault="00000000">
      <w:r>
        <w:t>Use of scenario analysis will be disclosed as they become available.</w:t>
      </w:r>
    </w:p>
    <w:p w14:paraId="6C27B1C8" w14:textId="77777777" w:rsidR="00E91CFE" w:rsidRDefault="00000000">
      <w:r>
        <w:t>To achieve this, high level of Governance is of paramount importance.</w:t>
      </w:r>
    </w:p>
    <w:p w14:paraId="49DC2D5B" w14:textId="77777777" w:rsidR="00E91CFE" w:rsidRDefault="00000000">
      <w:r>
        <w:lastRenderedPageBreak/>
        <w:t>In this context, and in alignment with the principle of proportionality, NBG has adopted an ESG governance framework appropriate to the Banks current risk profile, business model and size, internal organization structure and the nature and complexity of its activities as well.</w:t>
      </w:r>
    </w:p>
    <w:p w14:paraId="1EC4E4E3" w14:textId="77777777" w:rsidR="00E91CFE" w:rsidRDefault="00000000">
      <w:r>
        <w:t>The Board of Directors, as part of its rolling agenda, provides oversight across all sustainability matters.</w:t>
      </w:r>
    </w:p>
    <w:p w14:paraId="028D905E" w14:textId="77777777" w:rsidR="00E91CFE" w:rsidRDefault="00000000">
      <w:r>
        <w:t>Variable remuneration and incentive structures are based, inter alia, on the achievement of targets as evaluated through the annual Performance Management System process.</w:t>
      </w:r>
    </w:p>
    <w:p w14:paraId="0BE80699" w14:textId="77777777" w:rsidR="00E91CFE" w:rsidRDefault="00000000">
      <w:r>
        <w:t>Sustainability related targets are gradually being introduced within NBGs PMS, ensuring consistency with sustainability strategy and objectives, and correspond to a weight of ~15-20% of total targets, depending on the function.</w:t>
      </w:r>
    </w:p>
    <w:p w14:paraId="5F51C1A5" w14:textId="77777777" w:rsidR="00E91CFE" w:rsidRDefault="00000000">
      <w:r>
        <w:t>In terms of the Governance pillar, targets are linked to NBGs commitment of upholding the highest standards of corporate integrity and accountability.</w:t>
      </w:r>
    </w:p>
    <w:p w14:paraId="5E7ED243" w14:textId="77777777" w:rsidR="00E91CFE" w:rsidRDefault="00000000">
      <w:r>
        <w:t>These targets include the implementation of the AI Compliance Policy, ensuring the trustworthy and ethical use of AI across the organization.</w:t>
      </w:r>
    </w:p>
    <w:p w14:paraId="42554482" w14:textId="77777777" w:rsidR="00E91CFE" w:rsidRDefault="00000000">
      <w:r>
        <w:t>Additionally, targets are linked to the development of an Anti- Greenwashing Policy, aimed at promoting transparency in its sustainability reporting and initiatives.</w:t>
      </w:r>
    </w:p>
    <w:p w14:paraId="5C3205D8" w14:textId="77777777" w:rsidR="00E91CFE" w:rsidRDefault="00000000">
      <w:r>
        <w:t>For detailed information on the Boards and Committees oversight on ESG matters, please refer to Qualitative information on Environmental risk, section Governance.</w:t>
      </w:r>
    </w:p>
    <w:p w14:paraId="0617086A" w14:textId="77777777" w:rsidR="00E91CFE" w:rsidRDefault="00000000">
      <w:r>
        <w:t>Key assessment dimensions indicatively include policies, ESG and corporate governance aspects, accountability, reporting and transparency, remuneration, business ethics and anti-corruption, incidents, sustainable procurement.</w:t>
      </w:r>
    </w:p>
    <w:p w14:paraId="3CAA6EEC" w14:textId="77777777" w:rsidR="00E91CFE" w:rsidRDefault="00000000">
      <w:r>
        <w:t>As referenced in Risk management section of Environmental, the Bank has introduced a comprehensive framework and methodology for the identification of ESG-related reputational and litigation risk.</w:t>
      </w:r>
    </w:p>
    <w:p w14:paraId="716E3836" w14:textId="77777777" w:rsidR="00E91CFE" w:rsidRDefault="00000000">
      <w:r>
        <w:t>Among the criteria used are the presence of an overall ESG strategy, the verification of ESG disclosures, the existence of a code of conduct or business ethics and the participation in ESG- related rating indices.</w:t>
      </w:r>
    </w:p>
    <w:p w14:paraId="2C6F5FB6" w14:textId="77777777" w:rsidR="00E91CFE" w:rsidRDefault="00000000">
      <w:r>
        <w:t>The governance evaluation focuses on the suppliers adherence to corporate governance standards, including measures to safeguard data privacy, prevent bribery and corruption, and promote ethical business conduct.</w:t>
      </w:r>
    </w:p>
    <w:p w14:paraId="47B798C4" w14:textId="77777777" w:rsidR="00E91CFE" w:rsidRDefault="00000000">
      <w:r>
        <w:t>Risks related to Anti-Money Laundering and Combating the Financing of Terrorism AMLCFT, are also considered material since they directly impact on the institutions financial stability, reputation, and regulatory compliance.</w:t>
      </w:r>
    </w:p>
    <w:p w14:paraId="696C7443" w14:textId="77777777" w:rsidR="00E91CFE" w:rsidRDefault="00000000">
      <w:r>
        <w:lastRenderedPageBreak/>
        <w:t>Μore specifically, Group Anti-Bribery and Anti-Corruption Policy Through this Policy, NBG aims to manage, monitor and address all types of bribes that can take place within the context of its operations.</w:t>
      </w:r>
    </w:p>
    <w:p w14:paraId="00B51F1C" w14:textId="77777777" w:rsidR="00E91CFE" w:rsidRDefault="00000000">
      <w:r>
        <w:t>This framework is mainly provided from our Group Whistleblowing Policy.</w:t>
      </w:r>
    </w:p>
    <w:p w14:paraId="3F7736CF" w14:textId="77777777" w:rsidR="00E91CFE" w:rsidRDefault="00000000">
      <w:r>
        <w:t>Acknowledging the importance and potential impact of ESG risks, NBG continued its efforts towards the advancement of their incorporation in the overall Risk Management Framework.</w:t>
      </w:r>
    </w:p>
    <w:p w14:paraId="5B7E8189" w14:textId="77777777" w:rsidR="00E91CFE" w:rsidRDefault="00000000">
      <w:r>
        <w:t>Furthermore, the Bank is disclosing additional information concerning RES Renewable Energy Sources exposures giving a forward looking to its volumes breakdown to sectors that highly contribute to climate change in alignment with its ESG Strategy.</w:t>
      </w:r>
    </w:p>
    <w:p w14:paraId="1F3C3E03" w14:textId="77777777" w:rsidR="00E91CFE" w:rsidRDefault="00000000">
      <w:r>
        <w:t>Approach limitations Energy Performance Certificates are mandatory for all property transactions performed in the EU, according to the requirements set out in the Energy Performance of Buildings Directive 201031EU and the Energy Efficiency Directive 201227EU.</w:t>
      </w:r>
    </w:p>
    <w:p w14:paraId="6523B960" w14:textId="77777777" w:rsidR="00E91CFE" w:rsidRDefault="00000000">
      <w:r>
        <w:t>Greater systemic availability of internal data on attributes features of own collaterals, as well as greater variety of available collateral attributes could significantly ameliorate model performance iii the energy efficiency estimation did not derive from model development but rather was based on publicly available information from the Ministry of Environment and Energy.</w:t>
      </w:r>
    </w:p>
    <w:p w14:paraId="268B923C" w14:textId="77777777" w:rsidR="00E91CFE" w:rsidRDefault="00000000">
      <w:r>
        <w:t>Following the development of the model a set of postmodel business rules were applied to the model outcome related to the construction year and predicted EPC class.</w:t>
      </w:r>
    </w:p>
    <w:p w14:paraId="5375D306" w14:textId="77777777" w:rsidR="00E91CFE" w:rsidRDefault="00000000">
      <w:r>
        <w:t>Evolution, plans for enhanced disclosure, timelines Since the beginning of 2023, the Bank has implemented policy changes and collects actual EPC information from its clients at loan origination through the new NBG collateral valuation reports, which now contain a new section regarding environmental and social data, as well as relative risk factors for buildings and sites, incorporated in the Banks proprietary valuation software.</w:t>
      </w:r>
    </w:p>
    <w:p w14:paraId="6A2D751A" w14:textId="77777777" w:rsidR="00E91CFE" w:rsidRDefault="00000000">
      <w:r>
        <w:t>In 2023, NBG joined the Partnership for Carbon Accounting Financials and the industry-led and United Nations-convened Net Zero Banking Alliance , the leading global alliance of banks, committed to drive their lending and investment portfolios to Net Zero emissions by 2050, as defined by the Paris Climate Agreement.</w:t>
      </w:r>
    </w:p>
    <w:p w14:paraId="6CF2642C" w14:textId="77777777" w:rsidR="00E91CFE" w:rsidRDefault="00000000">
      <w:r>
        <w:t>Upon joining the NZBA, NBG committed to a set of six interim decarbonization targets for 2030.</w:t>
      </w:r>
    </w:p>
    <w:p w14:paraId="29F9E43F" w14:textId="77777777" w:rsidR="00E91CFE" w:rsidRDefault="00000000">
      <w:r>
        <w:t>The commitment to NZBA represents a major step in the effort to promote sustainable financing and contribute to the containment of climate change, assisting the real economy in transitioning to a Net Zero state.</w:t>
      </w:r>
    </w:p>
    <w:p w14:paraId="72B60CE4" w14:textId="77777777" w:rsidR="00E91CFE" w:rsidRDefault="00000000">
      <w:r>
        <w:lastRenderedPageBreak/>
        <w:t>NBG has been effectively adapting its strategy and business model in the past years, to both enable the successful delivery of the aforementioned commitment, as well as meet its broader business and risk management objectives.</w:t>
      </w:r>
    </w:p>
    <w:p w14:paraId="4D197605" w14:textId="77777777" w:rsidR="00E91CFE" w:rsidRDefault="00000000">
      <w:r>
        <w:t>NBG is committed to continuing monitoring progress towards Net Zero and communicating targets for all material carbon-intensive sectors in line with its Net-Zero Banking Alliance pledge.</w:t>
      </w:r>
    </w:p>
    <w:p w14:paraId="64D18CEF" w14:textId="77777777" w:rsidR="00E91CFE" w:rsidRDefault="00000000">
      <w:r>
        <w:t>All exposures are included in the first column Gross carrying amount whereas exposures sensitive to impact from climate change physical events are shown in following columns according to relevant breakdowns presented considering their remaining maturities, climate risk sensitivity and credit quality.</w:t>
      </w:r>
    </w:p>
    <w:p w14:paraId="561894F9" w14:textId="77777777" w:rsidR="00E91CFE" w:rsidRDefault="00000000">
      <w:r>
        <w:t>The vulnerability assessment aims to identify potential significant hazards and related risk and forms the basis for the decision to continue the risk assessment, while it is aligned with the Invest EU methodology Technical guidance on the climate proofing of infrastructure in the period 2021-2027 and with the ECB, Good practices for climate related and environmental risk management, Observations from the 2022 thematic review.</w:t>
      </w:r>
    </w:p>
    <w:p w14:paraId="081800BB" w14:textId="77777777" w:rsidR="00E91CFE" w:rsidRDefault="00000000">
      <w:r>
        <w:t>Specifically regarding the climate physical hazards and their impact on the secured portfolios, NBG quantifies the physical risk impacts from climate change on the value of real estate properties, using granular geolocation data per exposure and climate hazard projections up until 2090 as available by the underlying climate scenarios.</w:t>
      </w:r>
    </w:p>
    <w:p w14:paraId="1BE0CB78" w14:textId="77777777" w:rsidR="00E91CFE" w:rsidRDefault="00000000">
      <w:r>
        <w:t>These scenarios refer to the latest CMIP6 Coupled Model Intercomparison Project Phase 6 global climate models, whose results were used in the latest Intergovernmental Panel on Climate Change Assessment Report AR6.</w:t>
      </w:r>
    </w:p>
    <w:p w14:paraId="19EA83A7" w14:textId="77777777" w:rsidR="00E91CFE" w:rsidRDefault="00000000">
      <w:r>
        <w:t>For the assessment of exposures sensitive to impact from climate change physical events, as required in the template, NBG has applied the following, Among the SSP physical risk scenarios, the outcome of the SSP 58.</w:t>
      </w:r>
    </w:p>
    <w:p w14:paraId="54C954F7" w14:textId="77777777" w:rsidR="00E91CFE" w:rsidRDefault="00000000">
      <w:r>
        <w:t>The introduction of the aforementioned methodological enhancements enables a granular assessment of collateralized Pillar III Disclosures on a consolidated basis December 31, 2024 ESG RISKS 129 exposures sensitive to impact from climate change physical events, considering their location and detailed hazard maps.</w:t>
      </w:r>
    </w:p>
    <w:p w14:paraId="4ACD6384" w14:textId="77777777" w:rsidR="00E91CFE" w:rsidRDefault="00000000">
      <w:r>
        <w:t>Regarding the repossessed RE assets, an analysis of the impact of climate change has been carried out at regional level.</w:t>
      </w:r>
    </w:p>
    <w:p w14:paraId="0B33B3AB" w14:textId="7CCEE5E9" w:rsidR="00E91CFE" w:rsidRDefault="00000000">
      <w:r>
        <w:t xml:space="preserve">The methodological approach estimates the vulnerability of RE properties to climate physical risks which are more relevant to buildings type of asset </w:t>
      </w:r>
      <w:r w:rsidR="0006248E">
        <w:t>s</w:t>
      </w:r>
      <w:r>
        <w:t>ea level rise</w:t>
      </w:r>
      <w:r w:rsidR="0006248E">
        <w:t>.</w:t>
      </w:r>
    </w:p>
    <w:p w14:paraId="598058B9" w14:textId="77777777" w:rsidR="00E91CFE" w:rsidRDefault="00000000">
      <w:r>
        <w:t>Finally, the European Commission published, on 21st of December, an additional notice regarding the legal interpretation and implementation of the provisions covering the technical screening criteria for Taxonomy-aligned economic activities set out in the Climate Delegated Act.</w:t>
      </w:r>
    </w:p>
    <w:p w14:paraId="2BD8947D" w14:textId="77777777" w:rsidR="00E91CFE" w:rsidRDefault="00000000">
      <w:r>
        <w:lastRenderedPageBreak/>
        <w:t>The eligibility ratio for the rest four environmental objectives, as per the Delegated Acts Delegated Regulation 20232485 and Delegated Regulation 20232486 released by the European Commission in July of 2023, was not calculated due to data availability constraints.</w:t>
      </w:r>
    </w:p>
    <w:p w14:paraId="2EC54CBD" w14:textId="77777777" w:rsidR="00E91CFE" w:rsidRDefault="00000000">
      <w:r>
        <w:t>Collection of relevant and adequate documentation as evidence for evaluating the alignment of specialized lending, and, more specifically, for conducting due diligence on the Technical Screening Criteria TSC for Significant Contribution and DNSH, as well as for checking compliance with minimum social safeguards, is also proving a significant challenge.</w:t>
      </w:r>
    </w:p>
    <w:p w14:paraId="621DB384" w14:textId="77777777" w:rsidR="00E91CFE" w:rsidRDefault="00000000">
      <w:r>
        <w:t>As an originator and for the purposes of CRR Article 409, in compliance with that outlined in Article 405, the Bank maintains a commitment to consistently retain in a securitization of which it is an originator, a significant net economic interest of at least 5%, which it has done by retaining at least 5% of the bonds or at least 5% of the portfolio of similar assets.</w:t>
      </w:r>
    </w:p>
    <w:p w14:paraId="287CCC63" w14:textId="77777777" w:rsidR="00E91CFE" w:rsidRDefault="00000000">
      <w:r>
        <w:t>The sensitivity of the Groups EVE and NII measures as of 31 December 2024, under the standard regulatory stress scenarios prescribed in Commission Delegated Regulation 2024856 of 1 December 2023, as well as the comparison of NII and EVE sensitivities between 2024 and 2023 year-end, are presented in the following table.</w:t>
      </w:r>
    </w:p>
    <w:p w14:paraId="56B9A7FD" w14:textId="77777777" w:rsidR="00E91CFE" w:rsidRDefault="00000000">
      <w:r>
        <w:t>Scope and nature of liquidity risk reporting and measurement systems NBG uses an in-house developed application, to fully automate, integrate and seamlessly produce the full set of internal and regulatory liquidity reporting, and stress testing, thus optimizing the monitoring and management of liquidity risk, which proved extremely useful during the pandemic crisis.</w:t>
      </w:r>
    </w:p>
    <w:p w14:paraId="2B6E6D54" w14:textId="77777777" w:rsidR="00E91CFE" w:rsidRDefault="00000000">
      <w:r>
        <w:t>Policies for hedging and mitigating the liquidity risk and strategies and processes for monitoring the continuing effectiveness of hedges and mitigants In the Liquidity Risk Management Policy, it is analyzed how the Bank continuously assesses the liquidity risk inherent in its balance sheet and identifies its key liquidity risk drivers.</w:t>
      </w:r>
    </w:p>
    <w:p w14:paraId="4664EFE1" w14:textId="77777777" w:rsidR="00E91CFE" w:rsidRDefault="00000000">
      <w:r>
        <w:t>Pillar III Disclosures on a consolidated basis December 31, 2024 LIQUIDITY RISK 152 Outline of the banks contingency funding plans The Contingency Funding Plan CFP is a dedicated document of the Bank, which describes the governance and the specific corrective actions and measures that could be taken in case of a liquidity emergency and which is periodically updated, if required, in order to ensure its effectiveness.</w:t>
      </w:r>
    </w:p>
    <w:p w14:paraId="295365B4" w14:textId="77777777" w:rsidR="00E91CFE" w:rsidRDefault="00000000">
      <w:r>
        <w:t>The framework contains policies, metrics, and comprehensive processes that are frequently updated and further enhanced to capture market and bank-specific developments.</w:t>
      </w:r>
    </w:p>
    <w:p w14:paraId="7F71717E" w14:textId="77777777" w:rsidR="00E91CFE" w:rsidRDefault="00000000">
      <w:r>
        <w:t>Institutions overall liquidity risk profile associated with the business strategy The Bank's current liquidity state is at its strongest levels historically, as it is outlined by the Basel III regulatory liquidity metrics, which are significantly higher than their respective regulatory minimums.</w:t>
      </w:r>
    </w:p>
    <w:p w14:paraId="3E1BFD70" w14:textId="77777777" w:rsidR="00E91CFE" w:rsidRDefault="00000000">
      <w:r>
        <w:lastRenderedPageBreak/>
        <w:t>NBG targets to always preserve the LCR well above minimum regulatory level and also maintain an adequate liquidity buffer going forward.</w:t>
      </w:r>
    </w:p>
    <w:p w14:paraId="52D68588" w14:textId="77777777" w:rsidR="00E91CFE" w:rsidRDefault="00000000">
      <w:r>
        <w:t>Except for the RAF limits on the regulatory metrics of Liquidity Coverage Ratio and Net Stable Funding Ratio , the Bank also measures and manages an internal liquidity risk metric, the Liquidity Buffer HQLAs.</w:t>
      </w:r>
    </w:p>
    <w:p w14:paraId="0ACD9610" w14:textId="77777777" w:rsidR="00E91CFE" w:rsidRDefault="00000000">
      <w:r>
        <w:t>Furthermore, banking subsidiaries are closely monitored as NBGs liquidity risk management receives daily reporting in order to ensure that they adhere to their minimum liquidity standards.</w:t>
      </w:r>
    </w:p>
    <w:p w14:paraId="0C02AD9F" w14:textId="77777777" w:rsidR="00E91CFE" w:rsidRDefault="00000000">
      <w:r>
        <w:t>The governance arrangements and decision making process regarding the remuneration policy are presented in the following paragraphs.</w:t>
      </w:r>
    </w:p>
    <w:p w14:paraId="5DCB5D04" w14:textId="77777777" w:rsidR="00E91CFE" w:rsidRDefault="00000000">
      <w:r>
        <w:t>The proportionality principle The Bank applies the provisions of the current regulatory remuneration framework in a way and to the extent that is appropriate to its size, internal organization, nature, scope and complexity of its activities.</w:t>
      </w:r>
    </w:p>
    <w:p w14:paraId="5DBC3B64" w14:textId="77777777" w:rsidR="00E91CFE" w:rsidRDefault="00000000">
      <w:r>
        <w:t>In particular, the Bank aims to match the Remuneration Policy and practices with the individual risk profile, risk appetite and strategy of the Bank and its Group.</w:t>
      </w:r>
    </w:p>
    <w:p w14:paraId="193F5C79" w14:textId="77777777" w:rsidR="00E91CFE" w:rsidRDefault="00000000">
      <w:r>
        <w:t>NBG is committed to ensuring fair treatment in terms of remuneration regardless of gender identity, age, race, ethnicity, sexual orientation, ability, social background, religious or ethical values system and political beliefs, union action or participation in workers councilsorganizations, or any other category protected by law.</w:t>
      </w:r>
    </w:p>
    <w:p w14:paraId="2ECB4C13" w14:textId="77777777" w:rsidR="00E91CFE" w:rsidRDefault="00000000">
      <w:r>
        <w:t>Furthermore, in line with regulatory provisions, the Remuneration Policy is designed with particular attention to avoiding incentive elements especially in variable compensation inducing behaviors not aligned with the Banks aim for sustainable business results or inconsistent with its risk appetite.</w:t>
      </w:r>
    </w:p>
    <w:p w14:paraId="48323EA2" w14:textId="77777777" w:rsidR="00E91CFE" w:rsidRDefault="00000000">
      <w:r>
        <w:t>In particular, the Remuneration Policy is based on the following principles, maximizing value by supporting the Groups strategy.</w:t>
      </w:r>
    </w:p>
    <w:p w14:paraId="4A999C80" w14:textId="77777777" w:rsidR="00E91CFE" w:rsidRDefault="00000000">
      <w:r>
        <w:t>Moreover, the Remuneration Policy reaffirms the Groups corporate culture and values, aims at promoting ethical conduct and behaviors, meritocracy, transparency and, within given constraints, follows market trends and dynamics, considering also market surveys as appropriaterelevant.</w:t>
      </w:r>
    </w:p>
    <w:p w14:paraId="0215B791" w14:textId="77777777" w:rsidR="00E91CFE" w:rsidRDefault="00000000">
      <w:r>
        <w:t>Group companies adopt similar Remuneration Policies, in line with the principles set out in the Group Remuneration Policy, adjusted appropriately and in a proportionate manner to their size and internal organization, as well as to the nature, scope and complexity of their activities, market conditions and regulatory environment including sector and corporate CLAs of the country or countries they operate.</w:t>
      </w:r>
    </w:p>
    <w:p w14:paraId="162FD9B8" w14:textId="77777777" w:rsidR="00E91CFE" w:rsidRDefault="00000000">
      <w:r>
        <w:t>The Bank further monitors developments in the applicable framework.</w:t>
      </w:r>
    </w:p>
    <w:p w14:paraId="44C0297C" w14:textId="77777777" w:rsidR="00E91CFE" w:rsidRDefault="00000000">
      <w:r>
        <w:lastRenderedPageBreak/>
        <w:t>Policy revisions are approved by the Banks Board of Directors non-executive members, following recommendations by the HRRC, upon proposal of the Group HR function.</w:t>
      </w:r>
    </w:p>
    <w:p w14:paraId="1B044906" w14:textId="77777777" w:rsidR="00E91CFE" w:rsidRDefault="00000000">
      <w:r>
        <w:t>Main characteristics of the remuneration system of the Bank according to the Banks Remuneration Policy The Banks remuneration practices comply with the provisions of the existing regulatory framework concerning all staff, as well as with regulatory provisions regarding identified staff specific categories of staff determined in accordance with Delegated Regulation 2021923.</w:t>
      </w:r>
    </w:p>
    <w:p w14:paraId="0E722FE4" w14:textId="77777777" w:rsidR="00E91CFE" w:rsidRDefault="00000000">
      <w:r>
        <w:t>The key remuneration principles and design characteristics of the Banks remuneration framework, which adhere to applicable labor legislation, Collective Labor Agreements and Business Collective Labor Agreements, as well as relevant guidelines of the supervisory authorities, are outlined below.</w:t>
      </w:r>
    </w:p>
    <w:p w14:paraId="4DA406F5" w14:textId="77777777" w:rsidR="00E91CFE" w:rsidRDefault="00000000">
      <w:r>
        <w:t>Moreover and, in line with the regulatory framework , each component is classified as either fixed or variable based on its specific characteristics.</w:t>
      </w:r>
    </w:p>
    <w:p w14:paraId="28ABC9A2" w14:textId="77777777" w:rsidR="00E91CFE" w:rsidRDefault="00000000">
      <w:r>
        <w:t>In view of driving long-term, sustainable value creation, NBGs variable remuneration is designed to incentivize and reward achievements by tying pay directly to performance outcomes over short, medium, and long-term time horizons.</w:t>
      </w:r>
    </w:p>
    <w:p w14:paraId="61632384" w14:textId="77777777" w:rsidR="00E91CFE" w:rsidRDefault="00000000">
      <w:r>
        <w:t>To foster alignment between the interests of shareholders, management, and employees, performance measures are based on the Companys overall outcomes, relevant business unit performance, as well as individual achievements.</w:t>
      </w:r>
    </w:p>
    <w:p w14:paraId="33566CB9" w14:textId="77777777" w:rsidR="00E91CFE" w:rsidRDefault="00000000">
      <w:r>
        <w:t>Short-term variable remuneration may typically be paid in cash and in a single instalment, unless otherwise required by the applicable legal and regulatory framework.</w:t>
      </w:r>
    </w:p>
    <w:p w14:paraId="1595D305" w14:textId="77777777" w:rsidR="00E91CFE" w:rsidRDefault="00000000">
      <w:r>
        <w:t>The remuneration can also be structured as a combination of cash and financial instruments, or solely in instruments, with both immediate and deferred components, to address specific business objectives and or comply with applicable legal and regulatory requirements.</w:t>
      </w:r>
    </w:p>
    <w:p w14:paraId="2FCD2A2E" w14:textId="77777777" w:rsidR="00E91CFE" w:rsidRDefault="00000000">
      <w:r>
        <w:t>Long-term variable remuneration at NBG Group aims to align the interests of employees, senior management, and shareholders, enhancing the long-term sustainability of results.</w:t>
      </w:r>
    </w:p>
    <w:p w14:paraId="6CD7E580" w14:textId="77777777" w:rsidR="00E91CFE" w:rsidRDefault="00000000">
      <w:r>
        <w:t>Group HR is responsible to design variable remuneration incentives, in collaboration with competent functions and in accordance with the relevant InternalLegal framework as this each time applies.</w:t>
      </w:r>
    </w:p>
    <w:p w14:paraId="318C4195" w14:textId="77777777" w:rsidR="00E91CFE" w:rsidRDefault="00000000">
      <w:r>
        <w:t>Beneficiaries received variable remuneration in the form of common registered shares with voting rights Common Equity Tier 1 instruments, hence aligning individual incentives with the Banks long-term interests including a well-balanced risk-taking profile in compliance with the legislative and regulatory framework.</w:t>
      </w:r>
    </w:p>
    <w:p w14:paraId="6CBCC220" w14:textId="77777777" w:rsidR="00E91CFE" w:rsidRDefault="00000000">
      <w:r>
        <w:lastRenderedPageBreak/>
        <w:t>Their identification, in line with the qualitative and quantitative criteria as per the provisions of the at each time applicable Legal and Regulatory framework, is conducted by the Group Corporate Governance Division, in cooperation with the competent units.</w:t>
      </w:r>
    </w:p>
    <w:p w14:paraId="20702D07" w14:textId="77777777" w:rsidR="00E91CFE" w:rsidRDefault="00000000">
      <w:r>
        <w:t>In line with the Regulatory framework as well as with prudent risk management practices, Material Risk Takers identified staff are not provided with variable remuneration promoting excessive risk-taking practices transaction-specific risks, nor are they rewarded for taking cumulatively risks which exceed the risk tolerance threshold of the organisation Risk Appetite framework limits.</w:t>
      </w:r>
    </w:p>
    <w:p w14:paraId="0A7C327F" w14:textId="77777777" w:rsidR="00E91CFE" w:rsidRDefault="00000000">
      <w:r>
        <w:t>NBG Group defines and manages conduct risk explicitly as part of its risk management framework.</w:t>
      </w:r>
    </w:p>
    <w:p w14:paraId="59A9FA84" w14:textId="77777777" w:rsidR="00E91CFE" w:rsidRDefault="00000000">
      <w:r>
        <w:t>There are robust processes in place to ensure that risk, reputation and conduct related matters, as well as financial losses and impairments, and other breaches of the risk management framework are specifically considered when assessing performance and determining variable remuneration rewards.</w:t>
      </w:r>
    </w:p>
    <w:p w14:paraId="68FC859F" w14:textId="77777777" w:rsidR="00E91CFE" w:rsidRDefault="00000000">
      <w:r>
        <w:t>Variable remuneration is granted through processes which promote accountability, reward appropriate behaviors and penalize inappropriate ones.</w:t>
      </w:r>
    </w:p>
    <w:p w14:paraId="3A9F25A4" w14:textId="77777777" w:rsidR="00E91CFE" w:rsidRDefault="00000000">
      <w:r>
        <w:t>In this context, the Committee sets the criteria and the relative framework by which conduct risk assessment is applied in terms of variable remuneration payment, as well as reviews, endorses and monitors conduct risk findings and takes appropriate proactive measures as necessary.</w:t>
      </w:r>
    </w:p>
    <w:p w14:paraId="0673C83E" w14:textId="77777777" w:rsidR="00E91CFE" w:rsidRDefault="00000000">
      <w:r>
        <w:t>Adjustment deferral retention claw back of variable remuneration The Remuneration Policy includes specific provisions to align incentives with the Banks long-term interests while accounting for performance and related risks over time.</w:t>
      </w:r>
    </w:p>
    <w:p w14:paraId="22D5A6D3" w14:textId="77777777" w:rsidR="00E91CFE" w:rsidRDefault="00000000">
      <w:r>
        <w:t>Additionally, the Policy outlines requirements for the retention of instruments forming part of variable remuneration, ensuring alignment with the Banks strategic objectives and risk framework.</w:t>
      </w:r>
    </w:p>
    <w:p w14:paraId="796DBE3F" w14:textId="77777777" w:rsidR="00E91CFE" w:rsidRDefault="00000000">
      <w:r>
        <w:t>Respectively and without prejudice to the provisions of labor Law, any variable remuneration may be reclaimed if it is subsequently discovered that the performance justifying such payment resulted from practices that are inconsistent with the principles and policies of the Bank Group.</w:t>
      </w:r>
    </w:p>
    <w:p w14:paraId="02286FAD" w14:textId="77777777" w:rsidR="00E91CFE" w:rsidRDefault="00000000">
      <w:r>
        <w:t>In the event that financial and capital performance is significantly deteriorating, total variable remuneration including payments of remuneration vesting from previous periods will be postponed, reduced or altogether cancelled.</w:t>
      </w:r>
    </w:p>
    <w:p w14:paraId="6450EBD4" w14:textId="77777777" w:rsidR="00E91CFE" w:rsidRDefault="00000000">
      <w:r>
        <w:t>Specifically, the Bankentity andor Group reserves the right to postpone, reduce or cancel previously vested or vesting payments, upon recommendation of the respective local Bankentity or Group Finance or Risk functions to the HRRC and following the approval of the Board of Directors.</w:t>
      </w:r>
    </w:p>
    <w:p w14:paraId="0F7415C3" w14:textId="77777777" w:rsidR="00E91CFE" w:rsidRDefault="00000000">
      <w:r>
        <w:lastRenderedPageBreak/>
        <w:t>Remuneration of senior management In accordance with Directive 2017828, as this has been partly transposed into the Greek legal framework with Greek Law 45482018 on Sociétés Anonymes, listed companies are required, among others, to establish a remuneration policy as regards directors and shareholders have the right to vote on the remuneration policy at the General Meeting.</w:t>
      </w:r>
    </w:p>
    <w:p w14:paraId="737399FA" w14:textId="77777777" w:rsidR="00E91CFE" w:rsidRDefault="00000000">
      <w:r>
        <w:t>Pillar III Disclosures on a consolidated basis December 31, 2024 REMUNERATION POLICIES &amp; PRACTICES 163 The Directors and Senior Managers Remuneration Policy was initially approved by the Banks Annual General Meeting of Shareholders held on 31 July 2019 and was lastly revised by the Bank s Annual General Meeting of Shareholders, held on 28 July 2023, by 86.</w:t>
      </w:r>
    </w:p>
    <w:p w14:paraId="34E6F83E" w14:textId="77777777" w:rsidR="00E91CFE" w:rsidRDefault="00000000">
      <w:r>
        <w:t>The NBG Directors &amp; Senior Managers Remuneration Policy shall be applicable for a period of four years, unless revised earlier or in cases of temporary derogations, in alignment with the relevant applicable provisions.</w:t>
      </w:r>
    </w:p>
    <w:p w14:paraId="1BCE3612" w14:textId="77777777" w:rsidR="00E91CFE" w:rsidRDefault="00000000">
      <w:r>
        <w:t>The NBG Directors &amp; Senior Managers Remuneration Policy is available on the Banks website, at governancecorporate-governance-framework .</w:t>
      </w:r>
    </w:p>
    <w:p w14:paraId="50FD1852" w14:textId="77777777" w:rsidR="00E91CFE" w:rsidRDefault="00000000">
      <w:r>
        <w:t>Potential restrictions that may apply as per the applicable legal and regulatory framework shall be followed, in accordance with the specific provisions the framework prescribes and the conditions applying at the Bank per case, as further detailed within the Policy.</w:t>
      </w:r>
    </w:p>
    <w:p w14:paraId="189ADC15" w14:textId="77777777" w:rsidR="00E91CFE" w:rsidRDefault="00000000">
      <w:r>
        <w:t>Further, for the period of participation of the Bank in the capital increase program of Article 7 of Greek Law 38642010, variable remuneration may only take the form of shares or stock options or other means within the meaning of articles 52 or 63 of the Regulation 5752013, according to article 86 of Greek Law 42612014.</w:t>
      </w:r>
    </w:p>
    <w:p w14:paraId="07F9C063" w14:textId="77777777" w:rsidR="00E91CFE" w:rsidRDefault="00000000">
      <w:r>
        <w:t>Within this context, the Board of Directors, following proposal of the CGNC, submitted the NBG Directors and Senior Managers Remuneration Policy to the Annual General Meeting of Shareholders , which approved it on 31 July 2019.</w:t>
      </w:r>
    </w:p>
    <w:p w14:paraId="135656A2" w14:textId="77777777" w:rsidR="00E91CFE" w:rsidRDefault="00000000">
      <w:r>
        <w:t>The proposal is formulated in line with the legal and regulatory framework to which the Bank is subject, as well as the Banks internal Corporate Governance Framework esp.</w:t>
      </w:r>
    </w:p>
    <w:p w14:paraId="72462EF5" w14:textId="77777777" w:rsidR="00E91CFE" w:rsidRDefault="00000000">
      <w:r>
        <w:t>Potential restrictions that may apply as per the applicable legal and regulatory framework shall be followed, in accordance with the specific provisions the framework prescribes and the conditions applying at the Bank per case.</w:t>
      </w:r>
    </w:p>
    <w:p w14:paraId="0984705B" w14:textId="77777777" w:rsidR="00E91CFE" w:rsidRDefault="00000000">
      <w:r>
        <w:t>More information on the NBG Directors &amp; Senior Managers Remuneration Policy is available in the Banks website, governancecorporate-governance-framework .</w:t>
      </w:r>
    </w:p>
    <w:p w14:paraId="38D71692" w14:textId="77777777" w:rsidR="00E91CFE" w:rsidRDefault="00000000">
      <w:r>
        <w:t>Moreover, in accordance with Article 112 of Greek Law 45482018 on Sociétés Anonymes, listed companies are required, among others, to draw up a Remuneration Report, providing a comprehensive overview of the remuneration of individual directors, including to newly recruited and to former directors, during the most recent financial year, in accordance with the remuneration policy as per Article 110 of Greek Law 45482018.</w:t>
      </w:r>
    </w:p>
    <w:sectPr w:rsidR="00E91C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740591440">
    <w:abstractNumId w:val="8"/>
  </w:num>
  <w:num w:numId="2" w16cid:durableId="1780830637">
    <w:abstractNumId w:val="6"/>
  </w:num>
  <w:num w:numId="3" w16cid:durableId="1552110592">
    <w:abstractNumId w:val="5"/>
  </w:num>
  <w:num w:numId="4" w16cid:durableId="897134004">
    <w:abstractNumId w:val="4"/>
  </w:num>
  <w:num w:numId="5" w16cid:durableId="1217544858">
    <w:abstractNumId w:val="7"/>
  </w:num>
  <w:num w:numId="6" w16cid:durableId="762918557">
    <w:abstractNumId w:val="3"/>
  </w:num>
  <w:num w:numId="7" w16cid:durableId="2087220848">
    <w:abstractNumId w:val="2"/>
  </w:num>
  <w:num w:numId="8" w16cid:durableId="2060932169">
    <w:abstractNumId w:val="1"/>
  </w:num>
  <w:num w:numId="9" w16cid:durableId="545609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F10"/>
    <w:rsid w:val="0006063C"/>
    <w:rsid w:val="0006248E"/>
    <w:rsid w:val="00086B2B"/>
    <w:rsid w:val="0015074B"/>
    <w:rsid w:val="0016346D"/>
    <w:rsid w:val="0029639D"/>
    <w:rsid w:val="00326F90"/>
    <w:rsid w:val="003500D4"/>
    <w:rsid w:val="009718FD"/>
    <w:rsid w:val="00AA1D8D"/>
    <w:rsid w:val="00B03E16"/>
    <w:rsid w:val="00B14B75"/>
    <w:rsid w:val="00B47730"/>
    <w:rsid w:val="00C334D9"/>
    <w:rsid w:val="00CB0664"/>
    <w:rsid w:val="00D06579"/>
    <w:rsid w:val="00D45721"/>
    <w:rsid w:val="00E91C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5CC84"/>
  <w14:defaultImageDpi w14:val="300"/>
  <w15:docId w15:val="{83F9B840-C550-EB4C-8E85-90E104B6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29</Pages>
  <Words>11446</Words>
  <Characters>65247</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11</cp:revision>
  <dcterms:created xsi:type="dcterms:W3CDTF">2013-12-23T23:15:00Z</dcterms:created>
  <dcterms:modified xsi:type="dcterms:W3CDTF">2025-08-01T11:22:00Z</dcterms:modified>
  <cp:category/>
</cp:coreProperties>
</file>