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30AE" w14:textId="77777777" w:rsidR="0055517D" w:rsidRDefault="00000000">
      <w:r>
        <w:t>In this context, 2023 has been a pivotal year for the implementation of initiatives such as, the support measures for the flood-stricken Thessaly, digital banking developments aiming at new payment and financing functionalities for our customers, the roll-out of a new branch model focused on innovation and seamless service, and the creation of synergies with Greek organizations within our social responsibility initiatives through Piraeus EQUALL programme.</w:t>
      </w:r>
    </w:p>
    <w:p w14:paraId="4A693616" w14:textId="77777777" w:rsidR="0055517D" w:rsidRDefault="00000000">
      <w:r>
        <w:t>Piraeus Group continued improving all key financial indicators, focusing on sustainable risk-adjusted profitability and capital accumulation, through diversified revenue sources and cost discipline, while maintaining prudent credit risk management.</w:t>
      </w:r>
    </w:p>
    <w:p w14:paraId="414CD0A5" w14:textId="77777777" w:rsidR="0055517D" w:rsidRDefault="00000000">
      <w:r>
        <w:t>The aim is to create the branches of the future, which will combine innovative and targeted service offered by experienced banking personnel, in a modern and pleasant environment, so that the Bank can respond more effectively to the ever-changing needs and requirements of its customers and at the same time to modernize and improve the working environment for its employees.</w:t>
      </w:r>
    </w:p>
    <w:p w14:paraId="3AED1DF0" w14:textId="77777777" w:rsidR="0055517D" w:rsidRDefault="00000000">
      <w:r>
        <w:t>The new ESG product which is available to both retail and business customers will offer an opportunity to support the Greek small and medium-sized businesses which have set sustainability goals.</w:t>
      </w:r>
    </w:p>
    <w:p w14:paraId="35A24B6B" w14:textId="77777777" w:rsidR="0055517D" w:rsidRDefault="00000000">
      <w:r>
        <w:t>In addition, the Group has recently launched its Sustainability-Linked Loans Framework, which outlines the methodology for the selection and application of ESG metrics to Piraeus Banks business loans, with the aim to combine growth and profitability alongside ESG key performance indicators.</w:t>
      </w:r>
    </w:p>
    <w:p w14:paraId="2E34096F" w14:textId="77777777" w:rsidR="0055517D" w:rsidRDefault="00000000">
      <w:r>
        <w:t>Piraeus received validation by SBTi for its 2030 emission reduction targets for its operation and for selected asset classes, whilst it is the first Greek Bank to have achieved that.</w:t>
      </w:r>
    </w:p>
    <w:p w14:paraId="1D5ABEB1" w14:textId="37C1BA8C" w:rsidR="0055517D" w:rsidRDefault="00000000">
      <w:r>
        <w:t xml:space="preserve">MSCI upgraded Piraeus Bank to A from BBB in </w:t>
      </w:r>
      <w:r w:rsidR="00D5192C">
        <w:t>mid-February</w:t>
      </w:r>
      <w:r>
        <w:t xml:space="preserve"> 2023, driven by improvements in its corporate governance practices.</w:t>
      </w:r>
    </w:p>
    <w:p w14:paraId="3D525E33" w14:textId="77777777" w:rsidR="0055517D" w:rsidRDefault="00000000">
      <w:r>
        <w:t>Further, it leads most home market peers on business ethics, with practices such as whistleblower protection from retaliation.</w:t>
      </w:r>
    </w:p>
    <w:p w14:paraId="1BF49276" w14:textId="77777777" w:rsidR="0055517D" w:rsidRDefault="00000000">
      <w:r>
        <w:t>The information provided in this presentation is not an offer to sell or a solicitation of an offer to buy or provide a basis for evaluations and does not constitute investment, legal, accounting, regulatory, taxation or other advice and does not take into account your objectives or legal, accounting, regulatory, taxation or financial situation or particular needs.</w:t>
      </w:r>
    </w:p>
    <w:p w14:paraId="10A37ABB" w14:textId="77777777" w:rsidR="0055517D" w:rsidRDefault="00000000">
      <w:r>
        <w:t xml:space="preserve">Examples of forward-looking statements include may include, among other things, statements relating to the CompanyGroups strategies, plans, objectives, initiatives and targets, its businesses, outlook, political, economic or other conditions in Greece or elsewhere, the CompanyGroups financial condition, results of operations, liquidity, capital resources and capital expenditures and development of markets and anticipated cost </w:t>
      </w:r>
      <w:r>
        <w:lastRenderedPageBreak/>
        <w:t>savings and synergies, as well as the intention and beliefs of the CompanyGroup andor its management or directors concerning the foregoing.</w:t>
      </w:r>
    </w:p>
    <w:sectPr w:rsidR="005551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39548920">
    <w:abstractNumId w:val="8"/>
  </w:num>
  <w:num w:numId="2" w16cid:durableId="1505779038">
    <w:abstractNumId w:val="6"/>
  </w:num>
  <w:num w:numId="3" w16cid:durableId="232395566">
    <w:abstractNumId w:val="5"/>
  </w:num>
  <w:num w:numId="4" w16cid:durableId="998774798">
    <w:abstractNumId w:val="4"/>
  </w:num>
  <w:num w:numId="5" w16cid:durableId="2066296903">
    <w:abstractNumId w:val="7"/>
  </w:num>
  <w:num w:numId="6" w16cid:durableId="1587761517">
    <w:abstractNumId w:val="3"/>
  </w:num>
  <w:num w:numId="7" w16cid:durableId="1765301261">
    <w:abstractNumId w:val="2"/>
  </w:num>
  <w:num w:numId="8" w16cid:durableId="1927952834">
    <w:abstractNumId w:val="1"/>
  </w:num>
  <w:num w:numId="9" w16cid:durableId="965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17D"/>
    <w:rsid w:val="00672963"/>
    <w:rsid w:val="00AA1D8D"/>
    <w:rsid w:val="00B47730"/>
    <w:rsid w:val="00CB0664"/>
    <w:rsid w:val="00D51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8B163"/>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2025-08-02T16:25:00Z</dcterms:modified>
  <cp:category/>
</cp:coreProperties>
</file>