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C88C" w14:textId="5A56711A" w:rsidR="003C4DE9" w:rsidRDefault="00000000">
      <w:r>
        <w:t>The report does not constitute either a form of financial statements or an evaluation of the future financial situation or business expectation for Piraeus Group.</w:t>
      </w:r>
    </w:p>
    <w:p w14:paraId="26298E3C" w14:textId="77777777" w:rsidR="003C4DE9" w:rsidRDefault="00000000">
      <w:r>
        <w:t>They specify instructions for disclosure content and formats fixed and flexible through the use of tables and templates, aiming to improve the consistency and comparability of institutions regulatory disclosures in accordance with Part Eight of the CRR.</w:t>
      </w:r>
    </w:p>
    <w:p w14:paraId="23425270" w14:textId="77777777" w:rsidR="003C4DE9" w:rsidRDefault="00000000">
      <w:r>
        <w:t>Based on the regulatory disclosure requirements and the Pillar III Disclosures Policy described below, the Group discloses this report via the internet, on a consolidated basis, alongside the Annual Financial Statements.</w:t>
      </w:r>
    </w:p>
    <w:p w14:paraId="426166D5" w14:textId="77777777" w:rsidR="003C4DE9" w:rsidRDefault="00000000">
      <w:r>
        <w:t>The internal Pillar III Disclosures Policy sets out the principles governing regulatory disclosures of Pillar III within Piraeus Group, outlines the roles and responsibilities of business units and Senior Management involved in the process of formation and review of the disclosures, and defines the minimum content and extent as well as the means and frequency of information disclosed.</w:t>
      </w:r>
    </w:p>
    <w:p w14:paraId="2DB2D28C" w14:textId="77777777" w:rsidR="003C4DE9" w:rsidRDefault="00000000">
      <w:r>
        <w:t>The policy constitutes an integral part of the Group Risk Management Framework .</w:t>
      </w:r>
    </w:p>
    <w:p w14:paraId="4043FE2E" w14:textId="77777777" w:rsidR="003C4DE9" w:rsidRDefault="00000000">
      <w:r>
        <w:t>Approval of Pillar III Report This report was approved on April 24th, 2024, by the Risk Committee of the Board of Directors BoD, in accordance with the Pillar III Disclosures Policy.</w:t>
      </w:r>
    </w:p>
    <w:p w14:paraId="0B7B02D5" w14:textId="77777777" w:rsidR="003C4DE9" w:rsidRDefault="00000000">
      <w:r>
        <w:t>The information presented in this report is compliant with the relevant regulatory guidelines and is consistent with the Pillar III Disclosures Policy.</w:t>
      </w:r>
    </w:p>
    <w:p w14:paraId="092849DF" w14:textId="77777777" w:rsidR="003C4DE9" w:rsidRDefault="00000000">
      <w:r>
        <w:t>Existed in 2022 Piraeus Group Corporate Governance Framework Up until December 30th, 2020, date of completion of the Demerger by way of hive-down of Piraeus Financial Holdings S.</w:t>
      </w:r>
    </w:p>
    <w:p w14:paraId="69A6B518" w14:textId="77777777" w:rsidR="003C4DE9" w:rsidRDefault="00000000">
      <w:r>
        <w:t>Banking activities and its contribution to a newly established credit institution, the Group was subject to the detailed corporate governance regulations applicable to credit institutions.</w:t>
      </w:r>
    </w:p>
    <w:p w14:paraId="3B7E45B1" w14:textId="77777777" w:rsidR="003C4DE9" w:rsidRDefault="00000000">
      <w:r>
        <w:t>Following the completion of the Demerger, the Group ceased to be a credit institution but still continues to apply the vast majority of these regulations and practices, adapted to its current activities, since they constitute best corporate governance practices and largely meet the requirements of the Law 47062020 on corporate governance that applies to Greek listed companies since July 2021.</w:t>
      </w:r>
    </w:p>
    <w:p w14:paraId="76446752" w14:textId="77777777" w:rsidR="003C4DE9" w:rsidRDefault="00000000">
      <w:r>
        <w:t>The Group has established policies, procedures, and adequate mechanisms for risk management, within all three lines of defense, in order to identify, manage, monitor, and report risks.</w:t>
      </w:r>
    </w:p>
    <w:p w14:paraId="393CB4B1" w14:textId="77777777" w:rsidR="003C4DE9" w:rsidRDefault="00000000">
      <w:r>
        <w:t>The procedures in place promote the independence of risktaking, risk management, and control activities.</w:t>
      </w:r>
    </w:p>
    <w:p w14:paraId="68ECC689" w14:textId="77777777" w:rsidR="003C4DE9" w:rsidRDefault="00000000">
      <w:r>
        <w:lastRenderedPageBreak/>
        <w:t>The broader risk management framework at the Group level is constantly evolving, taking into account the current economic environment, business plans, the Banks historical data, market dynamics, supervisory and regulatory requirements, the Groups Corporate Governance framework, international best practices, and shareholder interests.</w:t>
      </w:r>
    </w:p>
    <w:p w14:paraId="5E89669C" w14:textId="77777777" w:rsidR="003C4DE9" w:rsidRDefault="00000000">
      <w:r>
        <w:t>Objectives The purpose of the RMF, as well as GRM at large is to safeguard the optimum usage of the Groups resources, its capital, its reputation, and its people, in the best interest of the Groups stakeholders.</w:t>
      </w:r>
    </w:p>
    <w:p w14:paraId="58325DA4" w14:textId="77777777" w:rsidR="003C4DE9" w:rsidRDefault="00000000">
      <w:r>
        <w:t>In this context, the key driving principles of GRM are listed below, strategically manage capital &amp; liquidity, enhance risk management capabilities, continuously enhance the risk governance and control framework, and shape a strong risk culture.</w:t>
      </w:r>
    </w:p>
    <w:p w14:paraId="1F3F36CB" w14:textId="77777777" w:rsidR="003C4DE9" w:rsidRDefault="00000000">
      <w:r>
        <w:t>The RMF aims to promote effective and prudent management of all risks, ensuring appropriate allocation of responsibilities and accountability based on the risk origination, aiming at aligning risk-taking activities with the Groups risk appetite.</w:t>
      </w:r>
    </w:p>
    <w:p w14:paraId="5725D7E5" w14:textId="77777777" w:rsidR="003C4DE9" w:rsidRDefault="00000000">
      <w:r>
        <w:t>The Chairman of the RC is designated by the BoD and must possess significant experience in commercial banking and preferably in risk and capital management, as well as familiarity with the local and international regulatory framework.</w:t>
      </w:r>
    </w:p>
    <w:p w14:paraId="61D85756" w14:textId="77777777" w:rsidR="003C4DE9" w:rsidRDefault="00000000">
      <w:r>
        <w:t>The risk management and control framework in place, including policies, methods, and tools, complies with Risk &amp; Capital Strategy and Risk Appetite as well as with regulatory and supervisory requirements.</w:t>
      </w:r>
    </w:p>
    <w:p w14:paraId="439B74B4" w14:textId="77777777" w:rsidR="003C4DE9" w:rsidRDefault="00000000">
      <w:r>
        <w:t>For the achievement of its goal, the Committee undertakes, inter alia, the following duties and responsibilities, Monitors, assesses, and provides updates to the BoD with respect to the compliance with supervisory requirements, the risk profile, and the adherence to the approved risk appetite limits and early warning levels of the Group.</w:t>
      </w:r>
    </w:p>
    <w:p w14:paraId="3DD8FDE6" w14:textId="77777777" w:rsidR="003C4DE9" w:rsidRDefault="00000000">
      <w:r>
        <w:t>Evaluates the adequacy and effectiveness of the risk management and control framework to ensure that it remains comprehensive, adequate, and proportionate to the nature, extent, and complexity of the Group current activities.</w:t>
      </w:r>
    </w:p>
    <w:p w14:paraId="48913898" w14:textId="77777777" w:rsidR="003C4DE9" w:rsidRDefault="00000000">
      <w:r>
        <w:t>Oversees jointly with the Audit Committee and provides updates to the BoD with respect to the implementation progress of the major initiatives related to operational risk as well as internal control enhancements.</w:t>
      </w:r>
    </w:p>
    <w:p w14:paraId="06350979" w14:textId="77777777" w:rsidR="003C4DE9" w:rsidRDefault="00000000">
      <w:r>
        <w:t>Evaluated and provided recommendations to the BoD when required, with respect to the development, documentation, re-assessment, and monitoring of the, implementation process of the 2022 Internal Capital Adequacy Assessment Process and Capital Adequacy Statement, and of the 2022 Internal Liquidity Assessment Process and Liquidity Adequacy Statement, 2023 Recovery Plan, and 2022 Pillar III Regulatory Capital Disclosures.</w:t>
      </w:r>
    </w:p>
    <w:p w14:paraId="3BB909CD" w14:textId="77777777" w:rsidR="003C4DE9" w:rsidRDefault="00000000">
      <w:r>
        <w:t xml:space="preserve">Evaluated and provided recommendation to the BoD, when required, with respect to the annual revision of risk related policies and documents, including indicatively, the RAF, the ICAAP Framework, the ILAAP Framework, the Stress Testing Framework, the Significant </w:t>
      </w:r>
      <w:r>
        <w:lastRenderedPageBreak/>
        <w:t>Risk Transfer Policy, the Pillar III Disclosures Policy, the Simple Transparent and Standardized Synthetic Securitizations Policy, Climate Risk Classification Document, the Group Anti-Fraud Policy, and the Group Operational Risk and Internal Control Policy More information on the current composition of the Committee, its operation, and responsibilities is available on the Groups website.</w:t>
      </w:r>
    </w:p>
    <w:p w14:paraId="44B9C2B5" w14:textId="77777777" w:rsidR="003C4DE9" w:rsidRDefault="00000000">
      <w:r>
        <w:t>As reflected in the design and implementation of the strategic plan, it is of high priority for the Bank and the Group to further develop sophisticated risk management practices and robust models and methodologies.</w:t>
      </w:r>
    </w:p>
    <w:p w14:paraId="256F6D4D" w14:textId="77777777" w:rsidR="003C4DE9" w:rsidRDefault="00000000">
      <w:r>
        <w:t>The GRM reports to the CRO, and its structure is aligned with the Groups strategic targets, including the profitable and sustainable business model, optimization of capital allocation, strengthening of risk monitoring and controls, and adoption of superior governance standards as well as meeting the regulatory demands and oversight.</w:t>
      </w:r>
    </w:p>
    <w:p w14:paraId="3EC0EAC1" w14:textId="77777777" w:rsidR="003C4DE9" w:rsidRDefault="00000000">
      <w:r>
        <w:t>The GRM team is equipped to provide the organization best-in-class risk management practices, models, and methodologies, while acting as conduit of Risk Culture in the organization.</w:t>
      </w:r>
    </w:p>
    <w:p w14:paraId="09FAC868" w14:textId="77777777" w:rsidR="003C4DE9" w:rsidRDefault="00000000">
      <w:r>
        <w:t>It has the responsibility for the planning, specialization and implementation of strategy and policies in credit risk management issues.</w:t>
      </w:r>
    </w:p>
    <w:p w14:paraId="74E6EC89" w14:textId="77777777" w:rsidR="003C4DE9" w:rsidRDefault="00000000">
      <w:r>
        <w:t>To this end, the unit is responsible for the following, development and maintenance of the Risk &amp; Capital Strategy incl.</w:t>
      </w:r>
    </w:p>
    <w:p w14:paraId="5A0D2ACB" w14:textId="77777777" w:rsidR="003C4DE9" w:rsidRDefault="00000000">
      <w:r>
        <w:t>The function contributes to the mitigation of risks arising from potential limitations in the development, implementation, or use of the Banks models model risk, by developingmaintaining and implementing a Model Validation Framework and by conducting independent validations regarding the robustness, accuracy, and effectiveness of the Banks models, while contributing to the improvement of models quality.</w:t>
      </w:r>
    </w:p>
    <w:p w14:paraId="462FA4A8" w14:textId="77777777" w:rsidR="003C4DE9" w:rsidRDefault="00000000">
      <w:r>
        <w:t>Finally, the function contributes to supporting, coordinating, initiating, and implementing initiatives in the domain of the risk data management, with the use of risk data analytics and business intelligence tools and methodologies, in compliance with the Groups Policies, the regulatory framework, and the industrys best practices.</w:t>
      </w:r>
    </w:p>
    <w:p w14:paraId="2CCCA4FD" w14:textId="77777777" w:rsidR="003C4DE9" w:rsidRDefault="00000000">
      <w:r>
        <w:t>A Unit Controller is appointed in each risk area in order to embed a culture of operational risk management and ensure the design and implementation of an effective ICS within that risk area, aiming at the achievement of operational excellence and remediation of control deficiencies.</w:t>
      </w:r>
    </w:p>
    <w:p w14:paraId="41E23D3A" w14:textId="77777777" w:rsidR="003C4DE9" w:rsidRDefault="00000000">
      <w:r>
        <w:t>CROs Office, The function is responsible to manage, coordinate, advise on, and monitor various risk initiatives and projects and consolidate the overall view on figures, responses, and alignment of stakeholders.</w:t>
      </w:r>
    </w:p>
    <w:p w14:paraId="1F53A035" w14:textId="77777777" w:rsidR="003C4DE9" w:rsidRDefault="00000000">
      <w:r>
        <w:lastRenderedPageBreak/>
        <w:t>Each of these courses is associated with supervisory obligations, changes in the regulatory framework, revisions to the Banks internal regulations, and compliance with new directives and policies.</w:t>
      </w:r>
    </w:p>
    <w:p w14:paraId="6635C554" w14:textId="77777777" w:rsidR="003C4DE9" w:rsidRDefault="00000000">
      <w:r>
        <w:t>Their primary objective is to set the level of risk that the Group is willing to undertake in order to achieve its strategic goals, ensuring at the same time adherence to regulatory requirements.</w:t>
      </w:r>
    </w:p>
    <w:p w14:paraId="37E00A92" w14:textId="77777777" w:rsidR="003C4DE9" w:rsidRDefault="00000000">
      <w:r>
        <w:t>An online version of the core documents of the regulatory framework for EU financial institutions can be accessed via the following address, link, ΕΒΑ-Interactive-Single-Rulebook 3.</w:t>
      </w:r>
    </w:p>
    <w:p w14:paraId="290261D3" w14:textId="77777777" w:rsidR="003C4DE9" w:rsidRDefault="00000000">
      <w:r>
        <w:t>Further strengthening the resilience of the banking sector On May 20th, 2019, the European Commission released the Risk Reduction Measures package, a comprehensive set of legislative reforms that amend the current regulatory framework CRD IV package and that intend to further strengthen the resilience of Banks in the EU.</w:t>
      </w:r>
    </w:p>
    <w:p w14:paraId="5B6FACE0" w14:textId="77777777" w:rsidR="003C4DE9" w:rsidRDefault="00000000">
      <w:r>
        <w:t>The updates to the CRR included the following capital adequacy and risk management requirements, more risk sensitive methodologies for calculating market risk and counterparty credit risk capital requirements, a new large exposures framework, more favorable risk weighted asset relief for small and medium size enterprises as well as qualifying infrastructure exposures, a binding leverage ratio of 3% to safeguard institutions against excessive leverage, a binding NSFR of 100% to address the excessive reliance on short-term wholesale funding and to reduce long-term funding risk, and more extensive supervisory reporting and disclosure requirements.</w:t>
      </w:r>
    </w:p>
    <w:p w14:paraId="6647E351" w14:textId="77777777" w:rsidR="003C4DE9" w:rsidRDefault="00000000">
      <w:r>
        <w:t>Among other changes, the proposal finalizes the integration of the Basel III regulatory framework in the EU and introduces a framework for identifying, monitoring, and disclosing environmental, social, and governance risks.</w:t>
      </w:r>
    </w:p>
    <w:p w14:paraId="6EE88160" w14:textId="77777777" w:rsidR="003C4DE9" w:rsidRDefault="00000000">
      <w:r>
        <w:t>Developments in Group Capital Adequacy The Bank continues to work on a number of initiatives to further strengthen its capital position and to maintain robust capital monitoring methods and processes.</w:t>
      </w:r>
    </w:p>
    <w:p w14:paraId="68B82FBE" w14:textId="77777777" w:rsidR="003C4DE9" w:rsidRDefault="00000000">
      <w:r>
        <w:t>Leverage The CRD IV regulatory framework recognizes the need to monitor a ratio that is not risk-sensitive, in order to depict the financial state of the Group more effectively and to complement the prudential requirements set by the minimum capital adequacy thresholds.</w:t>
      </w:r>
    </w:p>
    <w:p w14:paraId="7D0C6D34" w14:textId="77777777" w:rsidR="003C4DE9" w:rsidRDefault="00000000">
      <w:r>
        <w:t>Regulation 2019876 introduced various changes to the leverage ratio and the determination of the leverage exposure, applicable as of June 30th, 2021, including, a minimum regulatory leverage ratio of 3%, and calculation of derivative exposures based on the revised standardized approach for CCR SA-CCR.</w:t>
      </w:r>
    </w:p>
    <w:p w14:paraId="60C65448" w14:textId="77777777" w:rsidR="003C4DE9" w:rsidRDefault="00000000">
      <w:r>
        <w:t>ICAAP overview and integration in the overall RMF The ICAAP is an inextricable part of Pillar II within the Basel regulatory framework.</w:t>
      </w:r>
    </w:p>
    <w:p w14:paraId="339C39AE" w14:textId="77777777" w:rsidR="003C4DE9" w:rsidRDefault="00000000">
      <w:r>
        <w:lastRenderedPageBreak/>
        <w:t>Through the ICAAP, GRM extends risk measurement beyond risks addressed within the regulatory requirements of Pillar I credit, market, and operational risk, leverages on existing capabilities, and develops more advanced methodologies and metrics, in order to ensure that adequate capital is available according to the Groups risk profile and appetite.</w:t>
      </w:r>
    </w:p>
    <w:p w14:paraId="0B5D94CB" w14:textId="77777777" w:rsidR="003C4DE9" w:rsidRDefault="00000000">
      <w:r>
        <w:t>The ICAAP at the Group level results from a process of accommodating, regulatory guidelines, capital planning to ensure a sound trajectory towards the full implementation of the CRD IV and CRR, the external macro and business environment under which the Group operates, and the Groups strategy and objectives in the short and medium term.</w:t>
      </w:r>
    </w:p>
    <w:p w14:paraId="2021D54A" w14:textId="77777777" w:rsidR="003C4DE9" w:rsidRDefault="00000000">
      <w:r>
        <w:t>Planning and monitoring are the two indispensable phases of a complete ICAAP implementation, that respectively ensure the forward-looking and ongoing nature of the ICAAP, as postulated by regulatory requirements.</w:t>
      </w:r>
    </w:p>
    <w:p w14:paraId="1A8F19F8" w14:textId="766C081F" w:rsidR="003C4DE9" w:rsidRDefault="00000000">
      <w:r>
        <w:t>The ICAAP is under the BoDs responsibility, while suitable governance arrangements for the process are in place, in accordance with respective regulatory expectations, consisting of relevant Committees Group Planning Committee, Market Scenarios Steering Committee, Executive Committee, Risk Committee engaged in reviewing, challenging, steering and approving respective parts of the process G risks identified, scenarios developed, interim and final results for capital assessment, capital planning and stress testing, as required.</w:t>
      </w:r>
    </w:p>
    <w:p w14:paraId="7EE3EDFF" w14:textId="77777777" w:rsidR="003C4DE9" w:rsidRDefault="00000000">
      <w:r>
        <w:t>More specifically, reverse stress testing informs the recovery planning process and leads to the development of appropriate management and mitigating actions to cover the severe vulnerabilities.</w:t>
      </w:r>
    </w:p>
    <w:p w14:paraId="092E449A" w14:textId="77777777" w:rsidR="003C4DE9" w:rsidRDefault="00000000">
      <w:r>
        <w:t>The above concepts support effective Risk Management holistically.</w:t>
      </w:r>
    </w:p>
    <w:p w14:paraId="4F0A9040" w14:textId="77777777" w:rsidR="003C4DE9" w:rsidRDefault="00000000">
      <w:r>
        <w:t>The ICAAP is under the BoDs responsibility, while suitable governance arrangements for the process are in place, in accordance with respective regulatory expectations, consisting of relevant Committees Group Planning Committee, Market Scenarios Steering Committee, Executive Committee, Risk Committee engaged in reviewing, challenging, steering and approving respective parts of the process e.</w:t>
      </w:r>
    </w:p>
    <w:p w14:paraId="634CCBF4" w14:textId="77777777" w:rsidR="003C4DE9" w:rsidRDefault="00000000">
      <w:r>
        <w:t>Risks identified, scenarios developed, interim and final results for capital assessment, capital planning and stress testing, as required.</w:t>
      </w:r>
    </w:p>
    <w:p w14:paraId="14392E47" w14:textId="77777777" w:rsidR="003C4DE9" w:rsidRDefault="00000000">
      <w:r>
        <w:t>More specifically, reverse stress testing informs the recovery planning process and leads to the development of appropriate management and mitigating actions as a response to severe vulnerabilities.</w:t>
      </w:r>
    </w:p>
    <w:p w14:paraId="70B11D13" w14:textId="77777777" w:rsidR="003C4DE9" w:rsidRDefault="00000000">
      <w:r>
        <w:t>This enables the Group to ensure and maintain adequate capitalization levels in line with its strategic objectives and regulatory requirements.</w:t>
      </w:r>
    </w:p>
    <w:p w14:paraId="55B56673" w14:textId="77777777" w:rsidR="003C4DE9" w:rsidRDefault="00000000">
      <w:r>
        <w:t>The above concepts support effective Risk Management holistically.</w:t>
      </w:r>
    </w:p>
    <w:p w14:paraId="2B28300E" w14:textId="77777777" w:rsidR="003C4DE9" w:rsidRDefault="00000000">
      <w:r>
        <w:t>In parallel, ICAAP and ILAAP have similar underlying governance and procedural arrangements, therefore pertinent changes in these elements affect both practices.</w:t>
      </w:r>
    </w:p>
    <w:p w14:paraId="3FC8609A" w14:textId="77777777" w:rsidR="003C4DE9" w:rsidRDefault="00000000">
      <w:r>
        <w:lastRenderedPageBreak/>
        <w:t>The implementation of the Credit Policy, which describes the principles of credit risk management of the Group, ensures effective and uniform credit risk monitoring and control.</w:t>
      </w:r>
    </w:p>
    <w:p w14:paraId="052ED3C8" w14:textId="77777777" w:rsidR="003C4DE9" w:rsidRDefault="00000000">
      <w:r>
        <w:t>Under GRM, Credit Risk Management operates with the objective of identifying, monitoring, and managing credit risk according to the RAF, as approved by the BoD, in compliance with the respective obligations towards the supervisory authorities.</w:t>
      </w:r>
    </w:p>
    <w:p w14:paraId="707F5F58" w14:textId="77777777" w:rsidR="003C4DE9" w:rsidRDefault="00000000">
      <w:r>
        <w:t>The continuous development of infrastructure, systems, and methodologies aimed at quantifying and evaluating credit risk is essential in order to timely and efficiently support Senior Management and the Business Units in relation to decision-making, policy formulation, and compliance with regulatory requirements.</w:t>
      </w:r>
    </w:p>
    <w:p w14:paraId="61799BF1" w14:textId="77777777" w:rsidR="003C4DE9" w:rsidRDefault="00000000">
      <w:r>
        <w:t>The alignment of the Restructuring Policy of the Group with the relevant EBA definitions and BoG guidelines was backed up with the creation of new structures and procedures, development of new information systems, and updates on existing applications, in order to achieve effective and reliable management of past due loans by performing restructurings according to the financial ability of the borrower and monitoring the effectiveness of various types of forbearance measures.</w:t>
      </w:r>
    </w:p>
    <w:p w14:paraId="116058D3" w14:textId="77777777" w:rsidR="003C4DE9" w:rsidRDefault="00000000">
      <w:r>
        <w:t>The exposure values are broken down by risk-weight bands columns a-e.</w:t>
      </w:r>
    </w:p>
    <w:p w14:paraId="383C5C30" w14:textId="77777777" w:rsidR="003C4DE9" w:rsidRDefault="00000000">
      <w:r>
        <w:t>Additionally, the exposure values, risk weighted exposure amounts, and capital requirements are presented separately for each regulatory RWA calculation approach columns f-q.</w:t>
      </w:r>
    </w:p>
    <w:p w14:paraId="7EA9667D" w14:textId="77777777" w:rsidR="003C4DE9" w:rsidRDefault="00000000">
      <w:r>
        <w:t>Environmental, Social, &amp; Governance Risks Introduction Environmental, Social, and Governance risks refer to the potential negative financial and non-financial impacts that an organizations activities may have on the environment and society, as well as the organizations long-term sustainability, reputation, and brand.</w:t>
      </w:r>
    </w:p>
    <w:p w14:paraId="43CDCD6F" w14:textId="77777777" w:rsidR="003C4DE9" w:rsidRDefault="00000000">
      <w:r>
        <w:t>As these risks have proven to translate to material losses in recent years, there is more focus from institutions to integrate ESG risk strategy, monitoring, and measurement into their business models and from regulatory authorities to develop a robust supervisory framework to ensure these risks are effectively managed.</w:t>
      </w:r>
    </w:p>
    <w:p w14:paraId="494EF71C" w14:textId="77777777" w:rsidR="003C4DE9" w:rsidRDefault="00000000">
      <w:r>
        <w:t>Moreover, it is noted that stepping up efforts to address climate change is one of the key supervisory priorities for the SSM.</w:t>
      </w:r>
    </w:p>
    <w:p w14:paraId="756ADA90" w14:textId="77777777" w:rsidR="003C4DE9" w:rsidRDefault="00000000">
      <w:r>
        <w:t>As it aspires to align its loan and investment portfolios to become net zero, the Group committed to SBTi, and submitted targets that were validated in December 2022 and has been taking action and monitoring progress since then.</w:t>
      </w:r>
    </w:p>
    <w:p w14:paraId="1F4FCE03" w14:textId="77777777" w:rsidR="003C4DE9" w:rsidRDefault="00000000">
      <w:r>
        <w:t>In line with Greeces national climate targets as stipulated with the legislative framework in force National Climate Law, the Bank has committed `to Zero new investments in new coal mines orand expansion of existing mines, as part of its exclusion lists enhancement .</w:t>
      </w:r>
    </w:p>
    <w:p w14:paraId="539EFAC4" w14:textId="77777777" w:rsidR="003C4DE9" w:rsidRDefault="00000000">
      <w:r>
        <w:lastRenderedPageBreak/>
        <w:t>A dedicated Steering Committee, chaired by the Group CRO and comprised of executive members across all functions of the Group, has the oversight of the Project.</w:t>
      </w:r>
    </w:p>
    <w:p w14:paraId="15071B74" w14:textId="77777777" w:rsidR="003C4DE9" w:rsidRDefault="00000000">
      <w:r>
        <w:t>Overall, focus has been placed on redefining and enhancing processes, data management systems, policies, and frameworks, raising awareness and building a robust climate and ESG risks governance.</w:t>
      </w:r>
    </w:p>
    <w:p w14:paraId="4CB4FA58" w14:textId="77777777" w:rsidR="003C4DE9" w:rsidRDefault="00000000">
      <w:r>
        <w:t>These initiatives have been designed to support stakeholders confidence in the prospects of the Groups franchise, marking a significant step forward in the Groups commitment to sustained growth and stability.</w:t>
      </w:r>
    </w:p>
    <w:p w14:paraId="55F4ED91" w14:textId="77777777" w:rsidR="003C4DE9" w:rsidRDefault="00000000">
      <w:r>
        <w:t>This commitment aligns with the Groups goal to contribute maximally to the Paris Climate Agreements targets and the United Nations Sustainable Development Goals SDGs.</w:t>
      </w:r>
    </w:p>
    <w:p w14:paraId="304AA739" w14:textId="77777777" w:rsidR="003C4DE9" w:rsidRDefault="00000000">
      <w:r>
        <w:t>C&amp;E opportunities and targets identified by Piraeus Group over the short, medium, and long term Piraeus Group understands the environmental dimension of sustainability as the management over time of the impacts, risks and opportunities linked to the battle against climate change, the transition to a low-carbon economy and the protection and regeneration of natural capital.</w:t>
      </w:r>
    </w:p>
    <w:p w14:paraId="3AFDFD7D" w14:textId="77777777" w:rsidR="003C4DE9" w:rsidRDefault="00000000">
      <w:r>
        <w:t>To proceed with a long-term assessment, beyond the typical business planning horizon for corporate clients, a longer period greater than five years is required to capture climate related risks, for assessing the resilience of the current business model against a range of possible future scenarios relevant to estimate climate-related and environmental risks.</w:t>
      </w:r>
    </w:p>
    <w:p w14:paraId="3CF27EB3" w14:textId="77777777" w:rsidR="003C4DE9" w:rsidRDefault="00000000">
      <w:r>
        <w:t>Piraeus Group recognizes that climate-related risks are expected to intensify in the longer term, and thus, is launching initiatives to take due account of climate change and environmental considerations in the business targets, strategies, risk management and decision-making process.</w:t>
      </w:r>
    </w:p>
    <w:p w14:paraId="3DF36E25" w14:textId="77777777" w:rsidR="003C4DE9" w:rsidRDefault="00000000">
      <w:r>
        <w:t>For instance, Piraeus Group has already updated its credit policy framework, incorporated climate-related and environmental considerations into its business planning, budgeting, and Risk Appetite Framework procedures, and has augmented its risk reports with additional ESG-related metrics and KPIs.</w:t>
      </w:r>
    </w:p>
    <w:p w14:paraId="3ED56878" w14:textId="77777777" w:rsidR="003C4DE9" w:rsidRDefault="00000000">
      <w:r>
        <w:t>Leading a positive impact in sustainability to support the financing needs of the country in energy transition with an ambition of, € 5bn energy transition financing by 2026, € 1.</w:t>
      </w:r>
    </w:p>
    <w:p w14:paraId="1C159412" w14:textId="77777777" w:rsidR="003C4DE9" w:rsidRDefault="00000000">
      <w:r>
        <w:t>Climate, The following targets have been set, Piraeus Bank aspires to align its loan and investment portfolios to be net-zero.</w:t>
      </w:r>
    </w:p>
    <w:p w14:paraId="02DE2D2A" w14:textId="77777777" w:rsidR="003C4DE9" w:rsidRDefault="00000000">
      <w:r>
        <w:t>The financed emissions targets are for below 2˚C and refer to nine asset classes representing well over 50% of total financed emissions.</w:t>
      </w:r>
    </w:p>
    <w:p w14:paraId="207767B2" w14:textId="77777777" w:rsidR="003C4DE9" w:rsidRDefault="00000000">
      <w:r>
        <w:t>A target of 73% reduction of Scope 1 and Scope 2 2019 reference year emissions by 2030 has also been set under the SBTi Piraeus Group also participates in a wide variety of global initiatives for sustainability.</w:t>
      </w:r>
    </w:p>
    <w:p w14:paraId="1FD1DD6D" w14:textId="77777777" w:rsidR="003C4DE9" w:rsidRDefault="00000000">
      <w:r>
        <w:lastRenderedPageBreak/>
        <w:t>Current and future C&amp;E investment activities and sustainable financing Piraeus Group has recognized the opportunity of ESG investments as stable &amp; safe and in line with its new Sustainability Policy, its Climate Change Strategy and the new ESG Strategy and Business Plan.</w:t>
      </w:r>
    </w:p>
    <w:p w14:paraId="51286D32" w14:textId="77777777" w:rsidR="003C4DE9" w:rsidRDefault="00000000">
      <w:r>
        <w:t>This internationally acclaimed assessment recognizes the effectiveness of the company's policies and procedures in promoting transparency, promotion, acceptance and application of the Principles for Responsible Investment within the asset management industry.</w:t>
      </w:r>
    </w:p>
    <w:p w14:paraId="16F205C3" w14:textId="77777777" w:rsidR="003C4DE9" w:rsidRDefault="00000000">
      <w:r>
        <w:t>Finally, the company contributed significantly to the integration of adverse sustainability impacts at Piraeus Bank Group level PAI Policy.</w:t>
      </w:r>
    </w:p>
    <w:p w14:paraId="5DD3C136" w14:textId="77777777" w:rsidR="003C4DE9" w:rsidRDefault="00000000">
      <w:r>
        <w:t>Exclusionary criteria have also been developed for the proceeds of Green Bonds, which commit Piraeus Group to refrain from financing any of the following assets or activities, fossil fuel, weapons, gambling, tobacco, adult entertainment, predatory lending, and nuclear.</w:t>
      </w:r>
    </w:p>
    <w:p w14:paraId="1FA81760" w14:textId="77777777" w:rsidR="003C4DE9" w:rsidRDefault="00000000">
      <w:r>
        <w:t>DSB is also responsible for conducting environmental and social risk assessments for business lending.</w:t>
      </w:r>
    </w:p>
    <w:p w14:paraId="0E9580CA" w14:textId="77777777" w:rsidR="003C4DE9" w:rsidRDefault="00000000">
      <w:r>
        <w:t>Eligibility of corporate clients to receive an SLL, The framework prescribes that, subject to a relevant credit assessment, any type of borrower may receive SLL regardless of their sector, geography or level of sustainability maturity under the condition that the borrower is able to provide the strategic elements necessary for the structure to be aligned with the framework.</w:t>
      </w:r>
    </w:p>
    <w:p w14:paraId="187A80BB" w14:textId="77777777" w:rsidR="003C4DE9" w:rsidRDefault="00000000">
      <w:r>
        <w:t>Taking into consideration the above, Piraeus Bank continued to support borrowers in improving their sustainability performance by providing targeted financing that incorporates performance indicators related to environmental, 76 PILLAR III 2023 social and governance issues.</w:t>
      </w:r>
    </w:p>
    <w:p w14:paraId="2EA93404" w14:textId="77777777" w:rsidR="003C4DE9" w:rsidRDefault="00000000">
      <w:r>
        <w:t>In accordance with relevant international and EU Standards, Piraeus Bank continued in 2023 to integrate ESG criteria in the lending process for Midcaps and Large Corporates, prompting its customers to achieve measurable targets related to, energy efficiency improvements CO2 emissions reductions efficient water usage reduction and management of manufacturing waste recycling increases labor and social issues 5.</w:t>
      </w:r>
    </w:p>
    <w:p w14:paraId="2C3D4C21" w14:textId="77777777" w:rsidR="003C4DE9" w:rsidRDefault="00000000">
      <w:r>
        <w:t>Policies related to C&amp;E business development Sustainable Development Policy The Sustainable Development Policy reflects the Groups intentions for business strategies and targets that meet the UN Sustainable Development Goals and the Paris Agreement, by aligning its operations with the UNEP FI Principles for Responsible Banking.</w:t>
      </w:r>
    </w:p>
    <w:p w14:paraId="469E5D30" w14:textId="77777777" w:rsidR="003C4DE9" w:rsidRDefault="00000000">
      <w:r>
        <w:t>It echoes the Groups overall approach to sustainable development and sets the strategic directions to support, promote, and finance sustainability.</w:t>
      </w:r>
    </w:p>
    <w:p w14:paraId="4469D40D" w14:textId="77777777" w:rsidR="003C4DE9" w:rsidRDefault="00000000">
      <w:r>
        <w:t>The Framework aims to establish a clear and comprehensive methodology for identifying sustainable financing, thus facilitating the monitoring of the Banks performance against sustainability-related strategic aspirations and targets.</w:t>
      </w:r>
    </w:p>
    <w:p w14:paraId="2AF8D9DB" w14:textId="77777777" w:rsidR="003C4DE9" w:rsidRDefault="00000000">
      <w:r>
        <w:lastRenderedPageBreak/>
        <w:t>Currently, Piraeus Group offers Mutual Funds that are engaged in the promotion of environmental and or social objectives light green Article 8 as per SFDR classification system.</w:t>
      </w:r>
    </w:p>
    <w:p w14:paraId="27CA65F3" w14:textId="77777777" w:rsidR="003C4DE9" w:rsidRDefault="00000000">
      <w:r>
        <w:t>Environmental risk governance The Sustainable Development Policy reflects the Groups intentions for business strategies and targets that meet the UN Sustainable Development Goals and the Paris Agreement, by aligning its operations with the UNEP FI Principles for Responsible Banking.</w:t>
      </w:r>
    </w:p>
    <w:p w14:paraId="1AB5E862" w14:textId="77777777" w:rsidR="003C4DE9" w:rsidRDefault="00000000">
      <w:r>
        <w:t>It echoes the Groups overall approach to sustainable development and sets the strategic directions to support, promote, and finance sustainability.</w:t>
      </w:r>
    </w:p>
    <w:p w14:paraId="4FA0A78E" w14:textId="77777777" w:rsidR="003C4DE9" w:rsidRDefault="00000000">
      <w:r>
        <w:t>In line with the commitment to put sustainability at the heart of what the Group does, its governance approach has been updated.</w:t>
      </w:r>
    </w:p>
    <w:p w14:paraId="6148D604" w14:textId="77777777" w:rsidR="003C4DE9" w:rsidRDefault="00000000">
      <w:r>
        <w:t>The new ESG governance supports a holistic approach and drives long-term value creation.</w:t>
      </w:r>
    </w:p>
    <w:p w14:paraId="424732B7" w14:textId="77777777" w:rsidR="003C4DE9" w:rsidRDefault="00000000">
      <w:r>
        <w:t>Risk Committee, Responsible for advising and supporting the BoD regarding the monitoring of the Groups overall actual and future risk strategy and risk appetite, taking into account all types of risks including climate and ESG risks, in order to ensure that they are in line with the business strategy, objectives, corporate culture, and values of the Group.</w:t>
      </w:r>
    </w:p>
    <w:p w14:paraId="40717976" w14:textId="77777777" w:rsidR="003C4DE9" w:rsidRDefault="00000000">
      <w:r>
        <w:t>In 2023, the Risk Committee reviewed the 2023 Groups Risk Identification Annual Report, including the Groups strategic approach on the front of climate-related and environmental risks, and opportunities.</w:t>
      </w:r>
    </w:p>
    <w:p w14:paraId="5C4D7BAF" w14:textId="77777777" w:rsidR="003C4DE9" w:rsidRDefault="00000000">
      <w:r>
        <w:t>Remuneration Committee RemCo, Responsible for ensuring that the Group remuneration policy is consistent with the objectives of the Groups business and risk strategy, including ESG risk-related objectives, corporate culture and values, and long-term interests of the Group.</w:t>
      </w:r>
    </w:p>
    <w:p w14:paraId="238EBDEB" w14:textId="77777777" w:rsidR="003C4DE9" w:rsidRDefault="00000000">
      <w:r>
        <w:t>In 2023, following a respective proposal of the Remuneration Committee to the BoD, an amended version of the Directors Remuneration Policy was approved by the Annual General Meeting of Shareholders.</w:t>
      </w:r>
    </w:p>
    <w:p w14:paraId="3618B5F1" w14:textId="77777777" w:rsidR="003C4DE9" w:rsidRDefault="00000000">
      <w:r>
        <w:t>Board Ethics and ESG Committee, Responsible for considering the material ethical and ESG issues relevant to the Groups business activities and for supporting the Group in maintaining its position as a reference leader in ethical and ESG environmental, society, governance issues.</w:t>
      </w:r>
    </w:p>
    <w:p w14:paraId="6D08A2A8" w14:textId="77777777" w:rsidR="003C4DE9" w:rsidRDefault="00000000">
      <w:r>
        <w:t>The composition of the Committee, reflects the prominent role the management of the Group is expected to play in shaping the Groups approach to managing sustainability issues and integrating the Climate &amp; ESG criteria into the Banks strategy, recognizing that this is a key factor in ensuring long-term success and reflecting the fact that these issues are becoming materially relevant to the Group as well as to key stakeholders, such as clients and regulators.</w:t>
      </w:r>
    </w:p>
    <w:p w14:paraId="7F550B80" w14:textId="77777777" w:rsidR="003C4DE9" w:rsidRDefault="00000000">
      <w:r>
        <w:lastRenderedPageBreak/>
        <w:t>The purpose of this Committee is to promote and monitor Responsible and Sustainable Banking by adopting ESG criteria that combine growth and economic performance with culture, social well-being, and environmental sustainability.</w:t>
      </w:r>
    </w:p>
    <w:p w14:paraId="7CA73318" w14:textId="77777777" w:rsidR="003C4DE9" w:rsidRDefault="00000000">
      <w:r>
        <w:t>The mandate focuses on crafting a sustainability agenda with tangible results and ensure that sustainability is fully embedded into every function, process and employee of the Bank.</w:t>
      </w:r>
    </w:p>
    <w:p w14:paraId="35601AD4" w14:textId="77777777" w:rsidR="003C4DE9" w:rsidRDefault="00000000">
      <w:r>
        <w:t>The Climate &amp; ESG strategy is further implemented by all units of the Group in the context of their responsibilities and under the umbrella of ESG culture that is being cultivated and implemented throughout the organization.</w:t>
      </w:r>
    </w:p>
    <w:p w14:paraId="42F1FB47" w14:textId="77777777" w:rsidR="003C4DE9" w:rsidRDefault="00000000">
      <w:r>
        <w:t>It is responsible for the coordination and promotion of ESG &amp; Climate activities, supporting the work of all business units.</w:t>
      </w:r>
    </w:p>
    <w:p w14:paraId="5841987A" w14:textId="77777777" w:rsidR="003C4DE9" w:rsidRDefault="00000000">
      <w:r>
        <w:t>Priority is placed in developing sustainable products and services to customers in a way to enable a commercial ESG &amp; Climate strategy, enhancing ESG communication and disclosure to all stakeholders, and contributing to the formulation of global Climate &amp; ESG frameworks by participating in international sustainability initiatives.</w:t>
      </w:r>
    </w:p>
    <w:p w14:paraId="6783574F" w14:textId="77777777" w:rsidR="003C4DE9" w:rsidRDefault="00000000">
      <w:r>
        <w:t>It also provides subject matter expertise on these risks in the context of risk frameworks, governance, management and measurement, stress testing, regulatory expectations, and disclosures.</w:t>
      </w:r>
    </w:p>
    <w:p w14:paraId="34B96D7B" w14:textId="77777777" w:rsidR="003C4DE9" w:rsidRDefault="00000000">
      <w:r>
        <w:t>Furthermore, it identifies potential areas for enhanced analysis and improvements in the management of ESG &amp; Climate risks and their respective implementation plans and ensures appropriate information flow and progress on their roadmaps inside GRM.</w:t>
      </w:r>
    </w:p>
    <w:p w14:paraId="48A9E438" w14:textId="77777777" w:rsidR="003C4DE9" w:rsidRDefault="00000000">
      <w:r>
        <w:t>The Unit prioritizes the development and strengthening of initiatives and actions 81 PILLAR III 2023 based on social contribution and in particular the strengthening of education, health, and sports.</w:t>
      </w:r>
    </w:p>
    <w:p w14:paraId="38A51EB2" w14:textId="77777777" w:rsidR="003C4DE9" w:rsidRDefault="00000000">
      <w:r>
        <w:t>Furthermore, it is responsible to assist in addressing social problems, to support humanitarian initiatives, and to support the work of social and other organizations.</w:t>
      </w:r>
    </w:p>
    <w:p w14:paraId="31977126" w14:textId="77777777" w:rsidR="003C4DE9" w:rsidRDefault="00000000">
      <w:r>
        <w:t>The management of the report entails the regular maintenance and updating of the content, to ensure that the Framework remains relevant and up to date, against any strategic or regulatory developments.</w:t>
      </w:r>
    </w:p>
    <w:p w14:paraId="19DC9A85" w14:textId="77777777" w:rsidR="003C4DE9" w:rsidRDefault="00000000">
      <w:r>
        <w:t>To assist in the accurate maintenance, Piraeus Banks units of Development &amp; Sustainable Banking, Credit Policy and Risk Strategy &amp; ESG Risks also participate in the periodic review of the Framework, by providing subject matter expert advice and ensuring the accurate categorization of financial and alignment with the latest developments.</w:t>
      </w:r>
    </w:p>
    <w:p w14:paraId="3F20A061" w14:textId="77777777" w:rsidR="003C4DE9" w:rsidRDefault="00000000">
      <w:r>
        <w:t xml:space="preserve">The Remuneration Policy aims, inter alia, to, support a performance-driven culture, rewarding excellence and delivery of ESG goals embrace equal pay policy for male and female employees for equal work or work of equal value, supporting a culture of fairness For this purpose, the Group has already integrated a set of ESG related Short-term STIs and </w:t>
      </w:r>
      <w:r>
        <w:lastRenderedPageBreak/>
        <w:t>Long-term Incentives LTIs in line with its business plan, covering also in some cases, risk-related aspects.</w:t>
      </w:r>
    </w:p>
    <w:p w14:paraId="61B58EB1" w14:textId="77777777" w:rsidR="003C4DE9" w:rsidRDefault="00000000">
      <w:r>
        <w:t>The Group monitors, reviews, and updates the remuneration processes and structures on a periodic basis and whenever there is a material change, so that they are continuously aligned with the evolving business objectives and regulatory framework.</w:t>
      </w:r>
    </w:p>
    <w:p w14:paraId="0D2FF3E5" w14:textId="77777777" w:rsidR="003C4DE9" w:rsidRDefault="00000000">
      <w:r>
        <w:t>One of the aims set in the Remuneration Policy is to support a performance-driven culture, rewarding excellence and delivery of ESG goals.</w:t>
      </w:r>
    </w:p>
    <w:p w14:paraId="03AC58A2" w14:textId="77777777" w:rsidR="003C4DE9" w:rsidRDefault="00000000">
      <w:r>
        <w:t>As described in the Groups and the Directors Remuneration Policies, under the section of the Annual Variable Incentive Schemes, Unit or pillar performance is a key component defining the amount of variable pay.</w:t>
      </w:r>
    </w:p>
    <w:p w14:paraId="05D0FA6C" w14:textId="77777777" w:rsidR="003C4DE9" w:rsidRDefault="00000000">
      <w:r>
        <w:t>Climate-related metrics incorporated in compensation frameworks include the reduction of carbon footprint, provision of sustainable finance and products, and accountability type measures such as leadership in the climate-related area.</w:t>
      </w:r>
    </w:p>
    <w:p w14:paraId="3D23C439" w14:textId="77777777" w:rsidR="003C4DE9" w:rsidRDefault="00000000">
      <w:r>
        <w:t>Internal reporting Over and above RAF indicators which are detailed in a subsequent section, the Group has introduced several monitoring KRIs around C&amp;E risks, to enable close oversight and a proactive approach in managing the associated risks.</w:t>
      </w:r>
    </w:p>
    <w:p w14:paraId="202B8105" w14:textId="77777777" w:rsidR="003C4DE9" w:rsidRDefault="00000000">
      <w:r>
        <w:t>The Group is continuing to integrate the necessary data into its system that will allow for the categorization of various financings as sustainable and for the overall compliance with the legal obligations of reporting sustainable data, while continuing to align its business objectives with the EU Taxonomy.</w:t>
      </w:r>
    </w:p>
    <w:p w14:paraId="40016D24" w14:textId="77777777" w:rsidR="003C4DE9" w:rsidRDefault="00000000">
      <w:r>
        <w:t>Environmental risk identification and materiality assessment Piraeus Group has established a comprehensive RMF to identify, measure, control, and mitigate underlying risks, including climate and environmental risks.</w:t>
      </w:r>
    </w:p>
    <w:p w14:paraId="11C4CD21" w14:textId="77777777" w:rsidR="003C4DE9" w:rsidRDefault="00000000">
      <w:r>
        <w:t>Definitions, methodologies, and international standards on which the environmental risk management framework is based The Group identifies the climate risks as the potential negative impacts on an institutions financial health and operations, potentially caused by climate changes, such as extreme weather.</w:t>
      </w:r>
    </w:p>
    <w:p w14:paraId="45FE36AA" w14:textId="77777777" w:rsidR="003C4DE9" w:rsidRDefault="00000000">
      <w:r>
        <w:t>In addition, environmental risks are regarded as the risks of any negative financial impact on the institution stemming the current or prospective impacts of environmental factors on its counterparties or invested assets.</w:t>
      </w:r>
    </w:p>
    <w:p w14:paraId="44840321" w14:textId="77777777" w:rsidR="003C4DE9" w:rsidRDefault="00000000">
      <w:r>
        <w:t>These changes may be due to long-term alterations in climate patterns, referred to as chronic, or an increase in the number and severity of extreme events, often classified as acute.</w:t>
      </w:r>
    </w:p>
    <w:p w14:paraId="1778EDFF" w14:textId="77777777" w:rsidR="003C4DE9" w:rsidRDefault="00000000">
      <w:r>
        <w:t>These risks are triggered by regulatory changes policy and legal, the integration of new low-carbon technologies, shifts in market conditions, consumer preferences, and more.</w:t>
      </w:r>
    </w:p>
    <w:p w14:paraId="154EFD6C" w14:textId="77777777" w:rsidR="003C4DE9" w:rsidRDefault="00000000">
      <w:r>
        <w:lastRenderedPageBreak/>
        <w:t>The analysis is performed on the two main sub-categories of climate risk, Transition Risk due to changes in the regulatory framework, fast technology developments, changes in market conditions and the transition to a low carbon economy.</w:t>
      </w:r>
    </w:p>
    <w:p w14:paraId="125CCB0A" w14:textId="77777777" w:rsidR="003C4DE9" w:rsidRDefault="00000000">
      <w:r>
        <w:t>The main external data sources utilized are, Hellenic Statistical Authority, Eurostat, National Energy and Climate Plan, Network of Central Banks and Supervisors for Greening the Financial System , Institute of Greek Tourism Confederation, Greek Payment Authority of Common Agricultural Policy.</w:t>
      </w:r>
    </w:p>
    <w:p w14:paraId="0CE5F7F5" w14:textId="77777777" w:rsidR="003C4DE9" w:rsidRDefault="00000000">
      <w:r>
        <w:t>This analysis helps the Group to support its clients in their climate transition, focus on supporting a green economy, and financing their energy transition Energy Transition Project, as well as to take measures against upcoming potential physical risks from extreme or chronic events.</w:t>
      </w:r>
    </w:p>
    <w:p w14:paraId="6D6623C1" w14:textId="77777777" w:rsidR="003C4DE9" w:rsidRDefault="00000000">
      <w:r>
        <w:t>This analysis helps the Group to support its clients in their climate transition, focus on supporting a green economy, and financing the energy performance efficiency of their properties, as well as to optimize the value of its collaterals by requiring insurance protection for certain hazards.</w:t>
      </w:r>
    </w:p>
    <w:p w14:paraId="02769456" w14:textId="77777777" w:rsidR="003C4DE9" w:rsidRDefault="00000000">
      <w:r>
        <w:t>The consumer portfolio is excluded from this analysis due to its low materiality, stemming from its low exposures and short-term maturity, which makes it less relevant for climate change impact analysis.</w:t>
      </w:r>
    </w:p>
    <w:p w14:paraId="1A25460A" w14:textId="77777777" w:rsidR="003C4DE9" w:rsidRDefault="00000000">
      <w:r>
        <w:t>Based on the above analysis, the increase in risk profile from both physical and transition risks, is considered material across the loan portfolios examined excluding unsecured retail exposures and all-time horizons short, medium and long, as the effects of climate change are expected to intensify.</w:t>
      </w:r>
    </w:p>
    <w:p w14:paraId="22FCBA37" w14:textId="77777777" w:rsidR="003C4DE9" w:rsidRDefault="00000000">
      <w:r>
        <w:t>Conversely, the impact of C&amp;E risks on reputation and litigation risk is deemed material in the mediumand long-term horizons, given the increasing public awareness and stakeholders focus on ESG topics rise.</w:t>
      </w:r>
    </w:p>
    <w:p w14:paraId="54808C86" w14:textId="77777777" w:rsidR="003C4DE9" w:rsidRDefault="00000000">
      <w:r>
        <w:t>In addition, through Piraeus Groups Environmental &amp; Social Management System a set of procedures, application forms, and actions are part of the Groups ongoing credit procedures and are taken into consideration for the assessment of financing requests according to the current Group credit policy.</w:t>
      </w:r>
    </w:p>
    <w:p w14:paraId="629BC187" w14:textId="77777777" w:rsidR="003C4DE9" w:rsidRDefault="00000000">
      <w:r>
        <w:t>Reach net zero in Groups operations, the Group monitors and manages its environmental impact closely, investing in operational efficiency solutions and sourcing 100% renewable energy for the buildings it has management control over Transformation project 2.</w:t>
      </w:r>
    </w:p>
    <w:p w14:paraId="0C5C3183" w14:textId="77777777" w:rsidR="003C4DE9" w:rsidRDefault="00000000">
      <w:r>
        <w:t>Steer Groups portfolio towards net zero by 2050, the Group makes the most positive impact on climate action through its financing.</w:t>
      </w:r>
    </w:p>
    <w:p w14:paraId="47E41D6B" w14:textId="77777777" w:rsidR="003C4DE9" w:rsidRDefault="00000000">
      <w:r>
        <w:t>It focuses on the sectors that score higher in its C&amp;E risk classification exercise, and measures whether its lending in each sector is aligning with its climate ambition.</w:t>
      </w:r>
    </w:p>
    <w:p w14:paraId="15497FDE" w14:textId="77777777" w:rsidR="003C4DE9" w:rsidRDefault="00000000">
      <w:r>
        <w:lastRenderedPageBreak/>
        <w:t>Support and advise clients in line with a carbon-neutral economy, to support its clients in their climate transition, the Group focuses on accelerating the green economy and financing the energy transition.</w:t>
      </w:r>
    </w:p>
    <w:p w14:paraId="3FBB3400" w14:textId="77777777" w:rsidR="003C4DE9" w:rsidRDefault="00000000">
      <w:r>
        <w:t>Manage climate and environmental risks, the Group is progressively integrating the risks associated with climate change in its risk management framework.</w:t>
      </w:r>
    </w:p>
    <w:p w14:paraId="0BC6C15D" w14:textId="77777777" w:rsidR="003C4DE9" w:rsidRDefault="00000000">
      <w:r>
        <w:t>Its approach continues to develop as methodologies advance and regulatory guidance and requirements evolve.</w:t>
      </w:r>
    </w:p>
    <w:p w14:paraId="62F4CCB2" w14:textId="77777777" w:rsidR="003C4DE9" w:rsidRDefault="00000000">
      <w:r>
        <w:t>Simultaneously, the Qualitative Evaluation for the medium long-term period has asserted that in adopting such strategic priorities, the Group has undertaken the necessary measures to understand how climate-associated risks could affect its business model and has mapped an initial strategic reaction.</w:t>
      </w:r>
    </w:p>
    <w:p w14:paraId="645DC68B" w14:textId="77777777" w:rsidR="003C4DE9" w:rsidRDefault="00000000">
      <w:r>
        <w:t>From an inherent risk perspective, environmental risks are considered to have a material impact, especially on the credit risk of loan portfolio.</w:t>
      </w:r>
    </w:p>
    <w:p w14:paraId="7C96A253" w14:textId="77777777" w:rsidR="003C4DE9" w:rsidRDefault="00000000">
      <w:r>
        <w:t>However, the level of residual risk is expected to be immaterial considering the dedicated processes to identify, monitor and mitigate risks associated with environmental other than climate factors in credit origination.</w:t>
      </w:r>
    </w:p>
    <w:p w14:paraId="39DE5692" w14:textId="77777777" w:rsidR="003C4DE9" w:rsidRDefault="00000000">
      <w:r>
        <w:t>These processes include the exclusion list in terms of financed activities which takes into consideration environmental and social factors, the ESMS Process and Questionnaire which performs an initial screening of customers behavior towards environmental &amp; social matters through a dedicated questionnaire and the Interbank Questionnaire which will allow the Bank to assess, in quantitative terms, the performance of its obligors across all material environmental, social &amp; governance risk factors.</w:t>
      </w:r>
    </w:p>
    <w:p w14:paraId="21ABE1A7" w14:textId="77777777" w:rsidR="003C4DE9" w:rsidRDefault="00000000">
      <w:r>
        <w:t>The outcome of the materiality assessment for environmental risks applies to all time horizons.</w:t>
      </w:r>
    </w:p>
    <w:p w14:paraId="59FC8980" w14:textId="77777777" w:rsidR="003C4DE9" w:rsidRDefault="00000000">
      <w:r>
        <w:t>More specifically, the Group is committed to integrate the risks associated with climate and ESG factors into its business strategy and to assume initiatives over and above legal obligations with the aim of enhancing social welfare and contributing to a net-zero economy.</w:t>
      </w:r>
    </w:p>
    <w:p w14:paraId="4833D86E" w14:textId="77777777" w:rsidR="003C4DE9" w:rsidRDefault="00000000">
      <w:r>
        <w:t>Meeting societys needs as expressed through the Sustainable Development Goals SDGs and the Paris Climate Agreement and adopting a responsible banking behavior are fundamental to Piraeus Groups strategy and fully resonate with its business model, its shared values of accountability, meritocracy, and transparency, and its aspiration to become net-zero by 2050.</w:t>
      </w:r>
    </w:p>
    <w:p w14:paraId="0802C124" w14:textId="77777777" w:rsidR="003C4DE9" w:rsidRDefault="00000000">
      <w:r>
        <w:t>The Group, is also, committed to integrate the risks associated with climate and ESG factors at all relevant stages of the credit granting process.</w:t>
      </w:r>
    </w:p>
    <w:p w14:paraId="6CB83900" w14:textId="77777777" w:rsidR="003C4DE9" w:rsidRDefault="00000000">
      <w:r>
        <w:lastRenderedPageBreak/>
        <w:t>Policies and tools related to environmental risk management The Group, through Project Proteus, has already identified the business functions across all Three Lines of Defense related to or affected by C&amp;E risks and the respective policies in order to map any gaps and ensure that climate and ESG aspects are incorporated accordingly.</w:t>
      </w:r>
    </w:p>
    <w:p w14:paraId="726F944E" w14:textId="77777777" w:rsidR="003C4DE9" w:rsidRDefault="00000000">
      <w:r>
        <w:t>Environmental &amp; Social Management System in business financing incorporated in Credit Policy The Executive Committee has approved the ESMS and consequently, the Groups Credit Policy incorporates environmental and social E&amp;S criteria in line with international standards, in addition to traditional credit criteria.</w:t>
      </w:r>
    </w:p>
    <w:p w14:paraId="3D997656" w14:textId="77777777" w:rsidR="003C4DE9" w:rsidRDefault="00000000">
      <w:r>
        <w:t>The main objective of the ESMS is to identify and assess potential environmental and social impacts, in addition to the economic impact, of the lending activities to be used in the Groups credit approval process.</w:t>
      </w:r>
    </w:p>
    <w:p w14:paraId="435DA0C7" w14:textId="77777777" w:rsidR="003C4DE9" w:rsidRDefault="00000000">
      <w:r>
        <w:t>Specific parameters criteria are integrated into the existing loan approval processes and in new business financing projects for the evaluation and management of the environmental and social risks of each project, in line with international standards.</w:t>
      </w:r>
    </w:p>
    <w:p w14:paraId="79EDBC78" w14:textId="77777777" w:rsidR="003C4DE9" w:rsidRDefault="00000000">
      <w:r>
        <w:t>With the implementation of ESMS, environmental and social risks are integrated into the credit assessment.</w:t>
      </w:r>
    </w:p>
    <w:p w14:paraId="3064410E" w14:textId="77777777" w:rsidR="003C4DE9" w:rsidRDefault="00000000">
      <w:r>
        <w:t>Also, the Group has incorporated C&amp;E risks in credit decision-making through targeted amendments in the Banks credit policy to differentiate treatment of obligors deemed to be high-risk from a Climate &amp; Environmental perspective.</w:t>
      </w:r>
    </w:p>
    <w:p w14:paraId="11207A80" w14:textId="77777777" w:rsidR="003C4DE9" w:rsidRDefault="00000000">
      <w:r>
        <w:t>Low Risk Loans, loans of minor or manageable environmental or social risks andor impacts that are reversible with the implementation of the appropriate measures and which usually affect the sites or facilities.</w:t>
      </w:r>
    </w:p>
    <w:p w14:paraId="26082DC2" w14:textId="77777777" w:rsidR="003C4DE9" w:rsidRDefault="00000000">
      <w:r>
        <w:t>ESMS Questionnaire The Group, in the context of its ESMS policy and to proceed with an initial screening of its customers behavior towards environmental and social matters, has produced a relevant questionnaire that requires information regarding customers business activities.</w:t>
      </w:r>
    </w:p>
    <w:p w14:paraId="22D03A3A" w14:textId="77777777" w:rsidR="003C4DE9" w:rsidRDefault="00000000">
      <w:r>
        <w:t>The advantages of standardized ESG questionnaires for companies are indicatively the following, Limitation of the volume of information required by companies Fully-fledged automated solution that accelerates the recording process, whilst at the same time ensuring correct completion and data protection Common approach for companies of the same size and industry Harmonization of the requested data with the provisions, among others, in the Directive 20222464 Corporate Sustainability Reporting Directive CSRD Upon the operationalization of the interbank questionnaires the Bank will be able to assess, in quantitative terms, the performance of its obligors across all material environmental, social &amp; governance risk factors.</w:t>
      </w:r>
    </w:p>
    <w:p w14:paraId="2956993D" w14:textId="77777777" w:rsidR="003C4DE9" w:rsidRDefault="00000000">
      <w:r>
        <w:t>The Greek banking system remains committed to support by all means the transition of companies towards a green and socially responsible operating model.</w:t>
      </w:r>
    </w:p>
    <w:p w14:paraId="7A418EA6" w14:textId="77777777" w:rsidR="003C4DE9" w:rsidRDefault="00000000">
      <w:r>
        <w:lastRenderedPageBreak/>
        <w:t>Piraeus Group will further engage with its customers, requesting targeted action plans to remediate issues, mitigate ESG-related risks, and support their transition to low-carbon operations.</w:t>
      </w:r>
    </w:p>
    <w:p w14:paraId="400A802C" w14:textId="77777777" w:rsidR="003C4DE9" w:rsidRDefault="00000000">
      <w:r>
        <w:t>Sectors and sub-sectors modeled in Climabiz are economic activities that could be affected by climate change.</w:t>
      </w:r>
    </w:p>
    <w:p w14:paraId="6DE3FA36" w14:textId="77777777" w:rsidR="003C4DE9" w:rsidRDefault="00000000">
      <w:r>
        <w:t>Geographic Information System as a dynamic risk tool GIS has emerged as a powerful risk assessment tool and is being used to assess risk to property and economic activities stemming from climate change and natural hazards.</w:t>
      </w:r>
    </w:p>
    <w:p w14:paraId="5E02EED7" w14:textId="77777777" w:rsidR="003C4DE9" w:rsidRDefault="00000000">
      <w:r>
        <w:t>Risk implementation tools As climate risks become increasingly relevant, the Group has started to evaluate the potential negative impacts they could have on its business, utilizing various climate scenarios on key portfolios and activities.</w:t>
      </w:r>
    </w:p>
    <w:p w14:paraId="3191864C" w14:textId="77777777" w:rsidR="003C4DE9" w:rsidRDefault="00000000">
      <w:r>
        <w:t>Two approaches have been adopted to successfully set-up Piraeus Groups data model and governance, a tactical approach short-term that uses proxies and third-party data where actual information is not available a strategic approach medium-, long-term that refers to further engagement with clients to capture actual data As a supplementary approach for data collection, the Group examines the interbank database initiative .</w:t>
      </w:r>
    </w:p>
    <w:p w14:paraId="36D9E36F" w14:textId="77777777" w:rsidR="003C4DE9" w:rsidRDefault="00000000">
      <w:r>
        <w:t>Through the Carbon Footprint Calculation Database Ecotracker, the collection of data for calculating the Groups carbon footprint Scope 1, Scope 2, and Scope 3 categories 1-14 is automated a more efficient process and cross checking of the environmental data is attained a more complete environmental reporting is achieved A major benefit from the use of the Ecotracker is that the Group monitors and manages the implementation of environmental programs that ultimately result in a reduction of the Groups operational costs.</w:t>
      </w:r>
    </w:p>
    <w:p w14:paraId="5FF6DA49" w14:textId="77777777" w:rsidR="003C4DE9" w:rsidRDefault="00000000">
      <w:r>
        <w:t>The Group acknowledges its responsibility for the impact of its activities on society and is committed to doing business in an environmentally sound and socially responsible manner, to ensure the balanced management of the triptych, economic growth sustainability social cohesion.</w:t>
      </w:r>
    </w:p>
    <w:p w14:paraId="1C210EDE" w14:textId="77777777" w:rsidR="003C4DE9" w:rsidRDefault="00000000">
      <w:r>
        <w:t>Strongly committed to its vision and values, the Group aligns its operations with social progress and solidarity and strengthens its relations with its social partners.</w:t>
      </w:r>
    </w:p>
    <w:p w14:paraId="3B442727" w14:textId="77777777" w:rsidR="003C4DE9" w:rsidRDefault="00000000">
      <w:r>
        <w:t>Through its actions, Piraeus Group is committed to contributing to the safeguarding of fair and open societies, the creation of sustainable perspectives, and the promotion of an environment of extroversion and equal opportunities for all The design and development of new products and services specifically for the needs of specific social groups The additional empowerment of vulnerable social groups and immediate, substantial support actions to address humanitarian crises The establishment of a standardized methodology for the assessment of the social value and impact that the Groups corporate responsibility actions and programs have Piraeus Group has put forward a broad set of actions for the society under the key ESG priorities and projects.</w:t>
      </w:r>
    </w:p>
    <w:p w14:paraId="409EC81A" w14:textId="77777777" w:rsidR="003C4DE9" w:rsidRDefault="00000000">
      <w:r>
        <w:lastRenderedPageBreak/>
        <w:t>Some of them are listed below, EQUALL initiatives for social inclusion women, unemployed youth, students in remote areas, people with disabilities, childrens welfare Piraeus Group applies a multidimensional Corporate Social Responsibility strategy, which is directly linked to the development needs of the Greek society.</w:t>
      </w:r>
    </w:p>
    <w:p w14:paraId="266F6B7B" w14:textId="77777777" w:rsidR="003C4DE9" w:rsidRDefault="00000000">
      <w:r>
        <w:t>The EQUALL program was created with an aim to develop initiatives to support and foster social equality.</w:t>
      </w:r>
    </w:p>
    <w:p w14:paraId="1B7B25F4" w14:textId="77777777" w:rsidR="003C4DE9" w:rsidRDefault="00000000">
      <w:r>
        <w:t>Signatories to the Commitment are required to, Set targets that make a substantial contribution to the financial health and inclusion of societies.</w:t>
      </w:r>
    </w:p>
    <w:p w14:paraId="5E6BB411" w14:textId="77777777" w:rsidR="003C4DE9" w:rsidRDefault="00000000">
      <w:r>
        <w:t>Report on financial health and inclusion targets, and annually thereafter on their progress against these targets.</w:t>
      </w:r>
    </w:p>
    <w:p w14:paraId="64E7D361" w14:textId="77777777" w:rsidR="003C4DE9" w:rsidRDefault="00000000">
      <w:r>
        <w:t>The WEPs are a set of principles offering guidance to businesses on how to promote gender equality and women's empowerment in the workplace, marketplace, and community.</w:t>
      </w:r>
    </w:p>
    <w:p w14:paraId="2CA51CF6" w14:textId="77777777" w:rsidR="003C4DE9" w:rsidRDefault="00000000">
      <w:r>
        <w:t>Piraeus Group is the first Greek bank to sign these principles and is committed to strengthening and promoting gender equality in the workplace and in Greek society.</w:t>
      </w:r>
    </w:p>
    <w:p w14:paraId="5554D259" w14:textId="77777777" w:rsidR="003C4DE9" w:rsidRDefault="00000000">
      <w:r>
        <w:t>Other initiatives Over the years, the Group has implemented and supported vast initiatives with different social and cultural targets, such as youth empowerment through Project Future a program which is implemented in partnership with ReGeneration and connects higher education with the labor market and provides young and new graduates with the skills they need for their career advancement.</w:t>
      </w:r>
    </w:p>
    <w:p w14:paraId="32167706" w14:textId="77777777" w:rsidR="003C4DE9" w:rsidRDefault="00000000">
      <w:r>
        <w:t>Employee relationships and labor standards Piraeus Group adopts best workplace practices and fosters a responsible banking culture, thus contributing to the achievement of Sustainable Development Goals 4, 5, and 8.</w:t>
      </w:r>
    </w:p>
    <w:p w14:paraId="22E10117" w14:textId="77777777" w:rsidR="003C4DE9" w:rsidRDefault="00000000">
      <w:r>
        <w:t>The Group also implements reward systems, which encourage individual and collective contribution favoring performance, innovative initiatives, ethics, integrity, and exceptional professional conduct.</w:t>
      </w:r>
    </w:p>
    <w:p w14:paraId="2CF39604" w14:textId="77777777" w:rsidR="003C4DE9" w:rsidRDefault="00000000">
      <w:r>
        <w:t>Apart from adhering to labor-related provisions, the Group gives employees and their family members access to occupational physicians, nurses, and support services, through internationally certified Employee Assistance Programs EAPs.</w:t>
      </w:r>
    </w:p>
    <w:p w14:paraId="17CED5F2" w14:textId="77777777" w:rsidR="003C4DE9" w:rsidRDefault="00000000">
      <w:r>
        <w:t>Moreover, the Group adheres to all legal provisions and those deriving from individual employment contracts and collective labor agreements, and it maintains an open communication channel with employees and their representatives in order to continuously improve the working environment.</w:t>
      </w:r>
    </w:p>
    <w:p w14:paraId="74F26B1E" w14:textId="77777777" w:rsidR="003C4DE9" w:rsidRDefault="00000000">
      <w:r>
        <w:t>Furthermore, it develops initiatives to support all customers and regularly updates feedback on customer satisfaction.</w:t>
      </w:r>
    </w:p>
    <w:p w14:paraId="130465AC" w14:textId="77777777" w:rsidR="003C4DE9" w:rsidRDefault="00000000">
      <w:r>
        <w:lastRenderedPageBreak/>
        <w:t>Group IT Security &amp; Control The Group has developed an Information Security Strategy including cyber security as well as a comprehensive Information Assets Security Policy Framework which sets the principles for asset protection and data privacy.</w:t>
      </w:r>
    </w:p>
    <w:p w14:paraId="2ABD300F" w14:textId="77777777" w:rsidR="003C4DE9" w:rsidRDefault="00000000">
      <w:r>
        <w:t>To fulfill the security policies requirements, the compliance obligations, and the certification standards requirements and to maintain secure services and to protect the Group and its customers, Group IT Security &amp; Control performs a series of scheduled and ad-hoc security assessments.</w:t>
      </w:r>
    </w:p>
    <w:p w14:paraId="36E9683F" w14:textId="77777777" w:rsidR="003C4DE9" w:rsidRDefault="00000000">
      <w:r>
        <w:t>The existing Data Privacy Policy defines the basic principles that must be observed regarding the processing of personal data, including the purpose for processing, lawful adherence, and the rights of data subjects and the exercise of these rights.</w:t>
      </w:r>
    </w:p>
    <w:p w14:paraId="33510697" w14:textId="77777777" w:rsidR="003C4DE9" w:rsidRDefault="00000000">
      <w:r>
        <w:t>It follows that the Group applies the 98 PILLAR III 2023 appropriate technical and organizational measures to ensure the protection and security of the personal data of its employees, customers, and associatespartners.</w:t>
      </w:r>
    </w:p>
    <w:p w14:paraId="46769031" w14:textId="77777777" w:rsidR="003C4DE9" w:rsidRDefault="00000000">
      <w:r>
        <w:t>Policies and procedures related to social risk governance Human Rights Policy Respect for human rights and the principle of equal opportunities govern all core HR-related policies, processes, and practices, ensuring diversity and inclusion in the workplace.</w:t>
      </w:r>
    </w:p>
    <w:p w14:paraId="4D8690A0" w14:textId="77777777" w:rsidR="003C4DE9" w:rsidRDefault="00000000">
      <w:r>
        <w:t>All employees have access to the Human Rights Policy via the Groups internal communication channels.</w:t>
      </w:r>
    </w:p>
    <w:p w14:paraId="3E672863" w14:textId="77777777" w:rsidR="003C4DE9" w:rsidRDefault="00000000">
      <w:r>
        <w:t>Policy &amp; Procedure against Workplace Discrimination, Violence &amp; Harassment The new policy against Workplace Discrimination, Violence &amp; Harassment in the workplace, in combination with the existing policies and regulations of the Group the Human Rights Policy, Employee Regulation, Code of Conduct and Ethics, as well as the management of inappropriate behavior issues through the whistle-blowing process strengthens the range of tools and measures that the Group utilizes for the protection of its employees and the reinforcement of a work environment of respect and inclusion.</w:t>
      </w:r>
    </w:p>
    <w:p w14:paraId="168524C6" w14:textId="77777777" w:rsidR="003C4DE9" w:rsidRDefault="00000000">
      <w:r>
        <w:t>The policy clarifies the concepts of violence and harassment verbal, physical, and psychological and defines the behaviors related to forms of violence and harassment in the workplace.</w:t>
      </w:r>
    </w:p>
    <w:p w14:paraId="0CE08C5C" w14:textId="77777777" w:rsidR="003C4DE9" w:rsidRDefault="00000000">
      <w:r>
        <w:t>Implementing an effective anti-retaliation framework for managing actual or suspected violation of the Code of Conduct and Ethics requires protecting the confidentiality or anonymity of employees who report concerns.</w:t>
      </w:r>
    </w:p>
    <w:p w14:paraId="1D756364" w14:textId="77777777" w:rsidR="003C4DE9" w:rsidRDefault="00000000">
      <w:r>
        <w:t>In this context, the Whistleblowing Committee is responsible for assessing and handling reports and for proposing any measures it deems necessary for the Group to undertake.</w:t>
      </w:r>
    </w:p>
    <w:p w14:paraId="3B72AF1F" w14:textId="77777777" w:rsidR="003C4DE9" w:rsidRDefault="00000000">
      <w:r>
        <w:t>The Remuneration Policy aims, inter alia, to, support a performance-driven culture, rewarding excellence and delivery of ESG goals, and embrace equal pay policy for male and female employees for equal work or work of equal value, supporting a culture of fairness.</w:t>
      </w:r>
    </w:p>
    <w:p w14:paraId="39B51027" w14:textId="77777777" w:rsidR="003C4DE9" w:rsidRDefault="00000000">
      <w:r>
        <w:lastRenderedPageBreak/>
        <w:t>The principles and provisions of the Remuneration Policy apply to all employees, varying according to their level or responsibility, including those whose professional activities have a material impact on the Group's risk profile.</w:t>
      </w:r>
    </w:p>
    <w:p w14:paraId="7239847A" w14:textId="77777777" w:rsidR="003C4DE9" w:rsidRDefault="00000000">
      <w:r>
        <w:t>The assessment focuses on, inter alia, social aspects, such as, money laundering, violation of human and labor rights, bribery, etc.</w:t>
      </w:r>
    </w:p>
    <w:p w14:paraId="239C3422" w14:textId="77777777" w:rsidR="003C4DE9" w:rsidRDefault="00000000">
      <w:r>
        <w:t>As a next step, upon the completion of customers assessment, the Group will require the engagement of its customers to mitigate and reduce socially harmful activities with targeted action plans.</w:t>
      </w:r>
    </w:p>
    <w:p w14:paraId="3A88C0E9" w14:textId="77777777" w:rsidR="003C4DE9" w:rsidRDefault="00000000">
      <w:r>
        <w:t>Social risk management Social risks are addressed and managed through the policies, procedures, methodologies, and tools introduced in Section Error!</w:t>
      </w:r>
    </w:p>
    <w:p w14:paraId="2B5D8C34" w14:textId="77777777" w:rsidR="003C4DE9" w:rsidRDefault="00000000">
      <w:r>
        <w:t>Additional information specifically related to social risk management is p rovided in the sub-sections below.</w:t>
      </w:r>
    </w:p>
    <w:p w14:paraId="3ED86D66" w14:textId="77777777" w:rsidR="003C4DE9" w:rsidRDefault="00000000">
      <w:r>
        <w:t>ESMS incorporation in the Group Credit Policy The main objective of the ESMS is to identify and assess, inter alia, the social impact of the lending activities to be used in the Groups new credit approval process.</w:t>
      </w:r>
    </w:p>
    <w:p w14:paraId="0FE9B8FA" w14:textId="77777777" w:rsidR="003C4DE9" w:rsidRDefault="00000000">
      <w:r>
        <w:t>With the implementation of the ESMS, social risks are integrated into the credit assessment, while the Group has also incorporated into its Credit Policy a list of business activities that are excluded from financing.</w:t>
      </w:r>
    </w:p>
    <w:p w14:paraId="1469F6E9" w14:textId="77777777" w:rsidR="003C4DE9" w:rsidRDefault="00000000">
      <w:r>
        <w:t>Governance risk Piraeus Group analyzes the corporate governance performance of its customers and takes their management and governance practices into account in the client onboarding process.</w:t>
      </w:r>
    </w:p>
    <w:p w14:paraId="403202F0" w14:textId="77777777" w:rsidR="003C4DE9" w:rsidRDefault="00000000">
      <w:r>
        <w:t>Piraeus Group takes into account the corporate governance performance of its customers, analyzing their compliance in terms of management practices.</w:t>
      </w:r>
    </w:p>
    <w:p w14:paraId="59A7972A" w14:textId="77777777" w:rsidR="003C4DE9" w:rsidRDefault="00000000">
      <w:r>
        <w:t>Amongst the key principles of the Groups Credit Policy, the following are related to corporate governance performance, Know-Your-Customer The Group initiates relationships and provides credit to customers through a robust Know Your Customer process.</w:t>
      </w:r>
    </w:p>
    <w:p w14:paraId="0D5F0844" w14:textId="77777777" w:rsidR="003C4DE9" w:rsidRDefault="00000000">
      <w:r>
        <w:t>Additionally, the companys and its shareholders background within ESMS framework of social and environmental performance are considered.</w:t>
      </w:r>
    </w:p>
    <w:p w14:paraId="11CCE2A9" w14:textId="77777777" w:rsidR="003C4DE9" w:rsidRDefault="00000000">
      <w:r>
        <w:t>Finally, the evaluation considers the environmental and social behavior of the company and entities, such as fines, litigation, and publications, in order to ensure that the company operates in a responsible and sustainable manner.</w:t>
      </w:r>
    </w:p>
    <w:p w14:paraId="7C202B95" w14:textId="77777777" w:rsidR="003C4DE9" w:rsidRDefault="00000000">
      <w:r>
        <w:t>Next steps in governance risk management Piraeus Group continues to develop and refine an ESG data and technology road map that balances tactical, shortterm solutions with a strategic, long-term vision.</w:t>
      </w:r>
    </w:p>
    <w:p w14:paraId="7934EA30" w14:textId="77777777" w:rsidR="003C4DE9" w:rsidRDefault="00000000">
      <w:r>
        <w:lastRenderedPageBreak/>
        <w:t>The scope of this common initiative is to capture, inter alia, ESG data governance information such as, policies related to the code of conduct, business ethics, and anti-bribery approaches, accountability, reporting, and transparency, corporate governance issues, remuneration practices, business ethics and anti-corruption, and ESG governance matters, focusing on the involvement of the management body in the oversight of environmental and social matters.</w:t>
      </w:r>
    </w:p>
    <w:p w14:paraId="7E092566" w14:textId="77777777" w:rsidR="003C4DE9" w:rsidRDefault="00000000">
      <w:r>
        <w:t>Furthermore, the incorporation of the Corporate Sustainability Reporting Directive will introduce supplementary dimensions to consider in the Groups clients governance risk assessment practices, as the Groups counterparties will be required to publicly disclose part of their internal policies.</w:t>
      </w:r>
    </w:p>
    <w:p w14:paraId="3FECC4E6" w14:textId="77777777" w:rsidR="003C4DE9" w:rsidRDefault="00000000">
      <w:r>
        <w:t>The methodology comprises two main steps, first the determination of the scope 1, 2, and 3 emissions of the counterparties and then their attribution to the Groups financed activities.</w:t>
      </w:r>
    </w:p>
    <w:p w14:paraId="794A755B" w14:textId="77777777" w:rsidR="003C4DE9" w:rsidRDefault="00000000">
      <w:r>
        <w:t>Due to data availability, different methodological approaches were applied to estimate the scope 1, 2, and 3 emissions of the Groups counterparties, namely, Method 1, Published emissions were used, where verified or unverified emissions were collected from the counterparty directly e.</w:t>
      </w:r>
    </w:p>
    <w:p w14:paraId="66515592" w14:textId="063ABC97" w:rsidR="003C4DE9" w:rsidRDefault="00000000">
      <w:r>
        <w:t xml:space="preserve">Through the companys sustainability report or indirectly via verified third-party data providers </w:t>
      </w:r>
      <w:r w:rsidR="00B06849">
        <w:t>c</w:t>
      </w:r>
      <w:r>
        <w:t xml:space="preserve">arbon Disclosure </w:t>
      </w:r>
      <w:proofErr w:type="gramStart"/>
      <w:r>
        <w:t>Project ,</w:t>
      </w:r>
      <w:proofErr w:type="gramEnd"/>
      <w:r>
        <w:t xml:space="preserve"> EU-ETS Registry, Thetis database.</w:t>
      </w:r>
    </w:p>
    <w:p w14:paraId="594CB32E" w14:textId="77777777" w:rsidR="003C4DE9" w:rsidRDefault="00000000">
      <w:r>
        <w:t>The Groups existing data and the acquired data from the external provider, which included properties that were on sale along with their energy performance features, were used for the development of this model based on key property characteristics e.</w:t>
      </w:r>
    </w:p>
    <w:p w14:paraId="6E82D030" w14:textId="77777777" w:rsidR="003C4DE9" w:rsidRDefault="00000000">
      <w:r>
        <w:t>Year of construction, surface, property usage, floor level, etc.</w:t>
      </w:r>
    </w:p>
    <w:p w14:paraId="2B79B188" w14:textId="77777777" w:rsidR="003C4DE9" w:rsidRDefault="00000000">
      <w:r>
        <w:t>With regards to the Groups efforts towards the continuous improvement of its climate risk management practices, the Group has adopted a course of actions in order to increase the coverage of its immovable property collaterals with actual energy consumption and EPC label data, including, 1.</w:t>
      </w:r>
    </w:p>
    <w:p w14:paraId="769C7E0D" w14:textId="77777777" w:rsidR="003C4DE9" w:rsidRDefault="00000000">
      <w:r>
        <w:t>Since the Groups financed activities and collaterals are located mainly in Greece, the analysis for the assessment of the potential climate change physical risk is focused on the specific geographic area of Greece.</w:t>
      </w:r>
    </w:p>
    <w:p w14:paraId="6C9CBC25" w14:textId="77777777" w:rsidR="003C4DE9" w:rsidRDefault="00000000">
      <w:r>
        <w:t>The first column of this template reports the gross carrying amount for each economic sector, with the subsequent columns examining the exposures sensitive to impact from climate change physical events in terms of residual maturity by maturity bucket, sensitivity to chronic and acute climate change events, stage 2 exposures, non-performing exposures, etc.</w:t>
      </w:r>
    </w:p>
    <w:p w14:paraId="53EAC835" w14:textId="77777777" w:rsidR="003C4DE9" w:rsidRDefault="00000000">
      <w:r>
        <w:t xml:space="preserve">The Group has already developed a methodological framework and tool to analyze and quantify the impacts of chronic climate change on its counterparties, as these risks may </w:t>
      </w:r>
      <w:r>
        <w:lastRenderedPageBreak/>
        <w:t>affect their ability to service their loans and consequently the Groups economic performance.</w:t>
      </w:r>
    </w:p>
    <w:p w14:paraId="710F8154" w14:textId="77777777" w:rsidR="003C4DE9" w:rsidRDefault="00000000">
      <w:r>
        <w:t>For the assessment of the impact under future climatic conditions, climate data derived from nine climate simulations, developed under the EURO-CORDEX program with a horizontal spatial resolution of approximately 11x11 km, were used.</w:t>
      </w:r>
    </w:p>
    <w:p w14:paraId="7AE158D1" w14:textId="77777777" w:rsidR="003C4DE9" w:rsidRDefault="00000000">
      <w:r>
        <w:t>The above models were applied to both historic and future climate, and the difference represents the net impact of climate change on the economic activity under consideration.</w:t>
      </w:r>
    </w:p>
    <w:p w14:paraId="321939F2" w14:textId="77777777" w:rsidR="003C4DE9" w:rsidRDefault="00000000">
      <w:r>
        <w:t>The analysis of the effects of the acute climate change events on the exposures in the banking book was done by examining to what extent these effects influence both the economic activities financed as well as the immovable properties used to collateralize these financings.</w:t>
      </w:r>
    </w:p>
    <w:p w14:paraId="0CD0C1AC" w14:textId="77777777" w:rsidR="003C4DE9" w:rsidRDefault="00000000">
      <w:r>
        <w:t>Analysis of the impact on economic activities The analysis of the acute effects of climate change on the economic activities of the counterparties financed by Piraeus Group was performed by considering seven specific hazards, namely fluvial floods, pluvial floods, landslides, wildfires, extreme heat, water scarcity, and coastal floods, thus covering the most important types of climate extremes that affect the Greek territory.</w:t>
      </w:r>
    </w:p>
    <w:p w14:paraId="3FA2A546" w14:textId="77777777" w:rsidR="003C4DE9" w:rsidRDefault="00000000">
      <w:r>
        <w:t>The developed and implemented methodological approach includes the following steps, Step 1, Assessing the hazard related to climate acute events in different geographical regions in Greece The assessment was done for each of the seven aforementioned extreme phenomena at a NUTS3 level of geographical analysis.</w:t>
      </w:r>
    </w:p>
    <w:p w14:paraId="5DAB3456" w14:textId="77777777" w:rsidR="003C4DE9" w:rsidRDefault="00000000">
      <w:r>
        <w:t>A four-level rating scale was used to map the associated risks from negligible up to high, based on expert judgement as well as the results of the relevant assessments presented in the framework of the Regional Plans for Adaptation to Climate Change by the Greek Regional Authorities.</w:t>
      </w:r>
    </w:p>
    <w:p w14:paraId="0C03B324" w14:textId="77777777" w:rsidR="003C4DE9" w:rsidRDefault="00000000">
      <w:r>
        <w:t>Sequentially in November 2023, the Delegated Act for economic activities was published in the Official Journal contributing to the four environmental objectives for, sustainable use and protection of water, transition to a circular economy, pollution prevention and control, and protection and restoration of biodiversity and ecosystems.</w:t>
      </w:r>
    </w:p>
    <w:p w14:paraId="04FC3523" w14:textId="77777777" w:rsidR="003C4DE9" w:rsidRDefault="00000000">
      <w:r>
        <w:t>Further amendments were incorporated to add economic activities to the list of those substantially contributing to the objectives of climate change mitigation and adaptation, and to clarify the reporting obligations for the additional four environmental objectives.</w:t>
      </w:r>
    </w:p>
    <w:p w14:paraId="5A8F3703" w14:textId="77777777" w:rsidR="003C4DE9" w:rsidRDefault="00000000">
      <w:r>
        <w:t>The EU Taxonomy is a cornerstone of the EUs sustainable finance framework and an important market transparency tool.</w:t>
      </w:r>
    </w:p>
    <w:p w14:paraId="433E49E1" w14:textId="77777777" w:rsidR="003C4DE9" w:rsidRDefault="00000000">
      <w:r>
        <w:t>The Taxonomy is a classification system that defines criteria for economic activities that are aligned with a net zero trajectory by 2050 and broader environmental goals over and above climate change.</w:t>
      </w:r>
    </w:p>
    <w:p w14:paraId="47A503C5" w14:textId="77777777" w:rsidR="003C4DE9" w:rsidRDefault="00000000">
      <w:r>
        <w:lastRenderedPageBreak/>
        <w:t>An economic activity is considered as Taxonomy-aligned when it satisfies all three conditions below, i makes a substantial contribution to at least one of the six environmental objectives.</w:t>
      </w:r>
    </w:p>
    <w:p w14:paraId="208E7DE7" w14:textId="77777777" w:rsidR="003C4DE9" w:rsidRDefault="00000000">
      <w:r>
        <w:t>Due to limitations in available information, in particular around dedicated-purpose financings, a substantial number of exposures that are aligned to the Groups internal sustainable finance framework has not been recognized as Taxonomy-aligned.</w:t>
      </w:r>
    </w:p>
    <w:p w14:paraId="1580B886" w14:textId="77777777" w:rsidR="003C4DE9" w:rsidRDefault="00000000">
      <w:r>
        <w:t>Taxonomy-eligible and non-eligible activities related to the four non-climate environmental objectives are not reported for the financial year 2023 due to lack of required data.</w:t>
      </w:r>
    </w:p>
    <w:p w14:paraId="0633A99A" w14:textId="77777777" w:rsidR="003C4DE9" w:rsidRDefault="00000000">
      <w:r>
        <w:t>It is noted that the ratio covers the two climate-related environmental objectives mitigation and adaptation of the EU Taxonomy.</w:t>
      </w:r>
    </w:p>
    <w:p w14:paraId="06FE1FE9" w14:textId="77777777" w:rsidR="003C4DE9" w:rsidRDefault="00000000">
      <w:r>
        <w:t>The table includes assets bonds and loans that the Group has identified as environmentally sustainable financing, corresponding to the operations that the Group has considered to meet internal eligibility requirements for climate change mitigation and adaptation activities.</w:t>
      </w:r>
    </w:p>
    <w:p w14:paraId="5E1AF281" w14:textId="77777777" w:rsidR="003C4DE9" w:rsidRDefault="00000000">
      <w:r>
        <w:t>The following asset categories are presented, Bonds categorized as Green in accordance with the International Capital Market Association Principles, Sustainability-linked Bonds with sustainability performance-linked targets related to GHG emissions reduction, and Loans to both businesses and households classified as Green.</w:t>
      </w:r>
    </w:p>
    <w:p w14:paraId="4AD615EE" w14:textId="77777777" w:rsidR="003C4DE9" w:rsidRDefault="00000000">
      <w:r>
        <w:t>These loans finance activities as described below, For Businesses, Renewable Energy Sources, Green buildings, and Energy Efficiency Specific eligibility criteria also described in the Groups Green Bond Framework.</w:t>
      </w:r>
    </w:p>
    <w:p w14:paraId="121427DA" w14:textId="77777777" w:rsidR="003C4DE9" w:rsidRDefault="00000000">
      <w:r>
        <w:t>Piraeus Group supports counterparties by facilitating the financing towards activities included in the internal standards mentioned above, which mainly refer to climate change mitigation objectives.</w:t>
      </w:r>
    </w:p>
    <w:p w14:paraId="2A498840" w14:textId="77777777" w:rsidR="003C4DE9" w:rsidRDefault="00000000">
      <w:r>
        <w:t>The adherence to the limits structure is monitored by the Groups Market and Liquidity Risk Management unit as well as the responsible units at a subsidiary level.</w:t>
      </w:r>
    </w:p>
    <w:p w14:paraId="61FCBF9D" w14:textId="77777777" w:rsidR="003C4DE9" w:rsidRDefault="00000000">
      <w:r>
        <w:t>A Market Risk Management Policy has been in place for all relevant Group units since the beginning of 2003.</w:t>
      </w:r>
    </w:p>
    <w:p w14:paraId="384FC500" w14:textId="77777777" w:rsidR="003C4DE9" w:rsidRDefault="00000000">
      <w:r>
        <w:t>In addition to the above, the Group has identified all balance sheet items subject to embedded optionalities and has applied both contractual and implicit interest rate caps and floors, in addition to the parametric floor prescribed by the regulatory framework.</w:t>
      </w:r>
    </w:p>
    <w:p w14:paraId="6745581B" w14:textId="77777777" w:rsidR="003C4DE9" w:rsidRDefault="00000000">
      <w:r>
        <w:t>These statements are intended to steer the current and planned risk positioning of the Group, and their primary objective is to set the level of IRRBB that the Group is willing to undertake in order to achieve its strategic goals, while ensuring compliance to the relevant EBA Guidelines EBAGL202214.</w:t>
      </w:r>
    </w:p>
    <w:p w14:paraId="6A51EC1B" w14:textId="77777777" w:rsidR="003C4DE9" w:rsidRDefault="00000000">
      <w:r>
        <w:lastRenderedPageBreak/>
        <w:t>The appropriate arrangements around governance, roles, and responsibilities support clear communication and execution.</w:t>
      </w:r>
    </w:p>
    <w:p w14:paraId="63DBC204" w14:textId="77777777" w:rsidR="003C4DE9" w:rsidRDefault="00000000">
      <w:r>
        <w:t>IRRBB related metrics are set both in short and medium term, taking into account the planning and strategic objectives of the Group, while complying with the relevant regulatory guidelines.</w:t>
      </w:r>
    </w:p>
    <w:p w14:paraId="00AEF71D" w14:textId="77777777" w:rsidR="003C4DE9" w:rsidRDefault="00000000">
      <w:r>
        <w:t>The RAF is regularly reviewed for its appropriateness and is improved upon on an on-going basis and in line with the aspiration for enhancing the Groups Risk Management Framework.</w:t>
      </w:r>
    </w:p>
    <w:p w14:paraId="534AB6FA" w14:textId="77777777" w:rsidR="003C4DE9" w:rsidRDefault="00000000">
      <w:r>
        <w:t>The RAF is updated at least annually, as well as on an ad-hoc basis, in order to ensure alignment and responsiveness to changes in the Groups risk profile and any external factors, as well as alignment with the strategic objectives and regulatory obligations.</w:t>
      </w:r>
    </w:p>
    <w:p w14:paraId="745A6B70" w14:textId="77777777" w:rsidR="003C4DE9" w:rsidRDefault="00000000">
      <w:r>
        <w:t>In the context of the new product development approval process e.</w:t>
      </w:r>
    </w:p>
    <w:p w14:paraId="4BD88C17" w14:textId="77777777" w:rsidR="003C4DE9" w:rsidRDefault="00000000">
      <w:r>
        <w:t>Fixed rate loans, interest rate risk is evaluated in order to ensure that such risk is adequately measured and reported.</w:t>
      </w:r>
    </w:p>
    <w:p w14:paraId="4D83377B" w14:textId="77777777" w:rsidR="003C4DE9" w:rsidRDefault="00000000">
      <w:r>
        <w:t>Should any limit breach occur, the ALCO is promptly notified and consequently recommends remedial actions to the Risk Committee, which it then monitors in order to ensure a timely resolution.</w:t>
      </w:r>
    </w:p>
    <w:p w14:paraId="5DE667D3" w14:textId="4E47DD0A" w:rsidR="003C4DE9" w:rsidRDefault="00000000">
      <w:r>
        <w:t>The Group assesses IRRBB taking into consideration both the contractual and the behavioral characteristics of its interest rate sensitive balance sheet items, in accordance with regulatory requirements and best market practices.</w:t>
      </w:r>
    </w:p>
    <w:p w14:paraId="6B29FDF0" w14:textId="77777777" w:rsidR="003C4DE9" w:rsidRDefault="00000000">
      <w:r>
        <w:t>The ICS is a set of recorded and documented control mechanisms and processes that integrates best practices of corporate governance and covers on an ongoing basis every activity and transaction, contributing to the organizations pursuit of objectives.</w:t>
      </w:r>
    </w:p>
    <w:p w14:paraId="44FFDCCB" w14:textId="77777777" w:rsidR="003C4DE9" w:rsidRDefault="00000000">
      <w:r>
        <w:t>A central project currently in progress is the enhancement and optimization of the Internal Control System across the 3 Lines of Defense, aiming at the same time to achieve further alignment 3 Lines of Defense alignment &amp; efficiencies project.</w:t>
      </w:r>
    </w:p>
    <w:p w14:paraId="26C63449" w14:textId="77777777" w:rsidR="003C4DE9" w:rsidRDefault="00000000">
      <w:r>
        <w:t>The implementation of a platform within the operational risk system for the management of internal control deficiencies identified by external &amp; internal assessments completed.</w:t>
      </w:r>
    </w:p>
    <w:p w14:paraId="1CD09483" w14:textId="77777777" w:rsidR="003C4DE9" w:rsidRDefault="00000000">
      <w:r>
        <w:t>Regulatory and supervisory requirements, along with penalties for non-compliance, have become stricter.</w:t>
      </w:r>
    </w:p>
    <w:p w14:paraId="08DE1DB7" w14:textId="77777777" w:rsidR="003C4DE9" w:rsidRDefault="00000000">
      <w:r>
        <w:t>During 2023 the OR quantitative indicators were further enriched to reflect both the extended coverage of certain risk types, as well as to address senior management and regulatory expectations with respect to the level of monitoring in particular areas, such as the areas of Compliance, Outsourcing and ICT Risks.</w:t>
      </w:r>
    </w:p>
    <w:p w14:paraId="4C26AAD4" w14:textId="77777777" w:rsidR="003C4DE9" w:rsidRDefault="00000000">
      <w:r>
        <w:lastRenderedPageBreak/>
        <w:t>The Groups objective, through the implementation of the RCSA methodology across all its business activities and supporting functions, is to, enhance the awareness of personnel, assess the level of operational risk exposure for all Units and monitor its evolution, assess the adequacy and effectiveness of internal controls, and support the quantification of required internal capital Pillar I and Pillar II for operational risk.</w:t>
      </w:r>
    </w:p>
    <w:p w14:paraId="02746D72" w14:textId="77777777" w:rsidR="003C4DE9" w:rsidRDefault="00000000">
      <w:r>
        <w:t>Training activities involve all Group employees and include, 148 PILLAR III 2023 Training programs related to the implementation of the ORMF.</w:t>
      </w:r>
    </w:p>
    <w:p w14:paraId="47976D81" w14:textId="77777777" w:rsidR="003C4DE9" w:rsidRDefault="00000000">
      <w:r>
        <w:t>Personnel training on products and services to ensure proper promotion and sales.</w:t>
      </w:r>
    </w:p>
    <w:p w14:paraId="1750C576" w14:textId="77777777" w:rsidR="003C4DE9" w:rsidRDefault="00000000">
      <w:r>
        <w:t>Training programs regarding the Groups vision, model of values, and business ethics.</w:t>
      </w:r>
    </w:p>
    <w:p w14:paraId="10B3F0F3" w14:textId="77777777" w:rsidR="003C4DE9" w:rsidRDefault="00000000">
      <w:r>
        <w:t>Finally, the operational risk external reporting includes, regulatory reports as required by the current regulatory framework, and reports to third parties, such as rating agencies.</w:t>
      </w:r>
    </w:p>
    <w:p w14:paraId="622F4CC7" w14:textId="77777777" w:rsidR="003C4DE9" w:rsidRDefault="00000000">
      <w:r>
        <w:t>Liquidity Risk Liquidity risk management is associated with the Groups ability to maintain adequate liquidity positions in order to meet its financial obligations, while also safeguarding its financial results and its capital.</w:t>
      </w:r>
    </w:p>
    <w:p w14:paraId="4BA15877" w14:textId="77777777" w:rsidR="003C4DE9" w:rsidRDefault="00000000">
      <w:r>
        <w:t>In particular, the framework includes the key principles of liquidity risk management, as well as the guiding statements, both qualitative and quantitative, that define the Groups liquidity risk capacity and risk appetite along with the relevant thresholds.</w:t>
      </w:r>
    </w:p>
    <w:p w14:paraId="07CBB5D6" w14:textId="77777777" w:rsidR="003C4DE9" w:rsidRDefault="00000000">
      <w:r>
        <w:t>This funding plan should ensure that the liquidity position of the Group consistently remains above the minimum regulatory requirements for LCR and NSFR.</w:t>
      </w:r>
    </w:p>
    <w:p w14:paraId="2D0B75BC" w14:textId="77777777" w:rsidR="003C4DE9" w:rsidRDefault="00000000">
      <w:r>
        <w:t>For the same reference date Piraeus Groups 12- month average LCR increased by 35 bps at 234%, where it has been calculated in accordance with the Commission Delegated Regulation 201561 and the EBA Guidelines on LCR disclosure to complement the disclosure of liquidity risk management under Article 435 CRR.</w:t>
      </w:r>
    </w:p>
    <w:p w14:paraId="2BB08078" w14:textId="77777777" w:rsidR="003C4DE9" w:rsidRDefault="00000000">
      <w:r>
        <w:t>The Group monitors, reviews, and updates the remuneration procedures and structures on an ongoing basis and whenever there is a material change, so that they are continuously aligned with the evolving business objectives and the regulatory framework.</w:t>
      </w:r>
    </w:p>
    <w:p w14:paraId="2D3D46E6" w14:textId="77777777" w:rsidR="003C4DE9" w:rsidRDefault="00000000">
      <w:r>
        <w:t>At the same time, remuneration practices and related salary levels seek to discourage the undertaking of excessive risk, potential conflicts of interest, or the violation of laws and regulations.</w:t>
      </w:r>
    </w:p>
    <w:p w14:paraId="22D5AE16" w14:textId="77777777" w:rsidR="003C4DE9" w:rsidRDefault="00000000">
      <w:r>
        <w:t>Based on the principles of transparency, accountability, and meritocracy, the Group aims to be a pillar of stability in the Greek economy, to fuel growth, and to promote innovation, creating value for shareholders, clients, and employees.</w:t>
      </w:r>
    </w:p>
    <w:p w14:paraId="7A84553C" w14:textId="77777777" w:rsidR="003C4DE9" w:rsidRDefault="00000000">
      <w:r>
        <w:t xml:space="preserve">The Remuneration Policy aims to, attract, retain, and motivate high-caliber employees who achieve the expected results by embracing our corporate values and culture, support a performance-driven culture that is based on excellence and on creating sustainable growth, </w:t>
      </w:r>
      <w:r>
        <w:lastRenderedPageBreak/>
        <w:t>taking into account Environmental, Social, and Governance aspects, embrace equal pay policy for male and female employees for equal work or work of equal value supporting a culture of fairness, align remuneration with profitability, capital adequacy, and liquidity while reflecting risk appetite, promote a culture of compliance and effective risk controls, and enhance internal and external transparency.</w:t>
      </w:r>
    </w:p>
    <w:p w14:paraId="41C6D76E" w14:textId="77777777" w:rsidR="003C4DE9" w:rsidRDefault="00000000">
      <w:r>
        <w:t>The key principles of the Remuneration Policy follow the most recent regulations in terms of remuneration and incentive practices and are aligned with the Groups long-term strategies, incorporating ESG risk-related objectives.</w:t>
      </w:r>
    </w:p>
    <w:p w14:paraId="044381BD" w14:textId="77777777" w:rsidR="003C4DE9" w:rsidRDefault="00000000">
      <w:r>
        <w:t>These are linked with the Groups agenda for adding value to all stakeholders, establishing a risk-adjusted culture aiming to increase efficiency and simplification, being compliant with internal policies and controls, and consequently discouraging excessive risk taking and avoiding conflicts of interest.</w:t>
      </w:r>
    </w:p>
    <w:p w14:paraId="2CD4DCEB" w14:textId="77777777" w:rsidR="003C4DE9" w:rsidRDefault="00000000">
      <w:r>
        <w:t>The general principles and provisions of the Remuneration Policy set the high-level framework and are applied proportionally for the remuneration of all persons acting on behalf of the Group regardless of their contractual relationship with the Group or Groups subsidiary with the aim of ensuring that the payments made are not providing for excessive risk taking or the mis-selling of products.</w:t>
      </w:r>
    </w:p>
    <w:p w14:paraId="7D2BF21E" w14:textId="77777777" w:rsidR="003C4DE9" w:rsidRDefault="00000000">
      <w:r>
        <w:t>Application of the Remuneration Policy varies for different categories of employees, particularly for employees whose professional activities have a material impact on the risk profile of the Group identified staff or Material Risk Takers.</w:t>
      </w:r>
    </w:p>
    <w:p w14:paraId="19F4656F" w14:textId="77777777" w:rsidR="003C4DE9" w:rsidRDefault="00000000">
      <w:r>
        <w:t>The Remuneration Policy is approved by the non-executive members of the BoD.</w:t>
      </w:r>
    </w:p>
    <w:p w14:paraId="4FE40274" w14:textId="77777777" w:rsidR="003C4DE9" w:rsidRDefault="00000000">
      <w:r>
        <w:t>Central independent review of the Remuneration Policy is performed by Group Internal Audit, and the RemCo ensures that a remedial action plan is proposed, approved, and implemented in a timely manner.</w:t>
      </w:r>
    </w:p>
    <w:p w14:paraId="793EFFA4" w14:textId="77777777" w:rsidR="003C4DE9" w:rsidRDefault="00000000">
      <w:r>
        <w:t>Remuneration data is annually reported to the supervisory authorities and published in the Pillar III Disclosures as indicated by the regulatory framework.</w:t>
      </w:r>
    </w:p>
    <w:p w14:paraId="00E23F2D" w14:textId="77777777" w:rsidR="003C4DE9" w:rsidRDefault="00000000">
      <w:r>
        <w:t>Employees high performance and motivation is rewarded through variable remuneration in order to achieve business targets, always according to legal and regulatory requirements and budget provisions.</w:t>
      </w:r>
    </w:p>
    <w:p w14:paraId="029E59EC" w14:textId="77777777" w:rsidR="003C4DE9" w:rsidRDefault="00000000">
      <w:r>
        <w:t>Variable remuneration promotes sound and effective risk management and discourages excessive risk-taking.</w:t>
      </w:r>
    </w:p>
    <w:p w14:paraId="0FEC6B89" w14:textId="77777777" w:rsidR="003C4DE9" w:rsidRDefault="00000000">
      <w:r>
        <w:t>Taking into consideration employees contribution in business target achievement and employees adherence to corporate values as well as Business Unit performance, Group performance, and Group risk indicators.</w:t>
      </w:r>
    </w:p>
    <w:p w14:paraId="7BE6199A" w14:textId="77777777" w:rsidR="003C4DE9" w:rsidRDefault="00000000">
      <w:r>
        <w:t>Control functions contribute to the design of the Groups Remuneration Policy and play a significant role in its control.</w:t>
      </w:r>
    </w:p>
    <w:p w14:paraId="45712EA8" w14:textId="77777777" w:rsidR="003C4DE9" w:rsidRDefault="00000000">
      <w:r>
        <w:lastRenderedPageBreak/>
        <w:t>GRM assists with and informs on the definition of suitable risk-adjusted performance measures including ex-post adjustments and risk-related KPIs and evaluates the relevant remuneration practices focusing on how the variable remuneration structure affects the Groups risk profile and culture.</w:t>
      </w:r>
    </w:p>
    <w:p w14:paraId="2217AEF0" w14:textId="77777777" w:rsidR="003C4DE9" w:rsidRDefault="00000000">
      <w:r>
        <w:t>In addition, it evaluates whether the assumptions related to the annual remuneration reporting disclosures and the identification process of MRTs are aligned with the existing regulatory framework The design and the implementation of the Remuneration Policy, in terms of compliance and remuneration procedures, is subject to central and independent review by the Group Internal Audit at least once a year.</w:t>
      </w:r>
    </w:p>
    <w:p w14:paraId="019EE0BE" w14:textId="77777777" w:rsidR="003C4DE9" w:rsidRDefault="00000000">
      <w:r>
        <w:t>The independent review includes, inter alia, references regarding the effects of the existing remuneration policies on the Groups risk profile and the way these effects are managed as well as an analysis of whether the Remuneration Policy is gender neutral.</w:t>
      </w:r>
    </w:p>
    <w:p w14:paraId="47208B4D" w14:textId="77777777" w:rsidR="003C4DE9" w:rsidRDefault="00000000">
      <w:r>
        <w:t>Moreover, Group Internal Audit participates, on a consultative basis, in the assumptions related to the annual remuneration reporting disclosures, as well as in the identification process of MRTs.</w:t>
      </w:r>
    </w:p>
    <w:p w14:paraId="468CDE3E" w14:textId="77777777" w:rsidR="003C4DE9" w:rsidRDefault="00000000">
      <w:r>
        <w:t>Directors remuneration is governed by the Directors Remuneration Policy, which applies to the members of the BoD Directors as per the requirements of Articles 110-111 of Greek Law 45482018.</w:t>
      </w:r>
    </w:p>
    <w:p w14:paraId="2536CA97" w14:textId="77777777" w:rsidR="003C4DE9" w:rsidRDefault="00000000">
      <w:r>
        <w:t>The updated Directors Remuneration Policy was submitted and approved by the Annual General Meeting of Shareholders on July 23rd, 2022.</w:t>
      </w:r>
    </w:p>
    <w:p w14:paraId="4206C312" w14:textId="77777777" w:rsidR="003C4DE9" w:rsidRDefault="00000000">
      <w:r>
        <w:t>Following a respective recommendation by the RemCo, the BoD proposed the approval of the amendments in the Directors Remuneration Policy during the 2022 Annual General Meeting of Shareholders, in accordance with Article 110 of Greek Law 45482018.</w:t>
      </w:r>
    </w:p>
    <w:p w14:paraId="18765691" w14:textId="77777777" w:rsidR="003C4DE9" w:rsidRDefault="00000000">
      <w:r>
        <w:t>The main amendments in the Directors Remuneration Policy referred to the, alignment with new legislative provisions Law 47992021 transposing the CRD V into Greek national legislation on variable remuneration of MRTs, introduction of provisions for gender-neutral Remuneration Policy and equal pay for male and female individuals climate &amp; ESG considerations in the Remuneration Policy components, and addition of the Annual Variable Incentive Schemes structure in the Appendix.</w:t>
      </w:r>
    </w:p>
    <w:p w14:paraId="0EE3C807" w14:textId="77777777" w:rsidR="003C4DE9" w:rsidRDefault="00000000">
      <w:r>
        <w:t>The publication of the Remuneration Report is intended to provide increased corporate transparency and Directors accountability and increased oversight of shareholders on the implementation of the Remuneration Policy and practices, while at the same time demonstrating their coherence with Groups strategy and performance.</w:t>
      </w:r>
    </w:p>
    <w:p w14:paraId="537D75BB" w14:textId="77777777" w:rsidR="003C4DE9" w:rsidRDefault="00000000">
      <w:r>
        <w:t>The RemCo, as a whole, has knowledge, expertise, and professional experience in remuneration-related issues, risk management, and control activities.</w:t>
      </w:r>
    </w:p>
    <w:p w14:paraId="0F1A61D3" w14:textId="77777777" w:rsidR="003C4DE9" w:rsidRDefault="00000000">
      <w:r>
        <w:t>At least one member of the Committee should also be a member of the Risk Committee to oversee alignment of the Remuneration Policy with the Groups Risk &amp; Capital Strategy.</w:t>
      </w:r>
    </w:p>
    <w:p w14:paraId="02279BCC" w14:textId="77777777" w:rsidR="003C4DE9" w:rsidRDefault="00000000">
      <w:r>
        <w:lastRenderedPageBreak/>
        <w:t>In fulfilling its tasks, the RemCo regularly reviews shareholder and other stakeholder feedback when reaching its decisions, explicitly including any previous vote results on remuneration-related proposals to the General Meeting of Shareholders, to monitor the implementation of a framework that objectively evaluates performance and is directly linked with the determination of the remuneration of all employees, MRTs as well as non-MRTs, to oversee the implementation of the Groups talent management and succession planning policies, to assess the implementation of strategies with the purpose of building a corporate culture that will support the Group´s objectives and vision, and to regularly monitor pay equality and presence of discrimination based on gender, age, or Bank of origin.</w:t>
      </w:r>
    </w:p>
    <w:p w14:paraId="449080CE" w14:textId="77777777" w:rsidR="003C4DE9" w:rsidRDefault="00000000">
      <w:r>
        <w:t>In alignment with ESG risk governance, the RemCo is responsible to ensure that the Group Remuneration Policy is consistent with the objectives of the Groups business and risk strategy, including ESG risk-related objectives, corporate culture and values, and long-term interests of the Group.</w:t>
      </w:r>
    </w:p>
    <w:p w14:paraId="76AA324E" w14:textId="77777777" w:rsidR="003C4DE9" w:rsidRDefault="00000000">
      <w:r>
        <w:t>In 2022, the RemCo reviewed and recommended for the BoDs approval the following basic items, the Annual Variable Incentive Scheme bonus pool and payouts of MRTs for the performance year 2021, the Annual Remuneration Report for 2021, the amendments of Directors Remuneration Policy, in order to be submitted to the Annual General Meeting of Shareholders, and the BoDs remuneration for 2021 and the advance payment of 2022 remuneration, in order to be submitted to the Annual General Meeting of Shareholders.</w:t>
      </w:r>
    </w:p>
    <w:p w14:paraId="7A58D883" w14:textId="77777777" w:rsidR="003C4DE9" w:rsidRDefault="00000000">
      <w:r>
        <w:t>Employees are rated on the basis of their individual contribution to strategic enablers and functional targets and measurable indicators of what is expected in alignment with the corporate values.</w:t>
      </w:r>
    </w:p>
    <w:p w14:paraId="1C78DA41" w14:textId="174EAB90" w:rsidR="003C4DE9" w:rsidRDefault="00000000">
      <w:r>
        <w:t xml:space="preserve">The Group ensures that the methods used for determining the variable remuneration of control functions </w:t>
      </w:r>
      <w:r w:rsidR="00CB186F">
        <w:t>r</w:t>
      </w:r>
      <w:r>
        <w:t xml:space="preserve">isk management, compliance, and internal audit, do not compromise </w:t>
      </w:r>
      <w:proofErr w:type="gramStart"/>
      <w:r>
        <w:t>employees</w:t>
      </w:r>
      <w:proofErr w:type="gramEnd"/>
      <w:r>
        <w:t xml:space="preserve"> objectivity and independence.</w:t>
      </w:r>
    </w:p>
    <w:p w14:paraId="6359BAB1" w14:textId="77777777" w:rsidR="003C4DE9" w:rsidRDefault="00000000">
      <w:r>
        <w:t>Specifically, according to the annual variable incentive schemes, for the variable remuneration of GRM and Group Internal Audit, the performance assessment, bonus gating pillar, and performance adjustment are based on the recommendation of the Risk and Audit Committees respectively.</w:t>
      </w:r>
    </w:p>
    <w:p w14:paraId="045BF24B" w14:textId="77777777" w:rsidR="003C4DE9" w:rsidRDefault="00000000">
      <w:r>
        <w:t>Additionally, it aims to support both the attraction and retention of the employees in the Group, by remaining competitive in the market while ensuring employees engagement.</w:t>
      </w:r>
    </w:p>
    <w:p w14:paraId="566AE07E" w14:textId="77777777" w:rsidR="003C4DE9" w:rsidRDefault="00000000">
      <w:r>
        <w:t>The Group has developed a fixed gender-neutral remuneration framework, which defines the salary structure and ranges that set out the different levels of pay for roles and individual employees by reference to, the relative size of their role internally, as established by job evaluation, external relativities, via market rate surveys or relevant benchmarks, the individuals skills and experience, and the recognition of the value of the employees personal performance and contribution to the business.</w:t>
      </w:r>
    </w:p>
    <w:p w14:paraId="5D3312EB" w14:textId="77777777" w:rsidR="003C4DE9" w:rsidRDefault="00000000">
      <w:r>
        <w:lastRenderedPageBreak/>
        <w:t>The implementation of this model Job Family Model is expected to clarify the roles that are needed and their accountabilities and level of responsibility, provide the basis for career development, enhance internal mobility, and lay the foundations for a more structured approach for all HR-related processes, such as promotions, based on enrichingincreasing accountabilities and competencies, and linking pay with exceptional performance and talent retention.</w:t>
      </w:r>
    </w:p>
    <w:p w14:paraId="0B69B6B6" w14:textId="77777777" w:rsidR="003C4DE9" w:rsidRDefault="00000000">
      <w:r>
        <w:t>Benefits A fixed component of the remuneration structure relates to the benefits provided to employees in line with the relevant market practice to ensure competitiveness and business effectiveness.</w:t>
      </w:r>
    </w:p>
    <w:p w14:paraId="719328D3" w14:textId="77777777" w:rsidR="003C4DE9" w:rsidRDefault="00000000">
      <w:r>
        <w:t>These are reviewed on an ongoing basis in order to ensure compliance with this framework.</w:t>
      </w:r>
    </w:p>
    <w:p w14:paraId="35921626" w14:textId="77777777" w:rsidR="003C4DE9" w:rsidRDefault="00000000">
      <w:r>
        <w:t>Variable remuneration The Group aims at rewarding employees high performance in order to support the achievement of business targets at individual, Unit, and Group levels.</w:t>
      </w:r>
    </w:p>
    <w:p w14:paraId="40686E12" w14:textId="77777777" w:rsidR="003C4DE9" w:rsidRDefault="00000000">
      <w:r>
        <w:t>Variable remuneration schemes may be designed on a long-term or short-term basis, thus rewarding the achievement of both short-term and long-term business objectives.</w:t>
      </w:r>
    </w:p>
    <w:p w14:paraId="01538036" w14:textId="77777777" w:rsidR="003C4DE9" w:rsidRDefault="00000000">
      <w:r>
        <w:t>In accordance with the legal and regulatory principles and taking into account any possible conflict of interest, these schemes may take the form of an annual performance bonus aiming to incentivize individual performance or the form of an incentive scheme aiming to provide additional motives for the achievement of specific business results, such as increase in deposits, commissions, insurance products, etc.</w:t>
      </w:r>
    </w:p>
    <w:p w14:paraId="7B6A38A8" w14:textId="77777777" w:rsidR="003C4DE9" w:rsidRDefault="00000000">
      <w:r>
        <w:t>Such criteria incorporate the Groups medium-term and long-term strategy, including its risk profile and risk appetite, and are conducive to the alignment of the employees interests to those of the Group and shareholders, ensuring that no excessive risks will be taken, and the awarded amounts are not detrimental to maintaining a sound capital base.</w:t>
      </w:r>
    </w:p>
    <w:p w14:paraId="350C8935" w14:textId="77777777" w:rsidR="003C4DE9" w:rsidRDefault="00000000">
      <w:r>
        <w:t>More specifically, 50% of variable remuneration will be paid in cash, while the remaining 50% will be paid in instruments as defined by the applicable regulatory framework.</w:t>
      </w:r>
    </w:p>
    <w:p w14:paraId="3CF88527" w14:textId="77777777" w:rsidR="003C4DE9" w:rsidRDefault="00000000">
      <w:r>
        <w:t>A minimum proportion of 40% or respectively 60% for particularly high amounts12 of the variable remuneration is deferred over a period of time i.</w:t>
      </w:r>
    </w:p>
    <w:p w14:paraId="25190D46" w14:textId="77777777" w:rsidR="003C4DE9" w:rsidRDefault="00000000">
      <w:r>
        <w:t>Deferral period which cannot be shorter than four, years or otherwise defined by the applicable each time legislative and regulatory framework.</w:t>
      </w:r>
    </w:p>
    <w:p w14:paraId="4D1F03AE" w14:textId="77777777" w:rsidR="003C4DE9" w:rsidRDefault="00000000">
      <w:r>
        <w:t>For MRTs of international subsidiaries, a link to the performance of the relevant subsidiary should be taken into account along with the applicable regulatory framework.</w:t>
      </w:r>
    </w:p>
    <w:p w14:paraId="39DD0E77" w14:textId="77777777" w:rsidR="003C4DE9" w:rsidRDefault="00000000">
      <w:r>
        <w:t>In respect to the awarded instruments, a retention period of at least one year is set, or as otherwise defined by the existing legislative and regulatory framework.</w:t>
      </w:r>
    </w:p>
    <w:p w14:paraId="7080C66A" w14:textId="77777777" w:rsidR="003C4DE9" w:rsidRDefault="00000000">
      <w:r>
        <w:t xml:space="preserve">The requirements on deferring and payout allocation of variable remuneration in shares or other instruments are not implemented for employees either MRTs or not whose annual </w:t>
      </w:r>
      <w:r>
        <w:lastRenderedPageBreak/>
        <w:t>variable remuneration does not exceed the amount of € 50,000 and does not represent more than one-third of the employees total annual remuneration, or as otherwise defined by the existing legislative and regulatory framework.</w:t>
      </w:r>
    </w:p>
    <w:p w14:paraId="1748D2E3" w14:textId="77777777" w:rsidR="003C4DE9" w:rsidRDefault="00000000">
      <w:r>
        <w:t>Targets are cascaded down to employees through the Become and Achieve performance evaluation system.</w:t>
      </w:r>
    </w:p>
    <w:p w14:paraId="5FCF0409" w14:textId="77777777" w:rsidR="003C4DE9" w:rsidRDefault="00000000">
      <w:r>
        <w:t>Under all circumstances, any retention initiativebonus shall comply with the requirements of the regulatory framework, including the ex-post risk alignment, payment in instruments, deferral, malus and clawback arrangements, as well as legislative restrictions, where applicable.</w:t>
      </w:r>
    </w:p>
    <w:p w14:paraId="23DAC89B" w14:textId="77777777" w:rsidR="003C4DE9" w:rsidRDefault="00000000">
      <w:r>
        <w:t>The said scheme provides for the fulfillment of specific conditions and its mechanism is fully harmonized with the applicable legal and regulatory framework.</w:t>
      </w:r>
    </w:p>
    <w:p w14:paraId="1B4E950A" w14:textId="77777777" w:rsidR="003C4DE9" w:rsidRDefault="00000000">
      <w:r>
        <w:t>A highly reputed international consulting firm Boston Consulting Group was selected to contribute to the development of said Plan ensuring that its parameters are in accordance with international best practices, adhere to EBA guidelines and are compatible with the organizations other variable remuneration schemes.</w:t>
      </w:r>
    </w:p>
    <w:p w14:paraId="30B852FC" w14:textId="77777777" w:rsidR="003C4DE9" w:rsidRDefault="00000000">
      <w:r>
        <w:t>AGM authorized the BoD to, a determine the beneficiaries of said free shares on the basis of the applicable remuneration policy and remuneration schemes of the Group as well as the terms and criteria for the award and the payment of remuneration, and b proceed with the implementation of this decision at its discretion in the appropriate time and manner, and deal with all the procedural details related to this decision.</w:t>
      </w:r>
    </w:p>
    <w:p w14:paraId="2A5469C9" w14:textId="77777777" w:rsidR="003C4DE9" w:rsidRDefault="00000000">
      <w:r>
        <w:t>The employee should maintain active employment with the Group for a minimum of one, year from the date of hire.</w:t>
      </w:r>
    </w:p>
    <w:p w14:paraId="036B0E81" w14:textId="77777777" w:rsidR="003C4DE9" w:rsidRDefault="00000000">
      <w:r>
        <w:t>The full amount may be paid in non-deferred cash and may not be included in the calculation of the ratio between the fixed and variable components of the total remuneration for the first performance period, where the guaranteed variable remuneration is awarded when hiring new employee before the first performance period starts.</w:t>
      </w:r>
    </w:p>
    <w:p w14:paraId="3D180D1B" w14:textId="77777777" w:rsidR="003C4DE9" w:rsidRDefault="00000000">
      <w:r>
        <w:t>In order to ensure the Groups compliance with the qualitative and quantitative criteria described in the aforementioned framework, Group HR, assisted by Legal Services, GRM, and Group Compliance, performs a structured and formalized identification process.</w:t>
      </w:r>
    </w:p>
    <w:p w14:paraId="5EBB9F05" w14:textId="77777777" w:rsidR="003C4DE9" w:rsidRDefault="00000000">
      <w:r>
        <w:t>All employees whose professional activities have a material impact on Groups risk profile are identified based on data retrieved each year on December 31st or as otherwise defined in the existing legislative and regulatory framework.</w:t>
      </w:r>
    </w:p>
    <w:p w14:paraId="7E7EBCA9" w14:textId="459EE484" w:rsidR="003C4DE9" w:rsidRDefault="00000000">
      <w:r>
        <w:t xml:space="preserve">If the conditions are not favorable </w:t>
      </w:r>
      <w:r w:rsidR="00AE1CD6">
        <w:t>i</w:t>
      </w:r>
      <w:r>
        <w:t>ncreased liquidity needs, spending budget overruns the Group may decide not to pay variable remuneration, even if its financial performance permits it.</w:t>
      </w:r>
    </w:p>
    <w:p w14:paraId="5F1895DB" w14:textId="77777777" w:rsidR="003C4DE9" w:rsidRDefault="00000000">
      <w:r>
        <w:lastRenderedPageBreak/>
        <w:t>Malus and clawback provisionsarrangements for up to 100% of the total variable remuneration are in place both for the executive members of the BoD and the other MRTs in accordance with the existing legislative and regulatory framework.</w:t>
      </w:r>
    </w:p>
    <w:p w14:paraId="4D39D324" w14:textId="77777777" w:rsidR="003C4DE9" w:rsidRDefault="00000000">
      <w:r>
        <w:t>Full consolidation x Shopping centers management ND Development Single Member S.</w:t>
      </w:r>
    </w:p>
    <w:p w14:paraId="3E65EB16" w14:textId="77777777" w:rsidR="003C4DE9" w:rsidRDefault="00000000">
      <w:r>
        <w:t>Full consolidation x Property management New Up Dating Development Real Estate and Tourism Single Member S.</w:t>
      </w:r>
    </w:p>
    <w:p w14:paraId="66F8911E" w14:textId="77777777" w:rsidR="003C4DE9" w:rsidRDefault="00000000">
      <w:r>
        <w:t>Full consolidation x Property management Komotini Real Estate Development Single Member S.</w:t>
      </w:r>
    </w:p>
    <w:p w14:paraId="68E41BD7" w14:textId="1D164B78" w:rsidR="003C4DE9" w:rsidRDefault="00000000">
      <w:r>
        <w:t>Method of accounting consolidation Method of regulatory consolidation Description of the entity Name of the entity Full consolidation Proportional consolidation Equity method Deducted Neither consolidated nor deducted Piraeus Development Single Member S.</w:t>
      </w:r>
    </w:p>
    <w:p w14:paraId="120CEF2F" w14:textId="77777777" w:rsidR="003C4DE9" w:rsidRDefault="00000000">
      <w:r>
        <w:t>Equity method x European community programs management Gaia S.</w:t>
      </w:r>
    </w:p>
    <w:p w14:paraId="15409D04" w14:textId="77777777" w:rsidR="003C4DE9" w:rsidRDefault="00000000">
      <w:r>
        <w:t>Equity method x Ιnterbanking company of development, operation and management of information systems Piraeus Direct Services S.</w:t>
      </w:r>
    </w:p>
    <w:p w14:paraId="6AD46C1B" w14:textId="77777777" w:rsidR="003C4DE9" w:rsidRDefault="00000000">
      <w:r>
        <w:t>United in the Business of a Better World Piraeus Group is a signatory to the UN Declaration United in the Business of a Better World, a common statement from business leaders for cooperation beyond borders, where all public and private bodies prove their responsible operation with transparency.</w:t>
      </w:r>
    </w:p>
    <w:p w14:paraId="724436D9" w14:textId="77777777" w:rsidR="003C4DE9" w:rsidRDefault="00000000">
      <w:r>
        <w:t>Caring for Climate Piraeus Group is a signatory to the United Nations Global Compact Statement Caring for Climate, the Business Leadership Platform, which provides a framework for businesses to advance practical solutions and raise public awareness on Climate Change issues.</w:t>
      </w:r>
    </w:p>
    <w:p w14:paraId="3DF92A61" w14:textId="77777777" w:rsidR="003C4DE9" w:rsidRDefault="00000000">
      <w:r>
        <w:t>The PRB aim to align banks operations with the UN Sustainable Development Goals and the Paris Climate Agreement.</w:t>
      </w:r>
    </w:p>
    <w:p w14:paraId="1ADB9558" w14:textId="77777777" w:rsidR="003C4DE9" w:rsidRDefault="00000000">
      <w:r>
        <w:t>UNEP FI Declaration of Intent on Energy Efficiency Piraeus Group has signed the Declaration of Intent on Energy Efficiency of UNEP FI, recognizing that the financial sector has the capability to direct capital flows towards activities and investments that promote energy efficiency.</w:t>
      </w:r>
    </w:p>
    <w:p w14:paraId="74FD1D18" w14:textId="77777777" w:rsidR="003C4DE9" w:rsidRDefault="00000000">
      <w:r>
        <w:t>Principles for Responsible Investment Piraeus Asset Management is a signatory of the Principles for Responsible Investment, a global initiative for the adoption and implementation of Environmental, Social, and Governance Principles.</w:t>
      </w:r>
    </w:p>
    <w:p w14:paraId="2D52108A" w14:textId="77777777" w:rsidR="003C4DE9" w:rsidRDefault="00000000">
      <w:r>
        <w:t>The SBTi suggests methodological tools for measuring carbon emissions and setting targets for their reduction, both from the Banks operational and financing activities.</w:t>
      </w:r>
    </w:p>
    <w:p w14:paraId="40514A7C" w14:textId="77777777" w:rsidR="003C4DE9" w:rsidRDefault="00000000">
      <w:r>
        <w:t xml:space="preserve">Finance for Biodiversity Pledge Piraeus Group is one of the 26 financial institutions that signed the global Finance for Biodiversity Pledge in order to set goals and strengthen the </w:t>
      </w:r>
      <w:r>
        <w:lastRenderedPageBreak/>
        <w:t>business activities that protect and enhance the natural environment, reversing the rate of biodiversity loss.</w:t>
      </w:r>
    </w:p>
    <w:p w14:paraId="09A35469" w14:textId="77777777" w:rsidR="003C4DE9" w:rsidRDefault="00000000">
      <w:r>
        <w:t>GRI Standards is a sustainability reporting framework with widespread global acceptance and company adoption.</w:t>
      </w:r>
    </w:p>
    <w:sectPr w:rsidR="003C4D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03132429">
    <w:abstractNumId w:val="8"/>
  </w:num>
  <w:num w:numId="2" w16cid:durableId="1090929497">
    <w:abstractNumId w:val="6"/>
  </w:num>
  <w:num w:numId="3" w16cid:durableId="204683439">
    <w:abstractNumId w:val="5"/>
  </w:num>
  <w:num w:numId="4" w16cid:durableId="634681423">
    <w:abstractNumId w:val="4"/>
  </w:num>
  <w:num w:numId="5" w16cid:durableId="124085908">
    <w:abstractNumId w:val="7"/>
  </w:num>
  <w:num w:numId="6" w16cid:durableId="380179649">
    <w:abstractNumId w:val="3"/>
  </w:num>
  <w:num w:numId="7" w16cid:durableId="525339132">
    <w:abstractNumId w:val="2"/>
  </w:num>
  <w:num w:numId="8" w16cid:durableId="398212548">
    <w:abstractNumId w:val="1"/>
  </w:num>
  <w:num w:numId="9" w16cid:durableId="133113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62B"/>
    <w:rsid w:val="0029639D"/>
    <w:rsid w:val="00316F3B"/>
    <w:rsid w:val="00326F90"/>
    <w:rsid w:val="003A55E6"/>
    <w:rsid w:val="003C4DE9"/>
    <w:rsid w:val="00672963"/>
    <w:rsid w:val="00AA1D8D"/>
    <w:rsid w:val="00AE1CD6"/>
    <w:rsid w:val="00B06849"/>
    <w:rsid w:val="00B47730"/>
    <w:rsid w:val="00C4110F"/>
    <w:rsid w:val="00CB0664"/>
    <w:rsid w:val="00CB186F"/>
    <w:rsid w:val="00DD68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C375E"/>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11693</Words>
  <Characters>66653</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2025-08-02T16:42:00Z</dcterms:modified>
  <cp:category/>
</cp:coreProperties>
</file>