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9ADD2" w14:textId="464274F5" w:rsidR="00FE3E87" w:rsidRDefault="00000000">
      <w:r>
        <w:t>The report does not constitute either a form of financial statements or an evaluation of the future financial situation or business expectation for Piraeus Group.</w:t>
      </w:r>
    </w:p>
    <w:p w14:paraId="5C4E1B3E" w14:textId="77777777" w:rsidR="00FE3E87" w:rsidRDefault="00000000">
      <w:r>
        <w:t>They specify instructions for disclosure content and formats fixed and flexible through the use of tables and templates, aiming to improve the consistency and comparability of institutions regulatory disclosures in accordance with Part Eight of the CRR.</w:t>
      </w:r>
    </w:p>
    <w:p w14:paraId="3B77FE14" w14:textId="77777777" w:rsidR="00FE3E87" w:rsidRDefault="00000000">
      <w:r>
        <w:t>Based on the regulatory disclosure requirements and the Pillar III Disclosures Policy described below, the Group discloses this report via the internet, on a consolidated basis, alongside the Annual Financial Statements.</w:t>
      </w:r>
    </w:p>
    <w:p w14:paraId="055B15F8" w14:textId="77777777" w:rsidR="00FE3E87" w:rsidRDefault="00000000">
      <w:r>
        <w:t>The internal Pillar III Disclosures Policy sets out the principles governing regulatory disclosures of Pillar III within Piraeus Group, outlines the roles and responsibilities of business units and Senior Management involved in the process of formation and review of the disclosures, and defines the minimum content and extent as well as the means and frequency of information disclosed.</w:t>
      </w:r>
    </w:p>
    <w:p w14:paraId="12667043" w14:textId="77777777" w:rsidR="00FE3E87" w:rsidRDefault="00000000">
      <w:r>
        <w:t>The policy constitutes an integral part of the Group Risk Management Framework .</w:t>
      </w:r>
    </w:p>
    <w:p w14:paraId="7EED7169" w14:textId="77777777" w:rsidR="00FE3E87" w:rsidRDefault="00000000">
      <w:r>
        <w:t>Approval of Pillar III Report This report was approved on April 15th, 2025, by the Risk Committee of the Board of Directors BoD, in accordance with the Pillar III Disclosures Policy.</w:t>
      </w:r>
    </w:p>
    <w:p w14:paraId="7624B663" w14:textId="77777777" w:rsidR="00FE3E87" w:rsidRDefault="00000000">
      <w:r>
        <w:t>The information presented in this report is compliant with the relevant regulatory guidelines and is consistent with the Pillar III Disclosures Policy.</w:t>
      </w:r>
    </w:p>
    <w:p w14:paraId="7975EDB8" w14:textId="77777777" w:rsidR="00FE3E87" w:rsidRDefault="00000000">
      <w:r>
        <w:t>Following the completion of the demerger, the Group ceased to be a credit institution but still continues to apply the vast majority of these regulations and practices, adapted to its current activities, since they constitute best corporate governance practices and largely meet the requirements of the Law 47062020 on corporate governance that applies to Greek listed companies since July 2021.</w:t>
      </w:r>
    </w:p>
    <w:p w14:paraId="3C2DB27E" w14:textId="77777777" w:rsidR="00FE3E87" w:rsidRDefault="00000000">
      <w:r>
        <w:t>The Group has established policies, procedures, and adequate mechanisms for risk management, within all three lines of defense, in order to identify, manage, monitor, and report risks.</w:t>
      </w:r>
    </w:p>
    <w:p w14:paraId="40254EFC" w14:textId="77777777" w:rsidR="00FE3E87" w:rsidRDefault="00000000">
      <w:r>
        <w:t>The procedures in place promote the independence of risk-taking, risk management, and control activities.</w:t>
      </w:r>
    </w:p>
    <w:p w14:paraId="7253F0C3" w14:textId="77777777" w:rsidR="00FE3E87" w:rsidRDefault="00000000">
      <w:r>
        <w:t>The broader risk management framework at the Group level is constantly evolving, taking into account the current economic environment, business plans, the Banks historical data, market dynamics, supervisory and regulatory requirements, the Groups Corporate Governance framework, international best practices, and shareholder interests.</w:t>
      </w:r>
    </w:p>
    <w:p w14:paraId="1948532A" w14:textId="77777777" w:rsidR="00FE3E87" w:rsidRDefault="00000000">
      <w:r>
        <w:t>Objectives The purpose of the RMF, as well as GRM at large is to safeguard the optimum usage of the Groups resources, its capital, its reputation, and its people, in the best interest of the Groups stakeholders.</w:t>
      </w:r>
    </w:p>
    <w:p w14:paraId="06AB4283" w14:textId="0CB73CF5" w:rsidR="00FE3E87" w:rsidRDefault="00000000">
      <w:r>
        <w:lastRenderedPageBreak/>
        <w:t>In this context, the key driving principles of GRM are listed below, strategically manage capital &amp; liquidity, enhance risk management capabilities, continuously enhance the risk governance and control framework, and shape a strong risk culture.</w:t>
      </w:r>
    </w:p>
    <w:p w14:paraId="73233D4E" w14:textId="77777777" w:rsidR="00FE3E87" w:rsidRDefault="00000000">
      <w:r>
        <w:t>The RMF aims to promote effective and prudent management of all risks, ensuring appropriate allocation of responsibilities and accountability based on the risk origination, aiming at aligning risk-taking activities with the Groups risk appetite.</w:t>
      </w:r>
    </w:p>
    <w:p w14:paraId="29F3CF80" w14:textId="77777777" w:rsidR="00FE3E87" w:rsidRDefault="00000000">
      <w:r>
        <w:t>The Chairman of the RC is designated by the BoD and must possess significant experience in commercial banking and preferably in risk and capital management, as well as familiarity with the local and international regulatory framework.</w:t>
      </w:r>
    </w:p>
    <w:p w14:paraId="096C2637" w14:textId="6CAA44B7" w:rsidR="00FE3E87" w:rsidRDefault="00000000">
      <w:r>
        <w:t>For the achievement of its goal, the Committee undertakes, inter alia, the following duties and responsibilities, Monitors, assesses, and provides updates to the BoD with respect to the compliance with supervisory requirements, the risk profile, and the adherence to the approved risk appetite limits and early warning levels of the Group.</w:t>
      </w:r>
    </w:p>
    <w:p w14:paraId="1502AEC0" w14:textId="77777777" w:rsidR="00FE3E87" w:rsidRDefault="00000000">
      <w:r>
        <w:t>As reflected in the design and implementation of the strategic plan, it is of high priority for the Bank and the Group to further develop sophisticated risk management practices and robust models and methodologies.</w:t>
      </w:r>
    </w:p>
    <w:p w14:paraId="22F6BA04" w14:textId="77777777" w:rsidR="00FE3E87" w:rsidRDefault="00000000">
      <w:r>
        <w:t>The GRM reports to the CRO, and its structure is aligned with the Groups strategic targets, including the profitable and sustainable business model, optimization of capital allocation, strengthening of risk monitoring and controls, and adoption of superior governance standards as well as meeting the regulatory demands and oversight.</w:t>
      </w:r>
    </w:p>
    <w:p w14:paraId="6E4B031E" w14:textId="77777777" w:rsidR="00FE3E87" w:rsidRDefault="00000000">
      <w:r>
        <w:t>The GRM team is equipped to provide the organization best-in-class risk management practices, models, and methodologies, while acting as conduit of Risk Culture in the organization.</w:t>
      </w:r>
    </w:p>
    <w:p w14:paraId="4EC383AB" w14:textId="77777777" w:rsidR="00FE3E87" w:rsidRDefault="00000000">
      <w:r>
        <w:t xml:space="preserve">Additionally, it has the responsibility for the provision of information regarding the evolution of said risks to the responsible Committees and Group Management on a regular basis </w:t>
      </w:r>
      <w:r>
        <w:t> Moreover, the unit is responsible for the development and implementation of the credit risk review and assessment of the Group's loan portfolio.</w:t>
      </w:r>
    </w:p>
    <w:p w14:paraId="3D9F1502" w14:textId="77777777" w:rsidR="00FE3E87" w:rsidRDefault="00000000">
      <w:r>
        <w:t>To this end, the unit is responsible for the development and maintenance of the Risk and Capital Strategy as well as the Risk Adjusted Framework of the Group, in accordance with the Risk Committee and BoDs directions and guidance.</w:t>
      </w:r>
    </w:p>
    <w:p w14:paraId="1AF5B80F" w14:textId="77777777" w:rsidR="00FE3E87" w:rsidRDefault="00000000">
      <w:r>
        <w:t>It also provides subject matter expertise on ESG &amp; Climate risks in the context of risk frameworks, governance, management and measurement, stress testing, strategy, regulatory expectations and disclosures.</w:t>
      </w:r>
    </w:p>
    <w:p w14:paraId="5FA2D21E" w14:textId="77777777" w:rsidR="00FE3E87" w:rsidRDefault="00000000">
      <w:r>
        <w:t>CROs Office, CROs Office supports and monitors operations under the direct supervision of the CRO and at Group Risk Management level.</w:t>
      </w:r>
    </w:p>
    <w:p w14:paraId="0463AB5C" w14:textId="77777777" w:rsidR="00FE3E87" w:rsidRDefault="00000000">
      <w:r>
        <w:lastRenderedPageBreak/>
        <w:t>It also contributes to regular and ad hoc reporting to the CRO, Risk Committee and BoD as well as regulatory authorities.</w:t>
      </w:r>
    </w:p>
    <w:p w14:paraId="7EB18F75" w14:textId="77777777" w:rsidR="00FE3E87" w:rsidRDefault="00000000">
      <w:r>
        <w:t>The GRM team is better equipped to furnish the organization with best-in-class risk management practices, models and methodologies, while act as conduit of the risk culture in the organization.</w:t>
      </w:r>
    </w:p>
    <w:p w14:paraId="7CD96DB1" w14:textId="77777777" w:rsidR="00FE3E87" w:rsidRDefault="00000000">
      <w:r>
        <w:t>Their primary objective is to set the level of risk that the Group is willing to undertake in order to achieve its strategic goals, ensuring at the same time adherence to regulatory requirements.</w:t>
      </w:r>
    </w:p>
    <w:p w14:paraId="3C52189C" w14:textId="77777777" w:rsidR="00FE3E87" w:rsidRDefault="00000000">
      <w:r>
        <w:t>Recruitment and Diversity Recognizing the importance and benefits of diversity for maintaining and enhancing competitiveness and innovation as well as for achieving maximum team effectiveness and performance, when appointing Board members or senior managers the Company takes into account a combination of elements including, inter alia, skills, competences, qualifications, experience, professional and educational background, gender, age and other qualities, which vary according to the Company's operational and strategic needs.</w:t>
      </w:r>
    </w:p>
    <w:p w14:paraId="3486F582" w14:textId="77777777" w:rsidR="00FE3E87" w:rsidRDefault="00000000">
      <w:r>
        <w:t>This framework will be utilized within the Banks Risk Management unit to ensure compliance with the new regulatory standards.</w:t>
      </w:r>
    </w:p>
    <w:p w14:paraId="38855817" w14:textId="77777777" w:rsidR="00FE3E87" w:rsidRDefault="00000000">
      <w:r>
        <w:t>The new regulatory framework will come into effect on January 1, 2025, with the first official COREP Remittance Submission scheduled for the end of June 2025.</w:t>
      </w:r>
    </w:p>
    <w:p w14:paraId="6E91385A" w14:textId="77777777" w:rsidR="00FE3E87" w:rsidRDefault="00000000">
      <w:r>
        <w:t>To align with the regulatory and supervisory framework, the Bank must harmonize its operations to meet the capital requirements for credit, operational, and market risk.</w:t>
      </w:r>
    </w:p>
    <w:p w14:paraId="542BD845" w14:textId="5B1B05C8" w:rsidR="00FE3E87" w:rsidRDefault="00000000">
      <w:r>
        <w:t>The following actions are essential for a smooth transition to the new regulatory framework, Adaptation of Policies and Procedures, Update policies and procedures related to or affected by the calculation of capital requirements.</w:t>
      </w:r>
    </w:p>
    <w:p w14:paraId="3114A768" w14:textId="77777777" w:rsidR="00FE3E87" w:rsidRDefault="00000000">
      <w:r>
        <w:t>An integral part of this project has been the Groups preparation for its participation in various regulatory activities e.</w:t>
      </w:r>
    </w:p>
    <w:p w14:paraId="0067208B" w14:textId="77777777" w:rsidR="00FE3E87" w:rsidRDefault="00000000">
      <w:r>
        <w:t>G ECB Climate Stress-Test, Thematic Review on C&amp;E Risks, Pillar III Disclosures, CSRD reporting.</w:t>
      </w:r>
    </w:p>
    <w:p w14:paraId="0F582D38" w14:textId="77777777" w:rsidR="00FE3E87" w:rsidRDefault="00000000">
      <w:r>
        <w:t>An online version of the core documents of the regulatory framework for EU financial institutions can be accessed via the following address, link, ΕΒΑ-Interactive-Single-Rulebook 3.</w:t>
      </w:r>
    </w:p>
    <w:p w14:paraId="44CB8414" w14:textId="77777777" w:rsidR="00FE3E87" w:rsidRDefault="00000000">
      <w:r>
        <w:t>Further strengthening the resilience of the banking sector On May 20th, 2019, the European Commission released the Risk Reduction Measures package, a comprehensive set of legislative reforms that amend the current regulatory framework CRD IV package and that intend to further strengthen the resilience of Banks in the EU.</w:t>
      </w:r>
    </w:p>
    <w:p w14:paraId="4E96C717" w14:textId="70D8F1F5" w:rsidR="00FE3E87" w:rsidRDefault="00000000">
      <w:r>
        <w:lastRenderedPageBreak/>
        <w:t>The updates to the CRR included the following capital adequacy and risk management requirements, more risk sensitive methodologies for calculating market risk and counterparty credit risk capital requirements, a new large exposures framework, more favorable risk weighted asset relief for small and medium size enterprises as well as qualifying infrastructure exposures, a binding leverage ratio of 3% to safeguard institutions against excessive leverage, a binding NSFR of 100% to address the excessive reliance on short-term wholesale funding and to reduce long-term funding risk, and more extensive supervisory reporting and disclosure requirements.</w:t>
      </w:r>
    </w:p>
    <w:p w14:paraId="0960A8E2" w14:textId="77777777" w:rsidR="00FE3E87" w:rsidRDefault="00000000">
      <w:r>
        <w:t>Among other changes, the proposal finalizes the integration of the Basel III regulatory framework in the EU and introduces a framework for identifying, monitoring, and disclosing environmental, social, and governance risks.</w:t>
      </w:r>
    </w:p>
    <w:p w14:paraId="5C3B8C50" w14:textId="77777777" w:rsidR="00FE3E87" w:rsidRDefault="00000000">
      <w:r>
        <w:t>Developments in Group Capital Adequacy The Bank continues to work on a number of initiatives to further strengthen its capital position and to maintain robust capital monitoring methods and processes.</w:t>
      </w:r>
    </w:p>
    <w:p w14:paraId="7382CB53" w14:textId="77777777" w:rsidR="00FE3E87" w:rsidRDefault="00000000">
      <w:r>
        <w:t>The proceeds of the issuance will be directed in financing eligible green assets originated by the Bank that will contribute to achieving carbon neutrality by 2050 and are expected to provide positive environmental impact.</w:t>
      </w:r>
    </w:p>
    <w:p w14:paraId="7BBF2F6D" w14:textId="77777777" w:rsidR="00FE3E87" w:rsidRDefault="00000000">
      <w:r>
        <w:t>Leverage The CRD IV regulatory framework recognizes the need to monitor a ratio that is not risk-sensitive, in order to depict the financial state of the Group more effectively and to complement the prudential requirements set by the minimum capital adequacy thresholds.</w:t>
      </w:r>
    </w:p>
    <w:p w14:paraId="708B6799" w14:textId="77777777" w:rsidR="00FE3E87" w:rsidRDefault="00000000">
      <w:r>
        <w:t>ICAAP overview and integration in the overall RMF The ICAAP is an inextricable part of Pillar II within the Basel regulatory framework.</w:t>
      </w:r>
    </w:p>
    <w:p w14:paraId="2F12544A" w14:textId="77777777" w:rsidR="00FE3E87" w:rsidRDefault="00000000">
      <w:r>
        <w:t>Through the ICAAP, GRM extends risk measurement beyond risks addressed within the regulatory requirements of Pillar I credit, market, and operational risk, leverages on existing capabilities, and develops more advanced methodologies and metrics, in order to ensure that adequate capital is available according to the Groups risk profile and appetite.</w:t>
      </w:r>
    </w:p>
    <w:p w14:paraId="6D387086" w14:textId="0950D5C8" w:rsidR="00FE3E87" w:rsidRDefault="00000000">
      <w:r>
        <w:t>The ICAAP at the Group level results from a process of accommodating, regulatory guidelines, capital planning to ensure a sound trajectory towards the full implementation of the CRD IV and CRR, the external macro and business environment under which the Group operates, and the Groups strategy and objectives in the short and medium term.</w:t>
      </w:r>
    </w:p>
    <w:p w14:paraId="2941B61F" w14:textId="77777777" w:rsidR="00FE3E87" w:rsidRDefault="00000000">
      <w:r>
        <w:t>Planning and monitoring are the two indispensable phases of a complete ICAAP implementation, that respectively ensure the forward-looking and ongoing nature of the ICAAP, as postulated by regulatory requirements.</w:t>
      </w:r>
    </w:p>
    <w:p w14:paraId="3B417FDC" w14:textId="148E1560" w:rsidR="00FE3E87" w:rsidRDefault="00000000">
      <w:r>
        <w:t xml:space="preserve">The ICAAP is under the BoDs responsibility, while suitable governance arrangements for the process are in place, in accordance with respective regulatory expectations, consisting of relevant Committees Group Planning Committee, Market Scenarios Steering Committee, Executive Committee, Risk Committee engaged in reviewing, challenging, steering and </w:t>
      </w:r>
      <w:r>
        <w:lastRenderedPageBreak/>
        <w:t>approving respective parts of the process</w:t>
      </w:r>
      <w:r w:rsidR="00095C73">
        <w:t xml:space="preserve"> </w:t>
      </w:r>
      <w:r>
        <w:t>G risks identified, scenarios developed, interim and final results for capital assessment, capital planning and stress testing, as required.</w:t>
      </w:r>
    </w:p>
    <w:p w14:paraId="5AD2EC11" w14:textId="77777777" w:rsidR="00FE3E87" w:rsidRDefault="00000000">
      <w:r>
        <w:t>More specifically, reverse stress testing informs the recovery planning process and leads to the development of appropriate management and mitigating actions to cover the severe vulnerabilities.</w:t>
      </w:r>
    </w:p>
    <w:p w14:paraId="68B73D83" w14:textId="77777777" w:rsidR="00FE3E87" w:rsidRDefault="00000000">
      <w:r>
        <w:t>In parallel, ICAAP and ILAAP have similar underlying governance and procedural arrangements, therefore pertinent changes in these elements affect both practices.</w:t>
      </w:r>
    </w:p>
    <w:p w14:paraId="58BFB5A9" w14:textId="77777777" w:rsidR="00FE3E87" w:rsidRDefault="00000000">
      <w:r>
        <w:t>The above concepts support effective Risk Management holistically.</w:t>
      </w:r>
    </w:p>
    <w:p w14:paraId="4DA903E3" w14:textId="77777777" w:rsidR="00FE3E87" w:rsidRDefault="00000000">
      <w:r>
        <w:t>The implementation of the Credit Policy, which describes the principles of credit risk management of the Group, ensures effective and uniform credit risk monitoring and control.</w:t>
      </w:r>
    </w:p>
    <w:p w14:paraId="68070017" w14:textId="77777777" w:rsidR="00FE3E87" w:rsidRDefault="00000000">
      <w:r>
        <w:t>Under GRM, Credit Risk Management operates with the objective of identifying, monitoring, and managing credit risk according to the RAF, as approved by the BoD, in compliance with the respective obligations towards the supervisory authorities.</w:t>
      </w:r>
    </w:p>
    <w:p w14:paraId="6F9B7062" w14:textId="77777777" w:rsidR="00FE3E87" w:rsidRDefault="00000000">
      <w:r>
        <w:t>The continuous development of infrastructure, systems, and methodologies aimed at quantifying and evaluating credit risk is essential in order to timely and efficiently support Senior Management and the Business Units in relation to decision-making, policy formulation, and compliance with regulatory requirements.</w:t>
      </w:r>
    </w:p>
    <w:p w14:paraId="39334D5F" w14:textId="77777777" w:rsidR="00FE3E87" w:rsidRDefault="00000000">
      <w:r>
        <w:t>The alignment of the Restructuring Policy of the Group with the relevant EBA definitions and BoG guidelines was backed up with the creation of new structures and procedures, development of new information systems, and updates on existing applications, in order to achieve effective and reliable management of past due loans by performing restructurings according to the financial ability of the borrower and monitoring the effectiveness of various types of forbearance measures.</w:t>
      </w:r>
    </w:p>
    <w:p w14:paraId="002C1367" w14:textId="77777777" w:rsidR="00FE3E87" w:rsidRDefault="00000000">
      <w:r>
        <w:t>The exposure values are broken down by risk-weight bands columns a-e.</w:t>
      </w:r>
    </w:p>
    <w:p w14:paraId="35F0FA62" w14:textId="77777777" w:rsidR="00FE3E87" w:rsidRDefault="00000000">
      <w:r>
        <w:t>Additionally, the exposure values, risk weighted exposure amounts, and capital requirements are presented separately for each regulatory RWA calculation approach columns f-q.</w:t>
      </w:r>
    </w:p>
    <w:p w14:paraId="78C262A2" w14:textId="77777777" w:rsidR="00FE3E87" w:rsidRDefault="00000000">
      <w:r>
        <w:t>Environmental, Social, &amp; Governance Risks Introduction Environmental, Social and Governance risks refer to the potential negative financial and non-financial impacts that an organizations activities may have on the environment and society, as well as the organizations long-term sustainability, reputation, and brand.</w:t>
      </w:r>
    </w:p>
    <w:p w14:paraId="544ED1B1" w14:textId="77777777" w:rsidR="00FE3E87" w:rsidRDefault="00000000">
      <w:r>
        <w:t>As these risks have proven to translate to material losses in recent years, there is more focus from institutions to integrate ESG risk strategy, monitoring, and measurement into their business models and from regulatory authorities to develop a robust supervisory framework to ensure these risks are effectively managed.</w:t>
      </w:r>
    </w:p>
    <w:p w14:paraId="6ECF6244" w14:textId="77777777" w:rsidR="00FE3E87" w:rsidRDefault="00000000">
      <w:r>
        <w:lastRenderedPageBreak/>
        <w:t>Moreover, it is noted that stepping up efforts to address climate change is one of the key supervisory priorities for the SSM.</w:t>
      </w:r>
    </w:p>
    <w:p w14:paraId="24F9CB48" w14:textId="77777777" w:rsidR="00FE3E87" w:rsidRDefault="00000000">
      <w:r>
        <w:t>The strategy is formulated in line with the Paris Agreement, the Sustainable Development Goals SDGs, and the UN Principles for Responsible Banking .</w:t>
      </w:r>
    </w:p>
    <w:p w14:paraId="1DF8574F" w14:textId="77777777" w:rsidR="00FE3E87" w:rsidRDefault="00000000">
      <w:r>
        <w:t>As it aspires to align its loan and investment portfolios to become net zero, the Group committed to SBTi, and submitted targets that were validated in December 2022 and has been taking action and monitoring progress since then.</w:t>
      </w:r>
    </w:p>
    <w:p w14:paraId="5B3A367B" w14:textId="3647FC9C" w:rsidR="00FE3E87" w:rsidRDefault="00000000">
      <w:r>
        <w:t xml:space="preserve">In line with Greeces national climate targets as stipulated with the legislative framework in force National Climate Law, the Bank has committed to Zero new investments in new coal mines orand expansion of existing mines, as part of its exclusion lists </w:t>
      </w:r>
      <w:proofErr w:type="gramStart"/>
      <w:r>
        <w:t>enhancement .</w:t>
      </w:r>
      <w:proofErr w:type="gramEnd"/>
    </w:p>
    <w:p w14:paraId="63490325" w14:textId="77777777" w:rsidR="00FE3E87" w:rsidRDefault="00000000">
      <w:r>
        <w:t>A dedicated Steering Committee, chaired by the Group CRO and comprised of executive members across key functions of the Group, had the oversight of the Project.</w:t>
      </w:r>
    </w:p>
    <w:p w14:paraId="030A82F4" w14:textId="77777777" w:rsidR="00FE3E87" w:rsidRDefault="00000000">
      <w:r>
        <w:t>Overall, focus had been placed on redefining and enhancing processes, data management systems, policies, and frameworks, raising awareness and building a robust climate and ESG risks governance.</w:t>
      </w:r>
    </w:p>
    <w:p w14:paraId="454E7C51" w14:textId="77777777" w:rsidR="00FE3E87" w:rsidRDefault="00000000">
      <w:r>
        <w:t>These initiatives have been designed to support stakeholders confidence in the prospects of the Groups franchise, marking a significant step forward in the Groups commitment to sustained growth and stability.</w:t>
      </w:r>
    </w:p>
    <w:p w14:paraId="6F0419AD" w14:textId="77777777" w:rsidR="00FE3E87" w:rsidRDefault="00000000">
      <w:r>
        <w:t>Moreover, the Group in the context of its Business Plan has further incorporated several actions related to C&amp;E aspects, aiming to ensure that on a forward-looking basis its business model and portfolio will be diversified to be aligned with its net zero strategy.</w:t>
      </w:r>
    </w:p>
    <w:p w14:paraId="0B59E20F" w14:textId="77777777" w:rsidR="00FE3E87" w:rsidRDefault="00000000">
      <w:r>
        <w:t>It is acknowledged that these efforts are highly dependent on external factors, such as public policies, economic development and market sentiment.</w:t>
      </w:r>
    </w:p>
    <w:p w14:paraId="1242159F" w14:textId="77777777" w:rsidR="00FE3E87" w:rsidRDefault="00000000">
      <w:r>
        <w:t>Furthermore, as the methodologies, tools and market practices in setting and achieving these goals evolve, the Group commits to update as necessary, any policies actions and targets set, and incorporate other material areas such as biodiversity and ecosystems related risks.</w:t>
      </w:r>
    </w:p>
    <w:p w14:paraId="0C4422C5" w14:textId="77777777" w:rsidR="00FE3E87" w:rsidRDefault="00000000">
      <w:r>
        <w:t>C&amp;E opportunities and targets identified by Piraeus Group over the short, medium, and long term Piraeus Group understands the environmental dimension of sustainability as the management over time of the impacts, risks and opportunities linked to the battle against climate change, the transition to a low-carbon economy and the protection and regeneration of natural capital.</w:t>
      </w:r>
    </w:p>
    <w:p w14:paraId="2CF6A746" w14:textId="77777777" w:rsidR="00FE3E87" w:rsidRDefault="00000000">
      <w:r>
        <w:t>To proceed with a long-term assessment, beyond the typical business planning horizon for corporate clients, a longer period greater than five years is required to capture climate related risks, for assessing the resilience of the current business model against a range of possible future scenarios relevant to estimate climate-related and environmental risks.</w:t>
      </w:r>
    </w:p>
    <w:p w14:paraId="0D7BFBC1" w14:textId="77777777" w:rsidR="00FE3E87" w:rsidRDefault="00000000">
      <w:r>
        <w:lastRenderedPageBreak/>
        <w:t>Piraeus Group recognizes that climate-related risks are expected to intensify in the longer term, and thus, is launching initiatives to take due account of climate change and environmental considerations in its business targets, strategies, risk management and decision-making process.</w:t>
      </w:r>
    </w:p>
    <w:p w14:paraId="6875CDFD" w14:textId="77777777" w:rsidR="00FE3E87" w:rsidRDefault="00000000">
      <w:r>
        <w:t>For instance, Piraeus Group has already updated its credit policy framework, incorporated climaterelated and environmental considerations into its business planning, budgeting, and Risk Appetite Framework procedures, and has augmented its risk reports with additional ESG-related metrics and KPIs.</w:t>
      </w:r>
    </w:p>
    <w:p w14:paraId="0A6C4991" w14:textId="77777777" w:rsidR="00FE3E87" w:rsidRDefault="00000000">
      <w:r>
        <w:t xml:space="preserve">The financed emissions targets are below 2˚C and refer to nine asset classes representing well over 50% of total financed emissions </w:t>
      </w:r>
      <w:r>
        <w:t> Electricity in the Banks buildings is 100% sourced from renewables, leading to zero Scope 2 emissions market-based from 2020 and onwards.</w:t>
      </w:r>
    </w:p>
    <w:p w14:paraId="774EED4E" w14:textId="77777777" w:rsidR="00FE3E87" w:rsidRDefault="00000000">
      <w:r>
        <w:t>A target of 73% reduction of Scope 1 and Scope 2 2019 reference year emissions by 2030 has also been set under the SBTi Overall, climate change risks are expected to intensify in the medium to long-term, as indicated by the results of the Climate and Environmental Risk Materiality Assessment.</w:t>
      </w:r>
    </w:p>
    <w:p w14:paraId="29F2BAEE" w14:textId="77777777" w:rsidR="00FE3E87" w:rsidRDefault="00000000">
      <w:r>
        <w:t>However, the scenario analysis is an exercise performed under conditions of uncertainty which may be influenced from multiple parameters, including among others national and international policy objectives, geopolitical tensions and the pace of green technology development.</w:t>
      </w:r>
    </w:p>
    <w:p w14:paraId="5FF9FE06" w14:textId="77777777" w:rsidR="00FE3E87" w:rsidRDefault="00000000">
      <w:r>
        <w:t>Current and future C&amp;E investment activities and sustainable financing Piraeus Group has recognized the opportunity of ESG investments as stable &amp; safe and in line with its Sustainability Policy, its Climate Change Strategy and the new ESG Strategy and Business Plan.</w:t>
      </w:r>
    </w:p>
    <w:p w14:paraId="1493038D" w14:textId="77777777" w:rsidR="00FE3E87" w:rsidRDefault="00000000">
      <w:r>
        <w:t>This internationally acclaimed assessment recognizes the effectiveness of the company's policies and procedures in promoting transparency, promotion, acceptance and application of the Principles for Responsible Investment within the asset management industry.</w:t>
      </w:r>
    </w:p>
    <w:p w14:paraId="66FBE3C1" w14:textId="77777777" w:rsidR="00FE3E87" w:rsidRDefault="00000000">
      <w:r>
        <w:t>Finally, the company contributed significantly to the integration of adverse sustainability impacts at Piraeus Bank Group level PAI Policy.</w:t>
      </w:r>
    </w:p>
    <w:p w14:paraId="685D5168" w14:textId="77777777" w:rsidR="00FE3E87" w:rsidRDefault="00000000">
      <w:r>
        <w:t>Since then, regulations have evolved and Piraeus aims to incorporate all these developments in its Framework in order to reinforce its transparency on the commitment to a sustainable finance market In 2024, Piraeus Group reviewed the Piraeus Group Green Bond Framework, under which it will issue green bonds and use the proceeds to finance the low-carbon economy transition in Greece.</w:t>
      </w:r>
    </w:p>
    <w:p w14:paraId="5F08EB01" w14:textId="77777777" w:rsidR="00FE3E87" w:rsidRDefault="00000000">
      <w:r>
        <w:t>This Framework applies, from the moment of its publication to any future issuance of green bonds, across the capital structure, including senior unsecured bonds, subordinated bonds and senior secured bonds such as covered bonds, via public or private placements.</w:t>
      </w:r>
    </w:p>
    <w:p w14:paraId="742C789A" w14:textId="77777777" w:rsidR="00FE3E87" w:rsidRDefault="00000000">
      <w:r>
        <w:lastRenderedPageBreak/>
        <w:t>Clean transportation Piraeus at its discretion will use an amount equal to a Green Bonds net proceeds to finance or refinance, in whole or in part, new or existing Eligible Green Assets, that have been specifically selected in accordance with the Eligibility Criteria as outlined in the Framework.</w:t>
      </w:r>
    </w:p>
    <w:p w14:paraId="691B93B8" w14:textId="77777777" w:rsidR="00FE3E87" w:rsidRDefault="00000000">
      <w:r>
        <w:t>Sustainable Finance The fields of energy transition and sustainable banking comprise some of the primary focus areas of the Group for 2025- 2028.</w:t>
      </w:r>
    </w:p>
    <w:p w14:paraId="61FEE9B6" w14:textId="77777777" w:rsidR="00FE3E87" w:rsidRDefault="00000000">
      <w:r>
        <w:t>Piraeus also provides targeted financing that incorporates ESG performance indicators, supporting the connection of growth and economic efficiency with social and environmental sustainability.</w:t>
      </w:r>
    </w:p>
    <w:p w14:paraId="0B58CC3A" w14:textId="77777777" w:rsidR="00FE3E87" w:rsidRDefault="00000000">
      <w:r>
        <w:t>In accordance with relevant international and EU Standards, Piraeus integrates ESG criteria in the lending process for MidCaps and Large Corporates, prompting its customers to achieve measurable targets related to, energy efficiency improvements.</w:t>
      </w:r>
    </w:p>
    <w:p w14:paraId="689F9021" w14:textId="77777777" w:rsidR="00FE3E87" w:rsidRDefault="00000000">
      <w:r>
        <w:t>Policies related to C&amp;E business development Sustainable Development Policy The Sustainable Development Policy reflects the Groups intentions for business strategies and targets that meet the UN Sustainable Development Goals and the Paris Agreement, by aligning its operations with the UNEP FI Principles for Responsible Banking.</w:t>
      </w:r>
    </w:p>
    <w:p w14:paraId="4C6931A2" w14:textId="77777777" w:rsidR="00FE3E87" w:rsidRDefault="00000000">
      <w:r>
        <w:t>It echoes the Groups overall approach to sustainable development and sets the strategic directions to support, promote, and finance sustainability.</w:t>
      </w:r>
    </w:p>
    <w:p w14:paraId="7AA1E00D" w14:textId="77777777" w:rsidR="00FE3E87" w:rsidRDefault="00000000">
      <w:r>
        <w:t>The Framework aims to establish a clear and comprehensive methodology for identifying sustainable financing, thus facilitating the monitoring of the Groups performance against sustainability-related strategic aspirations and targets.</w:t>
      </w:r>
    </w:p>
    <w:p w14:paraId="2F1D4883" w14:textId="77777777" w:rsidR="00FE3E87" w:rsidRDefault="00000000">
      <w:r>
        <w:t>Currently, Piraeus Group offers Mutual Funds that are engaged in the promotion of environmental and or social objectives light green Article 8 as per SFDR classification system.</w:t>
      </w:r>
    </w:p>
    <w:p w14:paraId="117391C0" w14:textId="77777777" w:rsidR="00FE3E87" w:rsidRDefault="00000000">
      <w:r>
        <w:t>Sustainability-linked loans are financial instruments that incentivize corporate clients to achieve agreed targets that improve their ESG performance.</w:t>
      </w:r>
    </w:p>
    <w:p w14:paraId="19AB2328" w14:textId="77777777" w:rsidR="00FE3E87" w:rsidRDefault="00000000">
      <w:r>
        <w:t>These targets must be clear, measurable, material, and aligned with the clients overall sustainability strategy and action plan.</w:t>
      </w:r>
    </w:p>
    <w:p w14:paraId="5570760B" w14:textId="77777777" w:rsidR="00FE3E87" w:rsidRDefault="00000000">
      <w:r>
        <w:t>The framework promotes positive impacts and assists in capturing opportunities in relation to climate change mitigation, adaptation and energy sub-topics.</w:t>
      </w:r>
    </w:p>
    <w:p w14:paraId="566D6CE5" w14:textId="77777777" w:rsidR="00FE3E87" w:rsidRDefault="00000000">
      <w:r>
        <w:t>Furthermore, the Sustainability-linked loans can be used as a method to advance the Groups targets for transition financing and for managing potential negative impacts and risks related to Climate Change.</w:t>
      </w:r>
    </w:p>
    <w:p w14:paraId="3EF7726B" w14:textId="77777777" w:rsidR="00FE3E87" w:rsidRDefault="00000000">
      <w:r>
        <w:t xml:space="preserve">The framework is structured along five key pillars, The approach of potentially eligible corporates Identification of Key Performance Indicators KPIs Calibration of Sustainability </w:t>
      </w:r>
      <w:r>
        <w:lastRenderedPageBreak/>
        <w:t>Performance Targets SPTs Verification and financial incentives Sustainability metrics, targets, scope and methodology, are captured in this Framework, describing the rationale for prioritizing certain metrics over others, the justification behind proposed targets, the overall action plan that will support target achievement, and the validation mechanism for selected metrics.</w:t>
      </w:r>
    </w:p>
    <w:p w14:paraId="35ED5BEC" w14:textId="77777777" w:rsidR="00FE3E87" w:rsidRDefault="00000000">
      <w:r>
        <w:t>The focus is instead on supporting a borrower in improving its sustainability performance, via the achievement of predetermined SPTs.</w:t>
      </w:r>
    </w:p>
    <w:p w14:paraId="6DEC3989" w14:textId="77777777" w:rsidR="00FE3E87" w:rsidRDefault="00000000">
      <w:r>
        <w:t>The proceeds may primarily be used to finance investments or working capital needs promoting current activities or future development plans.</w:t>
      </w:r>
    </w:p>
    <w:p w14:paraId="1A681D94" w14:textId="77777777" w:rsidR="00FE3E87" w:rsidRDefault="00000000">
      <w:r>
        <w:t>The main objective of the ESMS is to identify and assess the environmental and social impacts, in addition to the economic impact, of the lending activities to be used in the Groups credit approval process.</w:t>
      </w:r>
    </w:p>
    <w:p w14:paraId="27438451" w14:textId="77777777" w:rsidR="00FE3E87" w:rsidRDefault="00000000">
      <w:r>
        <w:t>Environmental risk governance The Sustainable Development Policy reflects the Groups intentions for business strategies and targets that meet the UN Sustainable Development Goals and the Paris Agreement, by aligning its operations with the UNEP FI Principles for Responsible Banking.</w:t>
      </w:r>
    </w:p>
    <w:p w14:paraId="6437F130" w14:textId="77777777" w:rsidR="00FE3E87" w:rsidRDefault="00000000">
      <w:r>
        <w:t>It echoes the Groups overall approach to sustainable development and sets the strategic directions to support, promote, and finance sustainability.</w:t>
      </w:r>
    </w:p>
    <w:p w14:paraId="512CAF81" w14:textId="77777777" w:rsidR="00FE3E87" w:rsidRDefault="00000000">
      <w:r>
        <w:t>In line with the commitment to put sustainability at the heart of what the Group does, its governance approach has been updated.</w:t>
      </w:r>
    </w:p>
    <w:p w14:paraId="3A55C560" w14:textId="77777777" w:rsidR="00FE3E87" w:rsidRDefault="00000000">
      <w:r>
        <w:t>The new ESG governance supports a holistic approach and drives long-term value creation.</w:t>
      </w:r>
    </w:p>
    <w:p w14:paraId="0781C1BB" w14:textId="77777777" w:rsidR="00FE3E87" w:rsidRDefault="00000000">
      <w:r>
        <w:t>Risk Committee, Responsible for advising and supporting the BoD regarding the monitoring of the Groups overall actual and future risk strategy and risk appetite, taking into account all types of risks including climate and ESG risks, in order to ensure that they are in line with the business strategy, objectives, corporate culture, and values of the Group.</w:t>
      </w:r>
    </w:p>
    <w:p w14:paraId="17F1CBD9" w14:textId="77777777" w:rsidR="00FE3E87" w:rsidRDefault="00000000">
      <w:r>
        <w:t>In 2024, the Risk Committee reviewed the 2025 Groups Risk Identification Annual Report, including the Groups strategic approach on the front of climate-related and environmental risks, and opportunities.</w:t>
      </w:r>
    </w:p>
    <w:p w14:paraId="3225FE0D" w14:textId="77777777" w:rsidR="00FE3E87" w:rsidRDefault="00000000">
      <w:r>
        <w:t>Remuneration Committee RemCo, Responsible for ensuring that the Group remuneration policy is consistent with the objectives of the Groups business and risk strategy, including ESG risk-related objectives, corporate culture and values, and long-term interests of the Group.</w:t>
      </w:r>
    </w:p>
    <w:p w14:paraId="769017BB" w14:textId="77777777" w:rsidR="00FE3E87" w:rsidRDefault="00000000">
      <w:r>
        <w:t>In 2024, following a respective proposal of the Remuneration Committee to the BoD, an 82 PILLAR III 2024 amended version of the Directors Remuneration Policy was approved by the Annual General Meeting of Shareholders.</w:t>
      </w:r>
    </w:p>
    <w:p w14:paraId="10EB4710" w14:textId="77777777" w:rsidR="00FE3E87" w:rsidRDefault="00000000">
      <w:r>
        <w:lastRenderedPageBreak/>
        <w:t>Board Ethics and ESG Committee, Responsible for considering the material ethical and ESG issues relevant to the Groups business activities and for supporting the Group in maintaining its position as a reference leader in ethical and ESG environmental, society, governance issues.</w:t>
      </w:r>
    </w:p>
    <w:p w14:paraId="2D11FA78" w14:textId="77777777" w:rsidR="00FE3E87" w:rsidRDefault="00000000">
      <w:r>
        <w:t>The composition of the Committee, reflects the prominent role the management of the Group is expected to play in shaping the Groups approach to managing sustainability issues and integrating the Climate &amp; ESG criteria into the Banks strategy, recognizing that this is a key factor in ensuring long-term success and reflecting the fact that these issues are becoming materially relevant to the Group as well as to key stakeholders, such as clients and regulators.</w:t>
      </w:r>
    </w:p>
    <w:p w14:paraId="25C29647" w14:textId="77777777" w:rsidR="00FE3E87" w:rsidRDefault="00000000">
      <w:r>
        <w:t>The purpose of this Committee is to promote and monitor Responsible and Sustainable Banking by adopting ESG criteria that combine growth and economic performance with culture, social well-being, and environmental sustainability.</w:t>
      </w:r>
    </w:p>
    <w:p w14:paraId="350BDC9D" w14:textId="77777777" w:rsidR="00FE3E87" w:rsidRDefault="00000000">
      <w:r>
        <w:t>The mandate focuses on crafting a sustainability agenda with tangible results and ensure that sustainability is fully embedded into every function, process and employee of the Bank.</w:t>
      </w:r>
    </w:p>
    <w:p w14:paraId="231B3D11" w14:textId="77777777" w:rsidR="00FE3E87" w:rsidRDefault="00000000">
      <w:r>
        <w:t>The second line of defense includes functions such as Risk Management and Compliance.</w:t>
      </w:r>
    </w:p>
    <w:p w14:paraId="67027A55" w14:textId="77777777" w:rsidR="00FE3E87" w:rsidRDefault="00000000">
      <w:r>
        <w:t>This line is responsible for overseeing risk management practices and ensuring compliance with applicable regulations and standards.</w:t>
      </w:r>
    </w:p>
    <w:p w14:paraId="651C01D1" w14:textId="77777777" w:rsidR="00FE3E87" w:rsidRDefault="00000000">
      <w:r>
        <w:t>They provide guidance and support to the first line of defense, helping to develop and implement risk management frameworks and policies.</w:t>
      </w:r>
    </w:p>
    <w:p w14:paraId="7E7EA130" w14:textId="77777777" w:rsidR="00FE3E87" w:rsidRDefault="00000000">
      <w:r>
        <w:t>This line acts as a control function to monitor and facilitate the implementation of effective risk management practices.</w:t>
      </w:r>
    </w:p>
    <w:p w14:paraId="5AFAAEB7" w14:textId="77777777" w:rsidR="00FE3E87" w:rsidRDefault="00000000">
      <w:r>
        <w:t>Internal Audit evaluates the overall risk management framework and ensures that the first and second lines of defense are functioning effectively.</w:t>
      </w:r>
    </w:p>
    <w:p w14:paraId="5E0D7B1E" w14:textId="77777777" w:rsidR="00FE3E87" w:rsidRDefault="00000000">
      <w:r>
        <w:t>They report directly to the highest levels of the organization, such as the Board of Directors, to maintain independence and objectivity.</w:t>
      </w:r>
    </w:p>
    <w:p w14:paraId="46392988" w14:textId="77777777" w:rsidR="00FE3E87" w:rsidRDefault="00000000">
      <w:r>
        <w:t xml:space="preserve">More specifically, </w:t>
      </w:r>
      <w:r>
        <w:t> The Corporate Development and ESG Unit is responsible for the preparation of sustainability disclosures and supporting the integration of ESG factors into strategic planning and business development.</w:t>
      </w:r>
    </w:p>
    <w:p w14:paraId="19FB1502" w14:textId="77777777" w:rsidR="00FE3E87" w:rsidRDefault="00000000">
      <w:r>
        <w:t>They ensure that the bank's sustainability reporting is comprehensive, accurate, and aligned with international standards.</w:t>
      </w:r>
    </w:p>
    <w:p w14:paraId="5061B5F5" w14:textId="77777777" w:rsidR="00FE3E87" w:rsidRDefault="00000000">
      <w:r>
        <w:t>Priority is placed in developing sustainable products and services to customers in a way to enable a commercial ESG &amp; Climate strategy, enhancing ESG communication and disclosure to all stakeholders, and contributing to the formulation of global Climate &amp; ESG frameworks by participating in international sustainability initiatives.</w:t>
      </w:r>
    </w:p>
    <w:p w14:paraId="4F8E55BD" w14:textId="77777777" w:rsidR="00FE3E87" w:rsidRDefault="00000000">
      <w:r>
        <w:lastRenderedPageBreak/>
        <w:t>Moreover, the Unit has a supplementary scope of work, that involves handling the relations with the 84 PILLAR III 2024 Greek and international development organizations such as the Hellenic Development Bank, the European Investment Bank, and the European Investment Fund, providing financial products promoting sustainable investments and responsible entrepreneurship.</w:t>
      </w:r>
    </w:p>
    <w:p w14:paraId="227C166B" w14:textId="77777777" w:rsidR="00FE3E87" w:rsidRDefault="00000000">
      <w:r>
        <w:t>It is responsible for assessing the creditworthiness of borrowers and ensuring that lending practices align with Piraeus risk appetite and regulatory requirements.</w:t>
      </w:r>
    </w:p>
    <w:p w14:paraId="0D74C9C9" w14:textId="77777777" w:rsidR="00FE3E87" w:rsidRDefault="00000000">
      <w:r>
        <w:t>The Unit prioritizes the development and strengthening of initiatives and actions based on social contribution and in particular the strengthening of education, health, and sports.</w:t>
      </w:r>
    </w:p>
    <w:p w14:paraId="546DDF5D" w14:textId="77777777" w:rsidR="00FE3E87" w:rsidRDefault="00000000">
      <w:r>
        <w:t>Furthermore, it is responsible to assist in addressing social problems, to support humanitarian initiatives, and to support the work of social and other organizations.</w:t>
      </w:r>
    </w:p>
    <w:p w14:paraId="161EC73B" w14:textId="77777777" w:rsidR="00FE3E87" w:rsidRDefault="00000000">
      <w:r>
        <w:t>It also provides subject matter expertise on these risks in the context of risk frameworks, governance, management and measurement, scenario analysis, stress testing, regulatory expectations, and disclosures.</w:t>
      </w:r>
    </w:p>
    <w:p w14:paraId="35CDF11C" w14:textId="77777777" w:rsidR="00FE3E87" w:rsidRDefault="00000000">
      <w:r>
        <w:t>Furthermore, it identifies potential areas for enhanced analysis and improvements in the management of ESG &amp; Climate risks and their respective implementation plans and ensures appropriate information flow and progress on their roadmaps inside GRM.</w:t>
      </w:r>
    </w:p>
    <w:p w14:paraId="38A78E5F" w14:textId="77777777" w:rsidR="00FE3E87" w:rsidRDefault="00000000">
      <w:r>
        <w:t>They handle recruitment, training, performance management, and employee relations.</w:t>
      </w:r>
    </w:p>
    <w:p w14:paraId="0F0DAC21" w14:textId="77777777" w:rsidR="00FE3E87" w:rsidRDefault="00000000">
      <w:r>
        <w:t>They support the sustainability disclosures through the collection of HR Group metrics and the development of the narrative disclosures.</w:t>
      </w:r>
    </w:p>
    <w:p w14:paraId="1A912AC2" w14:textId="77777777" w:rsidR="00FE3E87" w:rsidRDefault="00000000">
      <w:r>
        <w:t>The management of the report entails the regular maintenance and updating of the content, to ensure that the Framework remains relevant and up to date, against any strategic or regulatory developments.</w:t>
      </w:r>
    </w:p>
    <w:p w14:paraId="4E2213DE" w14:textId="77777777" w:rsidR="00FE3E87" w:rsidRDefault="00000000">
      <w:r>
        <w:t>To assist in the accurate maintenance, Piraeus Banks units of Development &amp; Sustainable Banking, Credit Policy and Risk Strategy &amp; ESG Risks also participate in the periodic review of the Framework, by providing subject matter expert advice and ensuring the accurate categorization of financing and alignment with the latest developments.</w:t>
      </w:r>
    </w:p>
    <w:p w14:paraId="0C60F8C1" w14:textId="77777777" w:rsidR="00FE3E87" w:rsidRDefault="00000000">
      <w:r>
        <w:t>The Remuneration Policy aims, inter alia, to, support a performance-driven culture, rewarding excellence and delivery of ESG goals embrace equal pay policy for male and female employees for equal work or work of equal value, supporting a culture of fairness For this purpose, the Group has already integrated a set of ESG related Short-term STIs and Long-term Incentives LTIs in line with its business plan, covering also in some cases, risk-related aspects.</w:t>
      </w:r>
    </w:p>
    <w:p w14:paraId="7F33B410" w14:textId="77777777" w:rsidR="00FE3E87" w:rsidRDefault="00000000">
      <w:r>
        <w:t>The Group monitors, reviews, and updates the remuneration processes and structures on a periodic basis and whenever there is a material change, so that they are continuously aligned with the evolving business objectives and regulatory framework.</w:t>
      </w:r>
    </w:p>
    <w:p w14:paraId="7D8FD39A" w14:textId="77777777" w:rsidR="00FE3E87" w:rsidRDefault="00000000">
      <w:r>
        <w:lastRenderedPageBreak/>
        <w:t>One of the aims set in the Remuneration Policy is to support a performance-driven culture, rewarding excellence and delivery of ESG goals.</w:t>
      </w:r>
    </w:p>
    <w:p w14:paraId="11B5BCA6" w14:textId="77777777" w:rsidR="00FE3E87" w:rsidRDefault="00000000">
      <w:r>
        <w:t>As described in the Groups and the Directors Remuneration Policies, under the section of the Annual Variable Incentive Schemes, Unit or pillar performance is a key component defining the amount of variable pay.</w:t>
      </w:r>
    </w:p>
    <w:p w14:paraId="0412EFF8" w14:textId="77777777" w:rsidR="00FE3E87" w:rsidRDefault="00000000">
      <w:r>
        <w:t>Climate-related metrics incorporated in compensation frameworks include the reduction of carbon footprint, provision of sustainable finance and products, and accountability type measures such as leadership in the climate-related area.</w:t>
      </w:r>
    </w:p>
    <w:p w14:paraId="658CB164" w14:textId="77777777" w:rsidR="00FE3E87" w:rsidRDefault="00000000">
      <w:r>
        <w:t>More information regarding the Group Remuneration Policy can be found further down in this document.</w:t>
      </w:r>
    </w:p>
    <w:p w14:paraId="617E4149" w14:textId="77777777" w:rsidR="00FE3E87" w:rsidRDefault="00000000">
      <w:r>
        <w:t>Internal reporting Over and above RAF indicators which are detailed in a subsequent section, the Group has introduced several monitoring KRIs around C&amp;E risks, to enable close oversight and a proactive approach in managing the associated risks.</w:t>
      </w:r>
    </w:p>
    <w:p w14:paraId="439B864E" w14:textId="77777777" w:rsidR="00FE3E87" w:rsidRDefault="00000000">
      <w:r>
        <w:t>The Group is continuing to integrate the necessary data into its system that will allow for the categorization of various financings as sustainable and for the overall compliance with the legal obligations of reporting sustainable data, while continuing to align its business objectives with the EU Taxonomy.</w:t>
      </w:r>
    </w:p>
    <w:p w14:paraId="407C30AF" w14:textId="77777777" w:rsidR="00FE3E87" w:rsidRDefault="00000000">
      <w:r>
        <w:t>Environmental risk identification and materiality assessment Piraeus Group has established a comprehensive risk management framework to identify, measure, control, and mitigate underlying risks, including climate and environmental risks.</w:t>
      </w:r>
    </w:p>
    <w:p w14:paraId="776474F3" w14:textId="77777777" w:rsidR="00FE3E87" w:rsidRDefault="00000000">
      <w:r>
        <w:t>Definitions, methodologies, and international standards on which the environmental risk management framework is based The Group identifies climate risks as the potential negative impacts on an institutions financial health and operations, potentially caused by climate changes, such as extreme weather events.</w:t>
      </w:r>
    </w:p>
    <w:p w14:paraId="63E78423" w14:textId="77777777" w:rsidR="00FE3E87" w:rsidRDefault="00000000">
      <w:r>
        <w:t>In addition, environmental risks are regarded as the risks of any negative financial impact on the institution stemming from the current or prospective impacts of environmental factors on its counterparties or invested assets.</w:t>
      </w:r>
    </w:p>
    <w:p w14:paraId="43C52847" w14:textId="77777777" w:rsidR="00FE3E87" w:rsidRDefault="00000000">
      <w:r>
        <w:t>These changes may be due to long-term alterations in climate patterns, referred to as chronic, or an increase in the number and severity of extreme events, often classified as acute.</w:t>
      </w:r>
    </w:p>
    <w:p w14:paraId="7DA70567" w14:textId="77777777" w:rsidR="00FE3E87" w:rsidRDefault="00000000">
      <w:r>
        <w:t>These risks are triggered by regulatory changes policy and legal, the integration of new low-carbon technologies, shifts in market conditions, consumer preferences and more.</w:t>
      </w:r>
    </w:p>
    <w:p w14:paraId="0B8749EA" w14:textId="77777777" w:rsidR="00FE3E87" w:rsidRDefault="00000000">
      <w:r>
        <w:t xml:space="preserve">The analysis is performed on the two main sub-categories of climate risk, </w:t>
      </w:r>
      <w:r>
        <w:t> Transition Risk due to changes in the regulatory framework, fast technology developments, changes in market conditions and the transition to a low carbon economy.</w:t>
      </w:r>
    </w:p>
    <w:p w14:paraId="602B5578" w14:textId="77777777" w:rsidR="00FE3E87" w:rsidRDefault="00000000">
      <w:r>
        <w:lastRenderedPageBreak/>
        <w:t>The main external data sources utilized are, Hellenic Statistical Authority, Eurostat, National Energy and Climate Plan, Network of Central Banks and Supervisors for Greening the Financial System , Institute of Greek Tourism Confederation, Greek Payment Authority of Common Agricultural Policy.</w:t>
      </w:r>
    </w:p>
    <w:p w14:paraId="797AD706" w14:textId="77777777" w:rsidR="00FE3E87" w:rsidRDefault="00000000">
      <w:r>
        <w:t>This analysis helps the Group to support its clients in their climate transition, focus on supporting a green economy, and financing the energy performance efficiency of their properties, as well as to optimize the value of its collaterals by requiring insurance protection for certain hazards.</w:t>
      </w:r>
    </w:p>
    <w:p w14:paraId="7897F9BC" w14:textId="77777777" w:rsidR="00FE3E87" w:rsidRDefault="00000000">
      <w:r>
        <w:t>The Bank acknowledges that climate risk factors driving operational risk, in the form of extreme physical risk events, are likely to increase in severity and could lead in significant disruptions on the Banks operations.</w:t>
      </w:r>
    </w:p>
    <w:p w14:paraId="7954AB89" w14:textId="77777777" w:rsidR="00FE3E87" w:rsidRDefault="00000000">
      <w:r>
        <w:t>Reputation and Litigation risks, In accordance with Litigation and Reputation risk, the Bank identifies, Litigation risk, Banks may face legal actions related to climate change in various ways, such as, Compliance, failure to comply with environmental regulations or to meet emissions targets can lead to legal penalties and fines.</w:t>
      </w:r>
    </w:p>
    <w:p w14:paraId="4045ABEB" w14:textId="77777777" w:rsidR="00FE3E87" w:rsidRDefault="00000000">
      <w:r>
        <w:t>Disclosure and transparency, misleading or inadequate reporting of climate-related risks and opportunities may invite legal action under securities laws.</w:t>
      </w:r>
    </w:p>
    <w:p w14:paraId="4BE127AB" w14:textId="77777777" w:rsidR="00FE3E87" w:rsidRDefault="00000000">
      <w:r>
        <w:t>Reputation risk, Due to increased public awareness and concern about climate change, companies and banks are under greater scrutiny for their environmental practices.</w:t>
      </w:r>
    </w:p>
    <w:p w14:paraId="17BBA809" w14:textId="77777777" w:rsidR="00FE3E87" w:rsidRDefault="00000000">
      <w:r>
        <w:t>Clients, investors, and other stakeholders are increasingly looking for sustainable and environmentally responsible companies, and failure to meet these expectations may result in reputational damage, loss of customers, and a decline in market value.</w:t>
      </w:r>
    </w:p>
    <w:p w14:paraId="152A1DBD" w14:textId="77777777" w:rsidR="00FE3E87" w:rsidRDefault="00000000">
      <w:r>
        <w:t>For the AUM the outcome of the assessment for this perimeter is considered as not being materially affected by climate risk as well, while for the repossessed assets it is considered that physical risk materially affects across the medium and long-term horizons, taking into consideration that the analysis for floods coastal and fluvial focuses on the medium to long-term horizon of expected impact and the limited size of exposures classified as High risk for the rest of the physical risk types.</w:t>
      </w:r>
    </w:p>
    <w:p w14:paraId="0BC3A58B" w14:textId="77777777" w:rsidR="00FE3E87" w:rsidRDefault="00000000">
      <w:r>
        <w:t>Piraeus is committed to the preservation of natural capital and aims to take concrete steps to promote responsible practices for its own operations and value chain, with focus on its relationships with clients that are highly dependent on ecosystem services and operate in sectors with considerable biodiversity impacts.</w:t>
      </w:r>
    </w:p>
    <w:p w14:paraId="6BB27CB7" w14:textId="77777777" w:rsidR="00FE3E87" w:rsidRDefault="00000000">
      <w:r>
        <w:t>It also acknowledges the nexus of climate and nature and aspires to connect biodiversity strategy with existing climate strategy.</w:t>
      </w:r>
    </w:p>
    <w:p w14:paraId="396773AA" w14:textId="77777777" w:rsidR="00FE3E87" w:rsidRDefault="00000000">
      <w:r>
        <w:t>Currently, Piraeus focusses its efforts on solidifying its understanding and on enhancing the identification and management of the pertinent risks, in line with the gradual development of market practices, methodologies and tools for financial institutions.</w:t>
      </w:r>
    </w:p>
    <w:p w14:paraId="50CD0BE9" w14:textId="77777777" w:rsidR="00FE3E87" w:rsidRDefault="00000000">
      <w:r>
        <w:lastRenderedPageBreak/>
        <w:t>These processes have been 11 The materiality assessment outcome for Credit and Business &amp; Strategic risk is driven by Biodiversity risk.</w:t>
      </w:r>
    </w:p>
    <w:p w14:paraId="654ECA9A" w14:textId="77777777" w:rsidR="00FE3E87" w:rsidRDefault="00000000">
      <w:r>
        <w:t>From an inherent risk perspective, environmental risks are considered to have a material impact, especially on the credit risk of loan portfolio.</w:t>
      </w:r>
    </w:p>
    <w:p w14:paraId="1ABF516F" w14:textId="77777777" w:rsidR="00FE3E87" w:rsidRDefault="00000000">
      <w:r>
        <w:t>However, the level of residual risk is expected to be immaterial considering the dedicated processes to identify, monitor and mitigate risks associated with environmental other than climate factors in credit origination.</w:t>
      </w:r>
    </w:p>
    <w:p w14:paraId="38A3E0D9" w14:textId="77777777" w:rsidR="00FE3E87" w:rsidRDefault="00000000">
      <w:r>
        <w:t>These processes include the exclusion list in terms of financed activities which takes into consideration environmental and social factors, the ESMS Process and Questionnaire which performs an initial screening of customers behavior towards environmental &amp; social matters through a dedicated questionnaire and the Interbank Questionnaire which will allow the Bank to assess, in quantitative terms, the performance of its obligors across all material environmental, social &amp; governance risk factors.</w:t>
      </w:r>
    </w:p>
    <w:p w14:paraId="01F5B04A" w14:textId="77777777" w:rsidR="00FE3E87" w:rsidRDefault="00000000">
      <w:r>
        <w:t>The outcome of the materiality assessment for environmental risks applies to all time horizons.</w:t>
      </w:r>
    </w:p>
    <w:p w14:paraId="4978B6FD" w14:textId="77777777" w:rsidR="00FE3E87" w:rsidRDefault="00000000">
      <w:r>
        <w:t>More specifically, the Group is committed to integrate the risks associated with climate and ESG factors into its business strategy and to assume initiatives over and above legal obligations with the aim of enhancing social welfare and contributing to a net-zero economy.</w:t>
      </w:r>
    </w:p>
    <w:p w14:paraId="3710D2EB" w14:textId="77777777" w:rsidR="00FE3E87" w:rsidRDefault="00000000">
      <w:r>
        <w:t>Meeting societys needs as expressed through the Sustainable Development Goals SDGs and the Paris Climate Agreement and adopting a responsible banking behavior are fundamental to Piraeus Groups strategy and fully resonate with its business model, its shared values of accountability, meritocracy, and transparency, and its aspiration to become net-zero by 2050.</w:t>
      </w:r>
    </w:p>
    <w:p w14:paraId="1B784509" w14:textId="77777777" w:rsidR="00FE3E87" w:rsidRDefault="00000000">
      <w:r>
        <w:t>The Group, is also, committed to integrate the risks associated with climate and ESG factors at all relevant stages of the credit granting process.</w:t>
      </w:r>
    </w:p>
    <w:p w14:paraId="6FFD1E91" w14:textId="77777777" w:rsidR="00FE3E87" w:rsidRDefault="00000000">
      <w:r>
        <w:t>Moreover at segment level, the Group also monitors the percentage of exposures with actual Energy Performance Certificate information Mortgages Stock, Corporates and Own used assets, the reduction in Financed Emissions Scope 3 cat.</w:t>
      </w:r>
    </w:p>
    <w:p w14:paraId="5C8A98A2" w14:textId="77777777" w:rsidR="00FE3E87" w:rsidRDefault="00000000">
      <w:r>
        <w:t>Policies and tools related to environmental risk management The Group, through Project Proteus, has already identified the business functions across all Three Lines of Defense related to or affected by C&amp;E risks and the respective policies in order to map any gaps and ensure that climate and ESG aspects are incorporated accordingly.</w:t>
      </w:r>
    </w:p>
    <w:p w14:paraId="4C0E77B6" w14:textId="77777777" w:rsidR="00FE3E87" w:rsidRDefault="00000000">
      <w:r>
        <w:t>Environmental &amp; Social Management System in business financing incorporated in Credit Policy The Groups Credit Policy Manual, approved by the Executive Committee, has a dedicated section regarding ESMS incorporating environmental and social E&amp;C criteria in line with international standards, in addition to traditional credit criteria.</w:t>
      </w:r>
    </w:p>
    <w:p w14:paraId="62135A6E" w14:textId="77777777" w:rsidR="00FE3E87" w:rsidRDefault="00000000">
      <w:r>
        <w:lastRenderedPageBreak/>
        <w:t>The main objective of the ESMS is to identify and assess potential environmental and social impacts, in addition to the economic impact, of the lending activities to be used in the Groups credit assessment and approval process.</w:t>
      </w:r>
    </w:p>
    <w:p w14:paraId="1B811B95" w14:textId="77777777" w:rsidR="00FE3E87" w:rsidRDefault="00000000">
      <w:r>
        <w:t>Also, the Group has incorporated C&amp;E risks in credit decision-making through targeted amendments in the Banks credit policy to differentiate treatment of obligors deemed to be high-risk from a Climate &amp; Environmental perspective.</w:t>
      </w:r>
    </w:p>
    <w:p w14:paraId="430BF301" w14:textId="77777777" w:rsidR="00FE3E87" w:rsidRDefault="00000000">
      <w:r>
        <w:t>ESMS Questionnaire The Group, in the context of its ESMS policy and to proceed with an initial screening of its customers behavior towards environmental and social matters, has produced a relevant questionnaire that requires information regarding customers business activities.</w:t>
      </w:r>
    </w:p>
    <w:p w14:paraId="1E744023" w14:textId="70A07609" w:rsidR="00FE3E87" w:rsidRDefault="00000000">
      <w:r>
        <w:t>More specifically, the customers are invited to provide the below environmental information, significant accidents or incidents with significant environmental damage in the last two years fines or penalties for non-compliance with environmental regulations potential Health, Safety, &amp; Environment liabilities, such as those arising from landgroundwater contamination, related to the companys pastongoing operations, or related to individuals or legal entities with dominant influence over the projectcompany from their pastongoing operations 96 PILLAR III 2024 location of the companyproject proximity relative to environmentally sensitive areas Transaction Assessment The assessment is initiated by evaluating the clients activity sector vs.</w:t>
      </w:r>
      <w:r w:rsidR="000C06B0">
        <w:t xml:space="preserve"> t</w:t>
      </w:r>
      <w:r>
        <w:t>he Banks exclusion list .</w:t>
      </w:r>
    </w:p>
    <w:p w14:paraId="6CCD4179" w14:textId="77777777" w:rsidR="00FE3E87" w:rsidRDefault="00000000">
      <w:r>
        <w:t>Low Risk Loans, loans of minor or manageable environmental or social risks andor impacts that are reversible with the implementation of the appropriate measures and which usually affect the sites or facilities.</w:t>
      </w:r>
    </w:p>
    <w:p w14:paraId="1955B918" w14:textId="77777777" w:rsidR="00FE3E87" w:rsidRDefault="00000000">
      <w:r>
        <w:t>The advantages of standardized ESG questionnaires for companies are indicatively the following, Limitation of the volume of information required by companies Fully-fledged automated solution that accelerates the recording process, whilst at the same time ensuring correct completion and data protection 97 PILLAR III 2024 Common approach for companies of the same size and industry Harmonization of the requested data with the provisions, among others, in the Directive 20222464 Corporate Sustainability Reporting Directive CSRD Along with the operationalization of the interbank questionnaires the Bank will be able to assess, in quantitative terms, the performance of its obligors across all material environmental, social &amp; governance risk factors.</w:t>
      </w:r>
    </w:p>
    <w:p w14:paraId="08AA840C" w14:textId="77777777" w:rsidR="00FE3E87" w:rsidRDefault="00000000">
      <w:r>
        <w:t>The Greek banking system remains committed to support by all means the transition of companies towards a green and socially responsible operating model.</w:t>
      </w:r>
    </w:p>
    <w:p w14:paraId="109867ED" w14:textId="77777777" w:rsidR="00FE3E87" w:rsidRDefault="00000000">
      <w:r>
        <w:t>Piraeus Group will further engage with its customers, requesting targeted action plans to remediate issues, mitigate ESG-related risks, and support their transition to low-carbon operations.</w:t>
      </w:r>
    </w:p>
    <w:p w14:paraId="41D79EFA" w14:textId="77777777" w:rsidR="00FE3E87" w:rsidRDefault="00000000">
      <w:r>
        <w:t xml:space="preserve">The Climabiz tool assesses in quantitative terms the climate risk both physical and transition of the Banks business borrowers bottom-up approach, based on their turnover </w:t>
      </w:r>
      <w:r>
        <w:lastRenderedPageBreak/>
        <w:t>and the general operational and technical features of their respective fields of activity, for specific economic sectors considered to be most affected by climate change.</w:t>
      </w:r>
    </w:p>
    <w:p w14:paraId="07FAB949" w14:textId="77777777" w:rsidR="00FE3E87" w:rsidRDefault="00000000">
      <w:r>
        <w:t>In order to reach such forcing levels, ambitious greenhouse gas emissions reductions would be required over time For the materiality assessment, the Group performed its climate risk both physical and transition analysis, using SSP1- 1.</w:t>
      </w:r>
    </w:p>
    <w:p w14:paraId="38A2DE8A" w14:textId="77777777" w:rsidR="00FE3E87" w:rsidRDefault="00000000">
      <w:r>
        <w:t>The main external data sources utilized for the aforementioned analysis are the following, Hellenic Statistical Authority, Eurostat, National Energy and Climate Plan, Network of Central Banks and Supervisors for Greening the Financial System , Institute of Greek Tourism Confederation, Greek Payment Authority of Common Agricultural Policy Geographic Information System as a dynamic risk tool GIS has emerged as a powerful risk assessment tool and is being used to assess risk to property and economic activities stemming from climate change and natural hazards.</w:t>
      </w:r>
    </w:p>
    <w:p w14:paraId="5B4036BD" w14:textId="77777777" w:rsidR="00FE3E87" w:rsidRDefault="00000000">
      <w:r>
        <w:t>This assessment of project sustainability is also carried out at various stages of the project to ensure the continued and uninterrupted operation of the installed equipment and infrastructure, the expected utilization, and the relevant conditions and estimates set initially.</w:t>
      </w:r>
    </w:p>
    <w:p w14:paraId="4980CBFF" w14:textId="77777777" w:rsidR="00FE3E87" w:rsidRDefault="00000000">
      <w:r>
        <w:t>The ESMS procedure part of the Groups Credit Policy since 2018 consists of an Environmental and Social Risk Assessment for business credit new investments and existing corporate activities and facilities.</w:t>
      </w:r>
    </w:p>
    <w:p w14:paraId="6D1EDF95" w14:textId="77777777" w:rsidR="00FE3E87" w:rsidRDefault="00000000">
      <w:r>
        <w:t>This process is part of the ongoing efforts to deal with ESG Risks that have been identified as important in the Banks Operational Risk 100 PILLAR III 2024 Management and Internal Control Policy.</w:t>
      </w:r>
    </w:p>
    <w:p w14:paraId="54745130" w14:textId="77777777" w:rsidR="00FE3E87" w:rsidRDefault="00000000">
      <w:r>
        <w:t>Net Zero, Governments implement stringent policies to reach global warming of 1.</w:t>
      </w:r>
    </w:p>
    <w:p w14:paraId="0D5B743C" w14:textId="77777777" w:rsidR="00FE3E87" w:rsidRDefault="00000000">
      <w:r>
        <w:t>Energy efficiency and higher renewable capacity rollout is required to reach climate goals.</w:t>
      </w:r>
    </w:p>
    <w:p w14:paraId="0886D474" w14:textId="77777777" w:rsidR="00FE3E87" w:rsidRDefault="00000000">
      <w:r>
        <w:t>Climate Catastrophe, Emissions continue to rise as countries fail to achieve climate goals.</w:t>
      </w:r>
    </w:p>
    <w:p w14:paraId="37911186" w14:textId="77777777" w:rsidR="00FE3E87" w:rsidRDefault="00000000">
      <w:r>
        <w:t>Two approaches have been adopted to successfully set-up Piraeus Groups data model and governance, a tactical approach short-term that uses proxies and third-party data where actual information is not available a strategic approach medium-, long-term that refers to further engagement with clients to capture actual data As a supplementary approach for data collection, the Group examines the interbank database initiative .</w:t>
      </w:r>
    </w:p>
    <w:p w14:paraId="535A2209" w14:textId="77777777" w:rsidR="00FE3E87" w:rsidRDefault="00000000">
      <w:r>
        <w:t>Through the Carbon Footprint Calculation Database Ecotracker, 102 PILLAR III 2024 the collection of data for calculating the Groups carbon footprint Scope 1, Scope 2, and Scope 3 categories 1-14 is automated a more efficient process and cross checking of the environmental data is attained a more complete environmental reporting is achieved A major benefit from the use of the Ecotracker is that the Group monitors and manages the implementation of environmental programs that ultimately result in a reduction of the Groups operational costs.</w:t>
      </w:r>
    </w:p>
    <w:p w14:paraId="43D8A3BD" w14:textId="77777777" w:rsidR="00FE3E87" w:rsidRDefault="00000000">
      <w:r>
        <w:lastRenderedPageBreak/>
        <w:t>Next steps in environmental risk management Enhance Climabiz to further fine tune estimations of physical and transition risks for the Groups business portfolios Further engage with clients in order to collect actual data and reduce reliance on proxies Further development of scenario analysis capabilities and linkage with business strategy Operationalization of Sustainable Finance Framework Social risk 5.</w:t>
      </w:r>
    </w:p>
    <w:p w14:paraId="690E55C9" w14:textId="77777777" w:rsidR="00FE3E87" w:rsidRDefault="00000000">
      <w:r>
        <w:t>Valuing its commitment to operate with responsibility and adhering to the precautionary principle, the Group has established dedicated policies, procedures and monitoring mechanisms, in the areas of safeguarding human and labor rights, protecting the environment and fostering a corporate culture which promotes Accountability, Meritocracy and Transparency within its own operations and all its activities across its value chain.</w:t>
      </w:r>
    </w:p>
    <w:p w14:paraId="65FDEED6" w14:textId="77777777" w:rsidR="00FE3E87" w:rsidRDefault="00000000">
      <w:r>
        <w:t>Piraeus was actively involved in the development and adoption of the U.</w:t>
      </w:r>
    </w:p>
    <w:p w14:paraId="59C07A62" w14:textId="77777777" w:rsidR="00FE3E87" w:rsidRDefault="00000000">
      <w:r>
        <w:t>Principles for Responsible Banking and having acknowledged their importance, treats each group of stakeholders as important.</w:t>
      </w:r>
    </w:p>
    <w:p w14:paraId="4823D7FE" w14:textId="77777777" w:rsidR="00FE3E87" w:rsidRDefault="00000000">
      <w:r>
        <w:t>In this context, as part of its activities and operations, Piraeus has set up appropriate channels to encourage constructive dialogue, through its branch network and call center, the social media platforms it operates, the customer andor employee satisfaction surveys, the customer complaints mechanism, the interaction with supervisory authorities, etc.</w:t>
      </w:r>
    </w:p>
    <w:p w14:paraId="222215AC" w14:textId="77777777" w:rsidR="00FE3E87" w:rsidRDefault="00000000">
      <w:r>
        <w:t>These stakeholders are integral to Piraeus operations, and the Group maintains systematic engagement to identify changes in the environment and better manage expectations, as well as to identify the material sustainability matters through the Double Materiality Assessment process.</w:t>
      </w:r>
    </w:p>
    <w:p w14:paraId="10A63EA1" w14:textId="77777777" w:rsidR="00FE3E87" w:rsidRDefault="00000000">
      <w:r>
        <w:t>The Groups strategic priority is to accomplish its medium-term financial targets for the period 2025-2028, while maintaining its position as a leading, resilient and socially responsible financial institution, contributing to the development of the Greek economy by financing creditworthy investment plans, providing liquidity to businesses and households, and protecting the savings that the Groups customers have entrusted to it.</w:t>
      </w:r>
    </w:p>
    <w:p w14:paraId="54BD637B" w14:textId="77777777" w:rsidR="00FE3E87" w:rsidRDefault="00000000">
      <w:r>
        <w:t>With regards to material social topics, it seeks to adapt its practices to promote positive impacts and prevent the occurrence of negative ones.</w:t>
      </w:r>
    </w:p>
    <w:p w14:paraId="009E39FB" w14:textId="77777777" w:rsidR="00FE3E87" w:rsidRDefault="00000000">
      <w:r>
        <w:t>Furthermore, Piraeus enhances its customers proposition with focus on innovation and accessible services across the geographies it operates, while preserving a culture of Accountability, Meritocracy and Transparency within the organization.</w:t>
      </w:r>
    </w:p>
    <w:p w14:paraId="512312EC" w14:textId="77777777" w:rsidR="00FE3E87" w:rsidRDefault="00000000">
      <w:r>
        <w:t>Piraeus also supports local communities and vulnerable social groups, through its extended cultural and educational initiatives and the provision of products and services catering to the needs of groups with particular characteristics.</w:t>
      </w:r>
    </w:p>
    <w:p w14:paraId="4999BF2D" w14:textId="77777777" w:rsidR="00FE3E87" w:rsidRDefault="00000000">
      <w:r>
        <w:t xml:space="preserve">Overall, Piraeus remains vigilant of stakeholders input and how this could contribute to the adaptation of its strategy and business model with regards to material sustainability </w:t>
      </w:r>
      <w:r>
        <w:lastRenderedPageBreak/>
        <w:t>matters, aiming to preserve and enhance relationships of trust, in the areas that matter the most for its key stakeholders.</w:t>
      </w:r>
    </w:p>
    <w:p w14:paraId="2A4805AE" w14:textId="77777777" w:rsidR="00FE3E87" w:rsidRDefault="00000000">
      <w:r>
        <w:t>As part of the governance system relevant to stakeholder engagement, the Audit Committee and the Board have been informed of the material sustainability matters in the context of the Double Materiality Assessment, through dedicated sessions.</w:t>
      </w:r>
    </w:p>
    <w:p w14:paraId="280EA001" w14:textId="77777777" w:rsidR="00FE3E87" w:rsidRDefault="00000000">
      <w:r>
        <w:t>Equall initiatives are developed across the pillars of Gender Equality, Children Welfare, New Generation, Vulnerable Social Groups and focus on education, training, acquisition, and enhancement of skills, creating equal opportunities for all men and women to evolve, develop, and become self-sufficient in respectable and dignified conditions.</w:t>
      </w:r>
    </w:p>
    <w:p w14:paraId="541D1E41" w14:textId="77777777" w:rsidR="00FE3E87" w:rsidRDefault="00000000">
      <w:r>
        <w:t>Psychosocial support is also offered to women, to maximize their prospects and achieve their personal goals.</w:t>
      </w:r>
    </w:p>
    <w:p w14:paraId="7C1E7FEC" w14:textId="77777777" w:rsidR="00FE3E87" w:rsidRDefault="00000000">
      <w:r>
        <w:t>The program consists of training modules aiming to develop the participants cross-cutting skills, while also providing personalized mentoring and deeper insight both through their contact with experienced mentors and via GenAI tools.</w:t>
      </w:r>
    </w:p>
    <w:p w14:paraId="391E788C" w14:textId="77777777" w:rsidR="00FE3E87" w:rsidRDefault="00000000">
      <w:r>
        <w:t>The program consists of training modules aiming to develop the participants cross-cutting skills, while also providing personalized mentoring and deeper insight both through their contact with experienced mentors and via GenAI tools.</w:t>
      </w:r>
    </w:p>
    <w:p w14:paraId="6103576B" w14:textId="77777777" w:rsidR="00FE3E87" w:rsidRDefault="00000000">
      <w:r>
        <w:t>The program consists of training modules aiming to cover subjects such as farm digitalization, entrepreneurship, and the transition to green agriculture, aiming to develop the participants cross-cutting skills and providing personalized mentoring.</w:t>
      </w:r>
    </w:p>
    <w:p w14:paraId="583D856D" w14:textId="77777777" w:rsidR="00FE3E87" w:rsidRDefault="00000000">
      <w:r>
        <w:t>It provides free training and specialization in key areas of business and 15 Beneficiary is considered the person who has attended at least one module of the training, mentoring or workshops, or has received other forms of support from the programme.</w:t>
      </w:r>
    </w:p>
    <w:p w14:paraId="4B349378" w14:textId="77777777" w:rsidR="00FE3E87" w:rsidRDefault="00000000">
      <w:r>
        <w:t>In reference to Pillar 3 beneficiaries, there are various programmes about Gender Equality, Children Welfare, New Generation initiatives and Vulnerable social groups with a total benefit reaching 33K individuals by 2025.</w:t>
      </w:r>
    </w:p>
    <w:p w14:paraId="3B0A3983" w14:textId="77777777" w:rsidR="00FE3E87" w:rsidRDefault="00000000">
      <w:r>
        <w:t>There is a growing focus on financial inclusion and accessibility, as it becomes clearer that certain segments of society require additional banking support, particularly if they are vulnerable or face other challenges.</w:t>
      </w:r>
    </w:p>
    <w:p w14:paraId="124D250B" w14:textId="77777777" w:rsidR="00FE3E87" w:rsidRDefault="00000000">
      <w:r>
        <w:t>Since 2021, Piraeus has signed the UNEP-FI Commitment for Financial Health and Inclusion, in the context of the Principles for Responsible Banking.</w:t>
      </w:r>
    </w:p>
    <w:p w14:paraId="3492D14B" w14:textId="77777777" w:rsidR="00FE3E87" w:rsidRDefault="00000000">
      <w:r>
        <w:t>Piraeus Bank was included in a report published in July 2023 by UNEP FI, among other 20 banks that had set targets to shift their portfolios to include vulnerable groups in their markets of operation, advance financial inclusion beyond basic banking products, and enhance the financial resilience and well-being of their customers.</w:t>
      </w:r>
    </w:p>
    <w:p w14:paraId="7F73E9DB" w14:textId="77777777" w:rsidR="00FE3E87" w:rsidRDefault="00000000">
      <w:r>
        <w:lastRenderedPageBreak/>
        <w:t>Central to these efforts are the Equall initiatives, which focus on education, training, skill development, and creating equal opportunities for all individuals, including men, women, and the new generation, to grow and become selfsufficient under respectable and dignified conditions.</w:t>
      </w:r>
    </w:p>
    <w:p w14:paraId="1CDF7EEE" w14:textId="77777777" w:rsidR="00FE3E87" w:rsidRDefault="00000000">
      <w:r>
        <w:t>Equall initiatives are developed across the pillars of Gender Equality, Children Welfare, New Generation, Vulnerable Social Groups and focus on education, training, acquisition, and enhancement of skills, creating equal opportunities for all men and women to evolve, develop, and become self-sufficient in respectable and dignified conditions.</w:t>
      </w:r>
    </w:p>
    <w:p w14:paraId="45153A6A" w14:textId="77777777" w:rsidR="00FE3E87" w:rsidRDefault="00000000">
      <w:r>
        <w:t>Employee relationships and labor standards Piraeus Group adopts best workplace practices and fosters a responsible banking culture, thus contributing to the achievement of Sustainable Development Goals 4, 5, and 8.</w:t>
      </w:r>
    </w:p>
    <w:p w14:paraId="5A6ED90F" w14:textId="77777777" w:rsidR="00FE3E87" w:rsidRDefault="00000000">
      <w:r>
        <w:t>The Group also implements reward systems, which encourage individual and collective contribution favoring performance, innovative initiatives, ethics, integrity, and exceptional professional conduct.</w:t>
      </w:r>
    </w:p>
    <w:p w14:paraId="698A0B82" w14:textId="77777777" w:rsidR="00FE3E87" w:rsidRDefault="00000000">
      <w:r>
        <w:t>Apart from adhering to labor-related provisions, the Group gives employees and their family members access to occupational physicians, nurses, and support services, through internationally certified Employee Assistance Programs EAPs.</w:t>
      </w:r>
    </w:p>
    <w:p w14:paraId="6FE86C1D" w14:textId="77777777" w:rsidR="00FE3E87" w:rsidRDefault="00000000">
      <w:r>
        <w:t>Moreover, the Group adheres to all legal provisions and those deriving from individual employment contracts and collective labor agreements, and it maintains an open communication channel with employees and their representatives in order to continuously improve the working environment.</w:t>
      </w:r>
    </w:p>
    <w:p w14:paraId="42889856" w14:textId="77777777" w:rsidR="00FE3E87" w:rsidRDefault="00000000">
      <w:r>
        <w:t>Furthermore, it develops initiatives to support all customers and regularly updates feedback on customer satisfaction.</w:t>
      </w:r>
    </w:p>
    <w:p w14:paraId="0D48E234" w14:textId="77777777" w:rsidR="00FE3E87" w:rsidRDefault="00000000">
      <w:r>
        <w:t>Group IT Security &amp; Control The Group has developed an Information Security Strategy including cyber security as well as a comprehensive Information Assets Security Policy Framework which sets the principles for asset protection and data privacy.</w:t>
      </w:r>
    </w:p>
    <w:p w14:paraId="401A98E4" w14:textId="77777777" w:rsidR="00FE3E87" w:rsidRDefault="00000000">
      <w:r>
        <w:t>To fulfill the security policies requirements, the compliance obligations, and the certification standards requirements and to maintain secure services and to protect the Group and its customers, Group IT Security &amp; Control performs a series of scheduled and ad-hoc security assessments.</w:t>
      </w:r>
    </w:p>
    <w:p w14:paraId="57683EEA" w14:textId="77777777" w:rsidR="00FE3E87" w:rsidRDefault="00000000">
      <w:r>
        <w:t>The existing Data Privacy Policy defines the basic principles that must be observed regarding the processing of personal data, including the purpose for processing, lawful adherence, and the rights of data subjects and the exercise of these rights.</w:t>
      </w:r>
    </w:p>
    <w:p w14:paraId="554279EA" w14:textId="77777777" w:rsidR="00FE3E87" w:rsidRDefault="00000000">
      <w:r>
        <w:t>It follows that the Group applies the appropriate technical and organizational measures to ensure the protection and security of the personal data of its employees, customers, and associatespartners.</w:t>
      </w:r>
    </w:p>
    <w:p w14:paraId="724BD6DA" w14:textId="77777777" w:rsidR="00FE3E87" w:rsidRDefault="00000000">
      <w:r>
        <w:lastRenderedPageBreak/>
        <w:t>Social risk governance Responsibilities of the Corporate bodies in the oversight of ESG risks and the role of management are similar for all the ESG dimensions, including Social, and are in analogy to what described in the corresponding paragraph of the Environmental risk section in the present chapter.</w:t>
      </w:r>
    </w:p>
    <w:p w14:paraId="627E6905" w14:textId="77777777" w:rsidR="00FE3E87" w:rsidRDefault="00000000">
      <w:r>
        <w:t>Policies and procedures related to social risk Code of Conduct and Ethics The revised Code of Conduct and Ethics, aligned with Environmental, Social, and Governance criteria, underscores the commitment of creating sustainable development by incorporating human, social and environmental aspects in Piraeus activities.</w:t>
      </w:r>
    </w:p>
    <w:p w14:paraId="268FE060" w14:textId="77777777" w:rsidR="00FE3E87" w:rsidRDefault="00000000">
      <w:r>
        <w:t>A unified approach guides the Group's interactions with customers, employees, shareholders, and society, positioning the Group as a pillar of stability for the Greek economy.</w:t>
      </w:r>
    </w:p>
    <w:p w14:paraId="789F8A81" w14:textId="77777777" w:rsidR="00FE3E87" w:rsidRDefault="00000000">
      <w:r>
        <w:t>Through its guiding principles, it aims to develop relationships of trust with Customers, transparency in transactions, and responsibility, by promoting ethical practices and a responsible banking culture, which are integral to its operations and interactions with consumers and end-users.</w:t>
      </w:r>
    </w:p>
    <w:p w14:paraId="1B916995" w14:textId="77777777" w:rsidR="00FE3E87" w:rsidRDefault="00000000">
      <w:r>
        <w:t>Additionally, the whistleblowing policy establishes a secure system for reporting unethical and illegal behavior.</w:t>
      </w:r>
    </w:p>
    <w:p w14:paraId="348C3034" w14:textId="77777777" w:rsidR="00FE3E87" w:rsidRDefault="00000000">
      <w:r>
        <w:t>As a result, Piraeus's practices are generally in agreement with the fundamental principles of due diligence as set out by the UN Guiding Principles on Business and Human Rights and the OECD Guidelines for Multinational Enterprises.</w:t>
      </w:r>
    </w:p>
    <w:p w14:paraId="012201C7" w14:textId="77777777" w:rsidR="00FE3E87" w:rsidRDefault="00000000">
      <w:r>
        <w:t>Respect for human rights and the principle of equal opportunities govern all core HR-related policies, processes, and practices, ensuring diversity and inclusion in the workplace.</w:t>
      </w:r>
    </w:p>
    <w:p w14:paraId="10AADC54" w14:textId="77777777" w:rsidR="00FE3E87" w:rsidRDefault="00000000">
      <w:r>
        <w:t>All employees have access to the Human Rights Policy via the Groups internal communication channels.</w:t>
      </w:r>
    </w:p>
    <w:p w14:paraId="05D33C5E" w14:textId="77777777" w:rsidR="00FE3E87" w:rsidRDefault="00000000">
      <w:r>
        <w:t>Diversity and Inclusion In Piraeus, the representation of women over the total number of employees is over 58%, reflecting the results of the ongoing efforts to establish a diverse and inclusive workforce.</w:t>
      </w:r>
    </w:p>
    <w:p w14:paraId="13BF8375" w14:textId="77777777" w:rsidR="00FE3E87" w:rsidRDefault="00000000">
      <w:r>
        <w:t>To further strengthen the representation of women in senior management levels the Group undertakes initiatives for their professional development and to raise awareness across the Group.</w:t>
      </w:r>
    </w:p>
    <w:p w14:paraId="3522DC29" w14:textId="77777777" w:rsidR="00FE3E87" w:rsidRDefault="00000000">
      <w:r>
        <w:t>As a result, Piraeus established the Empowering Women in Leadership training initiatives in 2024 for women of high potential and managerial executives, separated in customized modular programs addressing the needs of each level, Women in senior management program, based on Coaching Physiology Neuroscience, Mindfulness, Journaling Guided Reflection and Self Assessments tests.</w:t>
      </w:r>
    </w:p>
    <w:p w14:paraId="1564D904" w14:textId="77777777" w:rsidR="00FE3E87" w:rsidRDefault="00000000">
      <w:r>
        <w:lastRenderedPageBreak/>
        <w:t>Policy &amp; Procedure against Workplace Discrimination, Violence &amp; Harassment The policy against Workplace Discrimination, Violence &amp; Harassment in the workplace, in combination with the existing policies and regulations of the Group the Human Rights Policy, Employee Regulation, Code of Conduct and Ethics, as well as the management of inappropriate behavior issues through the whistle-blowing process strengthens the range of tools and measures that the Group utilizes for the protection of its employees and the reinforcement of a work environment of respect and inclusion.</w:t>
      </w:r>
    </w:p>
    <w:p w14:paraId="58E62E8E" w14:textId="77777777" w:rsidR="00FE3E87" w:rsidRDefault="00000000">
      <w:r>
        <w:t>The policy clarifies the concepts of violence and harassment verbal, physical, and psychological and defines the behaviors related to forms of violence and harassment in the workplace.</w:t>
      </w:r>
    </w:p>
    <w:p w14:paraId="1194D358" w14:textId="77777777" w:rsidR="00FE3E87" w:rsidRDefault="00000000">
      <w:r>
        <w:t>Implementing an effective anti-retaliation framework for managing actual or suspected violation of the Code of Conduct and Ethics requires protecting the confidentiality or anonymity of employees who report concerns.</w:t>
      </w:r>
    </w:p>
    <w:p w14:paraId="157C995C" w14:textId="77777777" w:rsidR="00FE3E87" w:rsidRDefault="00000000">
      <w:r>
        <w:t>In this context, the Whistleblowing Committee is responsible for assessing and handling reports and for proposing any measures it deems necessary for the Group to undertake.</w:t>
      </w:r>
    </w:p>
    <w:p w14:paraId="68140F59" w14:textId="77777777" w:rsidR="00FE3E87" w:rsidRDefault="00000000">
      <w:r>
        <w:t>The Remuneration Policy aims, inter alia, to, support a performance-driven culture, rewarding excellence and delivery of ESG goals, and embrace equal pay policy for male and female employees for equal work or work of equal value, supporting a culture of fairness.</w:t>
      </w:r>
    </w:p>
    <w:p w14:paraId="649DBA9F" w14:textId="77777777" w:rsidR="00FE3E87" w:rsidRDefault="00000000">
      <w:r>
        <w:t>The principles and provisions of the Remuneration Policy apply to all employees, varying according to their level or responsibility, including those whose professional activities have a material impact on the Group's risk profile.</w:t>
      </w:r>
    </w:p>
    <w:p w14:paraId="120D582E" w14:textId="77777777" w:rsidR="00FE3E87" w:rsidRDefault="00000000">
      <w:r>
        <w:t>Counterparties assessment through the ESMS process The counterparties assessment through the ESMS process and questionnaire is fully embedded in the Group Credit Policy, with approval and oversight by the Group Executive Committee.</w:t>
      </w:r>
    </w:p>
    <w:p w14:paraId="24FC9E33" w14:textId="77777777" w:rsidR="00FE3E87" w:rsidRDefault="00000000">
      <w:r>
        <w:t>The assessment focuses on, inter alia, social aspects, such as, money laundering, violation of human and labor rights, bribery, etc.</w:t>
      </w:r>
    </w:p>
    <w:p w14:paraId="0A4DDAEE" w14:textId="77777777" w:rsidR="00FE3E87" w:rsidRDefault="00000000">
      <w:r>
        <w:t>As a next step, upon the completion of customers assessment, the Group will require the engagement of its customers to mitigate and reduce socially harmful activities with targeted action plans.</w:t>
      </w:r>
    </w:p>
    <w:p w14:paraId="67D48C1D" w14:textId="77777777" w:rsidR="00FE3E87" w:rsidRDefault="00000000">
      <w:r>
        <w:t>The policys provisions address climate related impacts through dedicated due diligence procedures, and act as a tool to prevent, mitigate and manage risks that may arise from negative exposure through Piraeus existing and new borrowers.</w:t>
      </w:r>
    </w:p>
    <w:p w14:paraId="60102274" w14:textId="77777777" w:rsidR="00FE3E87" w:rsidRDefault="00000000">
      <w:r>
        <w:t>The overall accountability for the implementation of the Credit Policy within which the ESMS process is included falls under the Group Chief Credit Officer.</w:t>
      </w:r>
    </w:p>
    <w:p w14:paraId="6606A7E3" w14:textId="77777777" w:rsidR="00FE3E87" w:rsidRDefault="00000000">
      <w:r>
        <w:t>Additional information specifically related to social risk management is provided in the sub-sections below.</w:t>
      </w:r>
    </w:p>
    <w:p w14:paraId="286390F3" w14:textId="77777777" w:rsidR="00FE3E87" w:rsidRDefault="00000000">
      <w:r>
        <w:lastRenderedPageBreak/>
        <w:t>ESMS incorporation in the Group Credit Policy The main objective of the ESMS is to identify and assess, inter alia, the social impact of the lending activities to be used in the Groups new credit approval process.</w:t>
      </w:r>
    </w:p>
    <w:p w14:paraId="0EBC79D2" w14:textId="77777777" w:rsidR="00FE3E87" w:rsidRDefault="00000000">
      <w:r>
        <w:t>With the implementation of the ESMS, social risks are integrated into the credit assessment, while the Group has also incorporated into its Credit Policy a list of business activities that are excluded from financing.</w:t>
      </w:r>
    </w:p>
    <w:p w14:paraId="6F9A21F6" w14:textId="77777777" w:rsidR="00FE3E87" w:rsidRDefault="00000000">
      <w:r>
        <w:t>Governance risk The Groups sustainability governance has been significantly strengthened in recent years at both steering and execution levels, underpinning the decision to further integrate ESG criteria into the Group's overall business strategy.</w:t>
      </w:r>
    </w:p>
    <w:p w14:paraId="0715CECF" w14:textId="77777777" w:rsidR="00FE3E87" w:rsidRDefault="00000000">
      <w:r>
        <w:t>The management of risks associated with governance is crucial in two respects, firstly, within the internal governance framework of the Piraeus Group, and secondly, in the evaluation conducted by the Group regarding the governance practices of Piraeus counterparties.</w:t>
      </w:r>
    </w:p>
    <w:p w14:paraId="6AAB9903" w14:textId="77777777" w:rsidR="00FE3E87" w:rsidRDefault="00000000">
      <w:r>
        <w:t>Piraeus maximizes the value provided to stakeholders by promoting Accountability, Meritocracy and Transparency within its own operations and all its activities across its value chain.</w:t>
      </w:r>
    </w:p>
    <w:p w14:paraId="541A02AC" w14:textId="77777777" w:rsidR="00FE3E87" w:rsidRDefault="00000000">
      <w:r>
        <w:t>It applies robust governance systems and a series of policies and procedures that ensure the creation of value for its clients, people, shareholders and society promoting ethical behaviors and respect to all stakeholders.</w:t>
      </w:r>
    </w:p>
    <w:p w14:paraId="04E5609F" w14:textId="77777777" w:rsidR="00FE3E87" w:rsidRDefault="00000000">
      <w:r>
        <w:t>Piraeus has in place a sound governance system which ensures the adequate supervision of an organizations operational and strategic decisions taking into account inter alia the ethical principles that the Group commits to ensure across its activities.</w:t>
      </w:r>
    </w:p>
    <w:p w14:paraId="6EB868F5" w14:textId="77777777" w:rsidR="00FE3E87" w:rsidRDefault="00000000">
      <w:r>
        <w:t>In this context, the Board of Directors is the body overall accountable for the supervision of the organization supported by Committees dedicated to the matters related to business conduct.</w:t>
      </w:r>
    </w:p>
    <w:p w14:paraId="339F7DDC" w14:textId="77777777" w:rsidR="00FE3E87" w:rsidRDefault="00000000">
      <w:r>
        <w:t>It supervises the Group's compliance with information and communication procedures, approves important corporate governance policies and other important policies of the Group and is responsible for the establishment of the Code of Conduct &amp; Ethics, which governs all the Group's activities.</w:t>
      </w:r>
    </w:p>
    <w:p w14:paraId="08AC2855" w14:textId="77777777" w:rsidR="00FE3E87" w:rsidRDefault="00000000">
      <w:r>
        <w:t>The Audit Committee ensures that the Group has established appropriate procedures and mechanisms for the management of named and anonymous reports and complaints whistle blowing and that those procedures include 112 PILLAR III 2024 measures to protect the employees who make the reports on significant irregularities, omissions, or criminal offences that they become aware of.</w:t>
      </w:r>
    </w:p>
    <w:p w14:paraId="4F93FC53" w14:textId="77777777" w:rsidR="00FE3E87" w:rsidRDefault="00000000">
      <w:r>
        <w:t xml:space="preserve">In the context of its responsibilities the Audit Committee pre-approves and monitors the implementation of activities such as the Compliance Annual Action Plan, reviews the Annual Report of the Money Laundering Responsible Officer and in the case of modifications of the </w:t>
      </w:r>
      <w:r>
        <w:lastRenderedPageBreak/>
        <w:t>Group Compliance Policy and of the Code of Conduct and Ethics reviews the relevant updates.</w:t>
      </w:r>
    </w:p>
    <w:p w14:paraId="7B43E5DF" w14:textId="77777777" w:rsidR="00FE3E87" w:rsidRDefault="00000000">
      <w:r>
        <w:t>Policies and Risk Management Piraeus establishes, develops, promotes and evaluates its corporate culture by implementing policies and procedures ensuring ethical behavior across its own operations and to the best extent possible across its value chain relationships.</w:t>
      </w:r>
    </w:p>
    <w:p w14:paraId="76D6A786" w14:textId="77777777" w:rsidR="00FE3E87" w:rsidRDefault="00000000">
      <w:r>
        <w:t>Code of Conduct and Ethics The Groups objective is to ensure that business ethics define all its activities, and that all activities are fully aligned with its values and principles.</w:t>
      </w:r>
    </w:p>
    <w:p w14:paraId="23E5C820" w14:textId="77777777" w:rsidR="00FE3E87" w:rsidRDefault="00000000">
      <w:r>
        <w:t>The Board of Directors is responsible for the approval of the Code of Conduct &amp; Ethics.</w:t>
      </w:r>
    </w:p>
    <w:p w14:paraId="413B449F" w14:textId="77777777" w:rsidR="00FE3E87" w:rsidRDefault="00000000">
      <w:r>
        <w:t>The Code of Conduct and Ethics is in line with the current institutional and regulatory framework, environmental, social, and governance principles and Groups updated policies and regulations.</w:t>
      </w:r>
    </w:p>
    <w:p w14:paraId="19C46F2A" w14:textId="77777777" w:rsidR="00FE3E87" w:rsidRDefault="00000000">
      <w:r>
        <w:t>The management of disclosures for non-compliance with the Code is performed by the groups designated bodies according to the established procedures Whistleblowing Committee &amp; Committee against Violence and Harassment and may lead to disciplinary actions.</w:t>
      </w:r>
    </w:p>
    <w:p w14:paraId="1FE96B36" w14:textId="77777777" w:rsidR="00FE3E87" w:rsidRDefault="00000000">
      <w:r>
        <w:t>Whistleblowing Policy As already described, the Group has in place a Whistleblowing policy, as well as the relevant mechanisms and procedures for identifying, reporting, investigating and managing unlawful behavior or behavior in contradiction of its code of conduct or similar internal rules.</w:t>
      </w:r>
    </w:p>
    <w:p w14:paraId="58C2BEFF" w14:textId="77777777" w:rsidR="00FE3E87" w:rsidRDefault="00000000">
      <w:r>
        <w:t>Under the framework of the Policy, the Group employees have the obligation to disclose in good faith actual or potential serious irregularities, omissions or punishable acts, which come to their attention, concerning employees or executives of the Group.</w:t>
      </w:r>
    </w:p>
    <w:p w14:paraId="4226284F" w14:textId="77777777" w:rsidR="00FE3E87" w:rsidRDefault="00000000">
      <w:r>
        <w:t>The Group is committed to protecting any person that makes a disclosure in good faith, from any retaliatory actions against their current position and their future professional development.</w:t>
      </w:r>
    </w:p>
    <w:p w14:paraId="4CE53936" w14:textId="77777777" w:rsidR="00FE3E87" w:rsidRDefault="00000000">
      <w:r>
        <w:t>Recognizing that there are employees who are reluctant to report or disclose suspected wrongdoing Whistleblowing in fear of possible retaliation, the Group has developed a framework, compliant with the provisions of Law 49902022 on the Protection of persons reporting Union 113 PILLAR III 2024 law breaches, which ensures that the Group is a safe environment that protects and encourages employees to make disclosures necessary to safeguard its employment framework.</w:t>
      </w:r>
    </w:p>
    <w:p w14:paraId="10D0B6A5" w14:textId="77777777" w:rsidR="00FE3E87" w:rsidRDefault="00000000">
      <w:r>
        <w:t>The dedicated Whistleblowing Committee is responsible for the assessment of named or anonymous confidential reports made by employees or third parties regarding the Group.</w:t>
      </w:r>
    </w:p>
    <w:p w14:paraId="31FB8C3E" w14:textId="77777777" w:rsidR="00FE3E87" w:rsidRDefault="00000000">
      <w:r>
        <w:t xml:space="preserve">It is responsible for handling confidential reports made by employees or third parties and operates under the authorization of the Audit Committee, that ensures that the Group has </w:t>
      </w:r>
      <w:r>
        <w:lastRenderedPageBreak/>
        <w:t>established appropriate procedures and mechanisms for the management of named and anonymous reports and complaints.</w:t>
      </w:r>
    </w:p>
    <w:p w14:paraId="1A3FF81F" w14:textId="77777777" w:rsidR="00FE3E87" w:rsidRDefault="00000000">
      <w:r>
        <w:t>The structured process ensures that all claims are managed with the utmost confidentiality and seriousness, reinforcing the Group's commitment to ethical conduct and compliance with legal standards.</w:t>
      </w:r>
    </w:p>
    <w:p w14:paraId="231E8FAF" w14:textId="77777777" w:rsidR="00FE3E87" w:rsidRDefault="00000000">
      <w:r>
        <w:t>The Compliance monitors any changes in the relevant regulatory and legislative framework, updates in a timely manner all relevant documents, which ensures to maintain in a prominent and easily accessible place for all staff on the internal network Relevant e-learning sessions are assigned to all employees, through the Piraeus.</w:t>
      </w:r>
    </w:p>
    <w:p w14:paraId="667AFEEB" w14:textId="77777777" w:rsidR="00FE3E87" w:rsidRDefault="00000000">
      <w:r>
        <w:t>The Whistleblowing Policy and Framework are also referenced within the Code of Conduct and Ethics and the Policy for the Prevention and Compating of Incidents of Discrimination, Violence and Harassment in the Workplace.</w:t>
      </w:r>
    </w:p>
    <w:p w14:paraId="17926F1D" w14:textId="77777777" w:rsidR="00FE3E87" w:rsidRDefault="00000000">
      <w:r>
        <w:t>In situations where conflicts of interest are likely to be detrimental to the interests of clients or the Group itself, the Group's main and principal objective is to identify and manage these situations in accordance with the provisions of the current regulatory framework.</w:t>
      </w:r>
    </w:p>
    <w:p w14:paraId="67BD7B08" w14:textId="77777777" w:rsidR="00FE3E87" w:rsidRDefault="00000000">
      <w:r>
        <w:t>Through the relevant Policy, it provides guidance to the members of the Board of Directors, Managers and Employees on how conflicts of interest are defined, how they can be identified and what procedures should be followed when they take place to protect the clients and the Groups interests.</w:t>
      </w:r>
    </w:p>
    <w:p w14:paraId="6B25D764" w14:textId="77777777" w:rsidR="00FE3E87" w:rsidRDefault="00000000">
      <w:r>
        <w:t>The Compliance monitors any changes in the relevant regulatory and legislative framework and updates in a timely manner all relevant documentation, which ensures maintaining in a prominent and easily accessible way the policies for all staff.</w:t>
      </w:r>
    </w:p>
    <w:p w14:paraId="25C51057" w14:textId="77777777" w:rsidR="00FE3E87" w:rsidRDefault="00000000">
      <w:r>
        <w:t>All updates of the Conflict-of-interest Policy are approved by the Board of Directors.</w:t>
      </w:r>
    </w:p>
    <w:p w14:paraId="14109A92" w14:textId="77777777" w:rsidR="00FE3E87" w:rsidRDefault="00000000">
      <w:r>
        <w:t>The Group makes clear that such practices are completely unacceptable with regard to business integrity and damage its reputation and interests.</w:t>
      </w:r>
    </w:p>
    <w:p w14:paraId="5C069905" w14:textId="77777777" w:rsidR="00FE3E87" w:rsidRDefault="00000000">
      <w:r>
        <w:t>It further declares that it takes the necessary measures to prevent bribery, bribery-taking and corruption between its staff, its executives and any third party, but also applies accountability to all parties involved, should they be identified.</w:t>
      </w:r>
    </w:p>
    <w:p w14:paraId="042947AF" w14:textId="77777777" w:rsidR="00FE3E87" w:rsidRDefault="00000000">
      <w:r>
        <w:t>The Compliance monitors any changes in the relevant regulatory and legislative framework and updates in a timely manner the relevant Policy.</w:t>
      </w:r>
    </w:p>
    <w:p w14:paraId="3EAFC982" w14:textId="77777777" w:rsidR="00FE3E87" w:rsidRDefault="00000000">
      <w:r>
        <w:t>All updates of the Anti-bribery and Anti-corruption Policy are approved by the Board of Directors.</w:t>
      </w:r>
    </w:p>
    <w:p w14:paraId="78D25E42" w14:textId="77777777" w:rsidR="00FE3E87" w:rsidRDefault="00000000">
      <w:r>
        <w:t>Evaluation of the governance practices of Piraeus counterparties Piraeus Group analyzes the corporate governance performance of its customers and takes their management and governance practices into account in the client onboarding process.</w:t>
      </w:r>
    </w:p>
    <w:p w14:paraId="3977089B" w14:textId="77777777" w:rsidR="00FE3E87" w:rsidRDefault="00000000">
      <w:r>
        <w:lastRenderedPageBreak/>
        <w:t>Piraeus Group takes into account the corporate governance performance of its customers, analyzing their compliance in terms of management practices.</w:t>
      </w:r>
    </w:p>
    <w:p w14:paraId="2691FB1A" w14:textId="77777777" w:rsidR="00FE3E87" w:rsidRDefault="00000000">
      <w:r>
        <w:t>Amongst the key principles of the Groups Credit Policy, the following are related to corporate governance performance, Know-Your-Customer The Group initiates relationships and provides credit to customers through a robust Know Your Customer process.</w:t>
      </w:r>
    </w:p>
    <w:p w14:paraId="495AD149" w14:textId="77777777" w:rsidR="00FE3E87" w:rsidRDefault="00000000">
      <w:r>
        <w:t>Additionally, the companys and its shareholders background within ESMS framework of social and 117 PILLAR III 2024 environmental performance are considered.</w:t>
      </w:r>
    </w:p>
    <w:p w14:paraId="3C1BCA3E" w14:textId="77777777" w:rsidR="00FE3E87" w:rsidRDefault="00000000">
      <w:r>
        <w:t>Finally, the evaluation considers the environmental and social behavior of the company and entities, such as fines, litigation, and publications, in order to ensure that the company operates in a responsible and sustainable manner.</w:t>
      </w:r>
    </w:p>
    <w:p w14:paraId="112A7582" w14:textId="77777777" w:rsidR="00FE3E87" w:rsidRDefault="00000000">
      <w:r>
        <w:t>Next steps in governance risk management Piraeus Group continues to develop and refine an ESG data and technology road map that balances tactical, short-term solutions with a strategic, long-term vision.</w:t>
      </w:r>
    </w:p>
    <w:p w14:paraId="24EAAC8F" w14:textId="77777777" w:rsidR="00FE3E87" w:rsidRDefault="00000000">
      <w:r>
        <w:t>The scope of this common initiative is to capture, inter alia, ESG data governance information such as, policies related to the code of conduct, business ethics, and anti-bribery approaches accountability, reporting, and transparency corporate governance issues remuneration practices business ethics and anti-corruption ESG governance matters, focusing on the involvement of the management body in the oversight of environmental and social matters Furthermore, the incorporation of the Corporate Sustainability Reporting Directive will introduce supplementary dimensions to consider in the Groups clients governance risk assessment practices, as the Groups counterparties will be required to publicly disclose part of their internal policies.</w:t>
      </w:r>
    </w:p>
    <w:p w14:paraId="59EAA37E" w14:textId="77777777" w:rsidR="00FE3E87" w:rsidRDefault="00000000">
      <w:r>
        <w:t>The methodology comprises two main steps, first the determination of the scope 1, 2, and 3 emissions of the counterparties and then their attribution to the Groups financed activities.</w:t>
      </w:r>
    </w:p>
    <w:p w14:paraId="198F05CC" w14:textId="77777777" w:rsidR="00FE3E87" w:rsidRDefault="00000000">
      <w:r>
        <w:t>Due to data availability, different methodological approaches were applied to estimate the scope 1, 2, and 3 emissions of the Groups counterparties, namely, Method 1, Published emissions were used, where verified or unverified emissions were collected from the counterparty directly e.</w:t>
      </w:r>
    </w:p>
    <w:p w14:paraId="1EDE219A" w14:textId="77777777" w:rsidR="00FE3E87" w:rsidRDefault="00000000">
      <w:r>
        <w:t>Through the companys sustainability report or indirectly via verified third-party data providers e.</w:t>
      </w:r>
    </w:p>
    <w:p w14:paraId="4ABBD727" w14:textId="77777777" w:rsidR="00FE3E87" w:rsidRDefault="00000000">
      <w:r>
        <w:t>Carbon Disclosure Project , EU-ETS Registry, Thetis database.</w:t>
      </w:r>
    </w:p>
    <w:p w14:paraId="2339D494" w14:textId="77777777" w:rsidR="00FE3E87" w:rsidRDefault="00000000">
      <w:r>
        <w:t>The Groups existing data and the acquired data from the external provider, which included properties that were on sale along with their energy performance features, were used for the development of this model based on key property characteristics e.</w:t>
      </w:r>
    </w:p>
    <w:p w14:paraId="7C9CEA55" w14:textId="77777777" w:rsidR="00FE3E87" w:rsidRDefault="00000000">
      <w:r>
        <w:t>Year of construction, surface, property usage, floor level, etc.</w:t>
      </w:r>
    </w:p>
    <w:p w14:paraId="2AD6C467" w14:textId="77777777" w:rsidR="00FE3E87" w:rsidRDefault="00000000">
      <w:r>
        <w:lastRenderedPageBreak/>
        <w:t>With regards to the Groups efforts towards the continuous improvement of its climate risk management practices, the Group has adopted a course of actions in order to increase the coverage of its immovable property collaterals with actual energy consumption and EPC label data, including, 1.</w:t>
      </w:r>
    </w:p>
    <w:p w14:paraId="0C39711F" w14:textId="77777777" w:rsidR="00FE3E87" w:rsidRDefault="00000000">
      <w:r>
        <w:t>Specifically, for each of these sectors, the GHG emissions intensity of the Groups portfolio was estimated for the reference year 2024 and then compared to the performance of the corresponding global sector in 2030, as derived by the IEAs Net Zero Roadmap, A Global Pathway to Keep the 1.</w:t>
      </w:r>
    </w:p>
    <w:p w14:paraId="12B5739A" w14:textId="77777777" w:rsidR="00FE3E87" w:rsidRDefault="00000000">
      <w:r>
        <w:t>For more information about Piraeus targets, please refer to SBTi emissions reduction targets societyenvironmentenvironmental-policy-principlessbti.</w:t>
      </w:r>
    </w:p>
    <w:p w14:paraId="56209D68" w14:textId="77777777" w:rsidR="00FE3E87" w:rsidRDefault="00000000">
      <w:r>
        <w:t>Since the Groups financed activities and collaterals are located mainly in Greece, the analysis for the assessment of the potential climate change physical risk is focused on the specific geographic area of Greece.</w:t>
      </w:r>
    </w:p>
    <w:p w14:paraId="3C437D0B" w14:textId="77777777" w:rsidR="00FE3E87" w:rsidRDefault="00000000">
      <w:r>
        <w:t>The first column of this template reports the gross carrying amount for each economic sector, with the subsequent columns examining the exposures sensitive to impact from climate change physical events in terms of residual maturity by maturity bucket, sensitivity to chronic and acute climate change events, stage 2 exposures, non-performing exposures, etc.</w:t>
      </w:r>
    </w:p>
    <w:p w14:paraId="0420D5CF" w14:textId="77777777" w:rsidR="00FE3E87" w:rsidRDefault="00000000">
      <w:r>
        <w:t>For the assessment of the impact under future climatic conditions, climate data derived from nine climate simulations, developed under the EURO-CORDEX program with a horizontal spatial resolution of approximately 11x11 km, were used.</w:t>
      </w:r>
    </w:p>
    <w:p w14:paraId="7AB70C42" w14:textId="77777777" w:rsidR="00FE3E87" w:rsidRDefault="00000000">
      <w:r>
        <w:t>The above models were applied to both historic and future climate, and the difference represents the net impact of climate change on the economic activity under consideration.</w:t>
      </w:r>
    </w:p>
    <w:p w14:paraId="5B5E4AAB" w14:textId="77777777" w:rsidR="00FE3E87" w:rsidRDefault="00000000">
      <w:r>
        <w:t>The analysis of the effects of the acute climate change events on the exposures in the banking book was done by examining to what extent these effects influence both the economic activities financed as well as the immovable properties used to collateralize these financings.</w:t>
      </w:r>
    </w:p>
    <w:p w14:paraId="4B63645A" w14:textId="77777777" w:rsidR="00FE3E87" w:rsidRDefault="00000000">
      <w:r>
        <w:t>The developed and implemented methodological approach includes the following steps, Step 1, Assessing the hazard related to climate acute events in different geographical regions in Greece The assessment was done for each of the six aforementioned extreme phenomena at a postal code level of geographical analysis.</w:t>
      </w:r>
    </w:p>
    <w:p w14:paraId="3F0DAF8E" w14:textId="77777777" w:rsidR="00FE3E87" w:rsidRDefault="00000000">
      <w:r>
        <w:t>A four-level rating scale was used to map the associated risks from negligible up to high, based on expert judgement as well as the results of the relevant assessments presented in the framework of the Regional Plans for Adaptation to Climate Change by the Greek Regional Authorities.</w:t>
      </w:r>
    </w:p>
    <w:p w14:paraId="0B14B2C8" w14:textId="77777777" w:rsidR="00FE3E87" w:rsidRDefault="00000000">
      <w:r>
        <w:t>Compliance Assurance, The process was implemented in full compliance with the data protection policies and guidelines for the use of Google APIs.</w:t>
      </w:r>
    </w:p>
    <w:p w14:paraId="341B4E1E" w14:textId="77777777" w:rsidR="00FE3E87" w:rsidRDefault="00000000">
      <w:r>
        <w:lastRenderedPageBreak/>
        <w:t>Sequentially in November 2023, the Delegated Act for economic activities was published in the Official Journal contributing to the four environmental objectives for, sustainable use and protection of water, transition to a circular economy, pollution prevention and control, and protection and restoration of biodiversity and ecosystems.</w:t>
      </w:r>
    </w:p>
    <w:p w14:paraId="169095DD" w14:textId="77777777" w:rsidR="00FE3E87" w:rsidRDefault="00000000">
      <w:r>
        <w:t>Further amendments were incorporated to add economic activities to the list of those substantially contributing to the objectives of climate change mitigation and adaptation, and to clarify the reporting obligations for the additional four environmental objectives.</w:t>
      </w:r>
    </w:p>
    <w:p w14:paraId="43D20545" w14:textId="77777777" w:rsidR="00FE3E87" w:rsidRDefault="00000000">
      <w:r>
        <w:t>The EU Taxonomy is a cornerstone of the EUs sustainable finance framework and an important market transparency tool.</w:t>
      </w:r>
    </w:p>
    <w:p w14:paraId="6B20F491" w14:textId="77777777" w:rsidR="00FE3E87" w:rsidRDefault="00000000">
      <w:r>
        <w:t>The Taxonomy is a classification system that defines criteria for economic activities that are aligned with a net zero trajectory by 2050 and broader environmental goals over and above climate change.</w:t>
      </w:r>
    </w:p>
    <w:p w14:paraId="6A5349F9" w14:textId="77777777" w:rsidR="00FE3E87" w:rsidRDefault="00000000">
      <w:r>
        <w:t>An economic activity is considered as Taxonomy-aligned when it satisfies all three conditions below, i makes a substantial contribution to at least one of the six environmental objectives.</w:t>
      </w:r>
    </w:p>
    <w:p w14:paraId="1849B37F" w14:textId="77777777" w:rsidR="00FE3E87" w:rsidRDefault="00000000">
      <w:r>
        <w:t>For the financial year 2024 in the context of Pillar III disclosures, Piraeus reports information on the GAR KPIs for the environmental objectives of climate change mitigation and climate change adaptation.</w:t>
      </w:r>
    </w:p>
    <w:p w14:paraId="5E77C10A" w14:textId="77777777" w:rsidR="00FE3E87" w:rsidRDefault="00000000">
      <w:r>
        <w:t>Information about the Taxonomy eligibility concerning the other environmental objectives, is included in the consolidated financial statements of the Group as of 31122024.</w:t>
      </w:r>
    </w:p>
    <w:p w14:paraId="3335756D" w14:textId="77777777" w:rsidR="00FE3E87" w:rsidRDefault="00000000">
      <w:r>
        <w:t>In line with the applicable regulatory framework, the Group followed an adequately conservative approach, refraining from recognizing Taxonomy alignment in cases where all regulatory requirements including technical screening criteria and DNSH were not fully met.</w:t>
      </w:r>
    </w:p>
    <w:p w14:paraId="24E69371" w14:textId="77777777" w:rsidR="00FE3E87" w:rsidRDefault="00000000">
      <w:r>
        <w:t>The table includes assets bonds and loans that the Group has identified as environmentally sustainable financing, corresponding to the operations that the Group has considered to meet internal eligibility requirements for climate change mitigation and adaptation activities.</w:t>
      </w:r>
    </w:p>
    <w:p w14:paraId="3CB31C69" w14:textId="77777777" w:rsidR="00FE3E87" w:rsidRDefault="00000000">
      <w:r>
        <w:t>The following asset categories are presented, Bonds categorized as Green in accordance with the International Capital Market Association Principles, Sustainability-linked Bonds with sustainability performance-linked targets related to GHG emissions reduction, and Loans to both businesses and households classified as Green.</w:t>
      </w:r>
    </w:p>
    <w:p w14:paraId="3E55B120" w14:textId="77777777" w:rsidR="00FE3E87" w:rsidRDefault="00000000">
      <w:r>
        <w:t xml:space="preserve">These loans finance activities as described below, </w:t>
      </w:r>
      <w:r>
        <w:t> For Businesses, Renewable Energy Sources, Green buildings, and Energy Efficiency Specific eligibility criteria also described in the Groups Green Bond Framework.</w:t>
      </w:r>
    </w:p>
    <w:p w14:paraId="7878EF50" w14:textId="77777777" w:rsidR="00FE3E87" w:rsidRDefault="00000000">
      <w:r>
        <w:lastRenderedPageBreak/>
        <w:t>Piraeus Group supports counterparties by facilitating the financing towards activities included in the internal standards mentioned above, which mainly refer to climate change mitigation objectives.</w:t>
      </w:r>
    </w:p>
    <w:p w14:paraId="5281D655" w14:textId="77777777" w:rsidR="00FE3E87" w:rsidRDefault="00000000">
      <w:r>
        <w:t>The adherence to the limits structure is monitored by the Groups Market Risk Management unit as well as the responsible units at a subsidiary level.</w:t>
      </w:r>
    </w:p>
    <w:p w14:paraId="5A0867E6" w14:textId="77777777" w:rsidR="00FE3E87" w:rsidRDefault="00000000">
      <w:r>
        <w:t>Such metrics as Var, sensitivities and name limits are part of the Risk Appetite Framework either as Level 2 or Level 3 and measured on a daily basis and communicated to the appropriate stakeholders.</w:t>
      </w:r>
    </w:p>
    <w:p w14:paraId="0F86C769" w14:textId="77777777" w:rsidR="00FE3E87" w:rsidRDefault="00000000">
      <w:r>
        <w:t>In addition to the above, the Group has identified all balance sheet items subject to embedded optionalities and has applied both contractual and implicit interest rate caps and floors, in addition to the parametric floor prescribed by the regulatory framework.</w:t>
      </w:r>
    </w:p>
    <w:p w14:paraId="409CCD5A" w14:textId="77777777" w:rsidR="00FE3E87" w:rsidRDefault="00000000">
      <w:r>
        <w:t>These statements are intended to steer the current and planned risk positioning of the Group, and their primary objective is to set the level of IRRBB that the Group is willing to undertake in order to achieve its strategic goals, while ensuring compliance to the relevant EBA Guidelines EBAGL202214.</w:t>
      </w:r>
    </w:p>
    <w:p w14:paraId="5A7ED71A" w14:textId="77777777" w:rsidR="00FE3E87" w:rsidRDefault="00000000">
      <w:r>
        <w:t>The appropriate arrangements around governance, roles, and responsibilities support clear communication and execution.</w:t>
      </w:r>
    </w:p>
    <w:p w14:paraId="4F0EDF61" w14:textId="77777777" w:rsidR="00FE3E87" w:rsidRDefault="00000000">
      <w:r>
        <w:t>IRRBB related metrics are set both in short and medium term, taking into account the planning and strategic objectives of the Group, while complying with the relevant regulatory guidelines.</w:t>
      </w:r>
    </w:p>
    <w:p w14:paraId="089C6B67" w14:textId="77777777" w:rsidR="00FE3E87" w:rsidRDefault="00000000">
      <w:r>
        <w:t>The RAF is regularly reviewed for its appropriateness and is improved upon on an on-going basis and in line with the aspiration for enhancing the Groups Risk Management Framework.</w:t>
      </w:r>
    </w:p>
    <w:p w14:paraId="73D0F5C1" w14:textId="77777777" w:rsidR="00FE3E87" w:rsidRDefault="00000000">
      <w:r>
        <w:t>The RAF is updated at least annually, as well as on an ad-hoc basis, in order to ensure alignment and responsiveness to changes in the Groups risk profile and any external factors, as well as alignment with the strategic objectives and regulatory obligations.</w:t>
      </w:r>
    </w:p>
    <w:p w14:paraId="3270D4D1" w14:textId="77777777" w:rsidR="00FE3E87" w:rsidRDefault="00000000">
      <w:r>
        <w:t>In the context of the new product development approval process e.</w:t>
      </w:r>
    </w:p>
    <w:p w14:paraId="2DA11863" w14:textId="77777777" w:rsidR="00FE3E87" w:rsidRDefault="00000000">
      <w:r>
        <w:t>Fixed rate loans, interest rate risk is evaluated in order to ensure that such risk is adequately measured and reported.</w:t>
      </w:r>
    </w:p>
    <w:p w14:paraId="18316C3A" w14:textId="77777777" w:rsidR="00FE3E87" w:rsidRDefault="00000000">
      <w:r>
        <w:t>Should any limit breach occur, the ALCO is promptly notified and consequently recommends remedial actions to the Risk Committee, which it then monitors in order to ensure a timely resolution.</w:t>
      </w:r>
    </w:p>
    <w:p w14:paraId="3B11B3E1" w14:textId="40FCA194" w:rsidR="00FE3E87" w:rsidRDefault="00000000">
      <w:r>
        <w:t>The six scenarios prescribed by the regulatory framework are as follows</w:t>
      </w:r>
      <w:r w:rsidR="0099364C">
        <w:t>.</w:t>
      </w:r>
    </w:p>
    <w:p w14:paraId="312E8B2B" w14:textId="51DA0315" w:rsidR="00FE3E87" w:rsidRDefault="00000000">
      <w:r>
        <w:lastRenderedPageBreak/>
        <w:t xml:space="preserve">Modelling and Parametric Assumptions </w:t>
      </w:r>
      <w:r w:rsidR="0099364C">
        <w:t>t</w:t>
      </w:r>
      <w:r>
        <w:t>he Group assesses IRRBB taking into consideration both the contractual and the behavioral characteristics of its interest rate sensitive balance sheet items, in accordance with regulatory requirements and best market practices.</w:t>
      </w:r>
    </w:p>
    <w:p w14:paraId="619DAE96" w14:textId="43CE4CDB" w:rsidR="00FE3E87" w:rsidRDefault="00000000">
      <w:r>
        <w:t xml:space="preserve">Indicative initiatives include </w:t>
      </w:r>
      <w:proofErr w:type="gramStart"/>
      <w:r>
        <w:t>The</w:t>
      </w:r>
      <w:proofErr w:type="gramEnd"/>
      <w:r>
        <w:t xml:space="preserve"> initiatives for the alignment of the 3 LoD which indicatively include the optimization of cooperation of the 2nd LoD functions, or the development of a reliance model.</w:t>
      </w:r>
    </w:p>
    <w:p w14:paraId="793F92A5" w14:textId="77777777" w:rsidR="00FE3E87" w:rsidRDefault="00000000">
      <w:r>
        <w:t xml:space="preserve">The Groups objective, through the implementation of the RCSA methodology across all its business activities and supporting functions, is to, </w:t>
      </w:r>
      <w:r>
        <w:t xml:space="preserve"> enhance the awareness of personnel, </w:t>
      </w:r>
      <w:r>
        <w:t xml:space="preserve"> assess the level of operational risk exposure for all Units and monitor its evolution, </w:t>
      </w:r>
      <w:r>
        <w:t xml:space="preserve"> assess the adequacy and effectiveness of internal controls, and </w:t>
      </w:r>
      <w:r>
        <w:t> support the quantification of required internal capital Pillar I and Pillar II for operational risk.</w:t>
      </w:r>
    </w:p>
    <w:p w14:paraId="16E9C233" w14:textId="4BBC2EB9" w:rsidR="00FE3E87" w:rsidRDefault="00000000">
      <w:r>
        <w:t xml:space="preserve">Key components and principles of the RCSA process, involve the </w:t>
      </w:r>
      <w:r w:rsidR="009F1EB2">
        <w:t>following The</w:t>
      </w:r>
      <w:r>
        <w:t xml:space="preserve"> RCSA exercise is performed on an on-going basis and is updated accordingly when findings or Internal Control Deficiencies ICDs are detected through internal or external auditsassessmentsinspections, escalated through a fast-track reporting process for immediate action, and</w:t>
      </w:r>
      <w:r w:rsidR="009F1EB2">
        <w:t xml:space="preserve"> </w:t>
      </w:r>
      <w:r>
        <w:t>or identified through the analysis of actual incidents and losses, customer complaints, and procedure reviews.</w:t>
      </w:r>
    </w:p>
    <w:p w14:paraId="20CBD48E" w14:textId="1BC742BB" w:rsidR="00FE3E87" w:rsidRDefault="00000000">
      <w:r>
        <w:t>Training activities involve all Group employees and include</w:t>
      </w:r>
      <w:r w:rsidR="009F1EB2">
        <w:t xml:space="preserve"> </w:t>
      </w:r>
      <w:r>
        <w:t>Training programs related to the implementation of the ORMF.</w:t>
      </w:r>
    </w:p>
    <w:p w14:paraId="46A5FDA3" w14:textId="0066C671" w:rsidR="00FE3E87" w:rsidRDefault="00000000">
      <w:r>
        <w:t>Finally, the operational risk external reporting includes</w:t>
      </w:r>
      <w:r w:rsidR="009F1EB2">
        <w:t xml:space="preserve"> </w:t>
      </w:r>
      <w:r>
        <w:t>regulatory reports as required by the current regulatory framework, and reports to third parties, such as rating agencies.</w:t>
      </w:r>
    </w:p>
    <w:p w14:paraId="69003CF0" w14:textId="77777777" w:rsidR="00FE3E87" w:rsidRDefault="00000000">
      <w:r>
        <w:t>Liquidity Risk Liquidity risk management is associated with the Groups ability to maintain adequate liquidity positions in order to meet its financial obligations, while also safeguarding its financial results and its capital.</w:t>
      </w:r>
    </w:p>
    <w:p w14:paraId="492EC483" w14:textId="77777777" w:rsidR="00FE3E87" w:rsidRDefault="00000000">
      <w:r>
        <w:t>In particular, the framework includes the key principles of liquidity risk management, as well as the guiding statements, both qualitative and quantitative, that define the Groups liquidity risk capacity and risk appetite along with the relevant thresholds.</w:t>
      </w:r>
    </w:p>
    <w:p w14:paraId="2235C310" w14:textId="77777777" w:rsidR="00FE3E87" w:rsidRDefault="00000000">
      <w:r>
        <w:t>The contribution of each administrative level to Liquidity Risk management is organized in such a way as to ensure the establishment of clear areas of responsibility, the separation of tasks and the avoidance of conflicts of interest.</w:t>
      </w:r>
    </w:p>
    <w:p w14:paraId="0388FEC1" w14:textId="77777777" w:rsidR="00FE3E87" w:rsidRDefault="00000000">
      <w:r>
        <w:t>Similar set of reports are produced on a regular basis and submitted to Management Committees, the BoD, internal stakeholders, and the regulatory authorities, depending on the type of analysis.</w:t>
      </w:r>
    </w:p>
    <w:p w14:paraId="39A1DF98" w14:textId="77777777" w:rsidR="00FE3E87" w:rsidRDefault="00000000">
      <w:r>
        <w:t>This funding plan should ensure that the liquidity position of the Group consistently remains above the minimum regulatory requirements for LCR and NSFR.</w:t>
      </w:r>
    </w:p>
    <w:p w14:paraId="120BADE0" w14:textId="77777777" w:rsidR="00FE3E87" w:rsidRDefault="00000000">
      <w:r>
        <w:lastRenderedPageBreak/>
        <w:t>This exceptional performance was driven by improved results in all core income statement lines, through diversified revenue sources and a rigorous cost discipline, while maintaining prudent and vigilant risk management.</w:t>
      </w:r>
    </w:p>
    <w:p w14:paraId="651A342D" w14:textId="01D7995F" w:rsidR="00FE3E87" w:rsidRDefault="00000000">
      <w:r>
        <w:t>For the same reference date Piraeus Groups 12-month average LCR increased by 2 bps at 236%, where it has been calculated in accordance with the Commission Delegated Regulation 201561 and the EBA Guidelines on LCR disclosure to complement the disclosure of liquidity risk management under Article 435 CRR.</w:t>
      </w:r>
    </w:p>
    <w:p w14:paraId="39509F54" w14:textId="77777777" w:rsidR="00FE3E87" w:rsidRDefault="00000000">
      <w:r>
        <w:t>The Group monitors, reviews, and updates the remuneration procedures and structures, on an ongoing basis, and whenever there is a material change, so that they are continuously aligned with the evolving business objectives and the regulatory framework.</w:t>
      </w:r>
    </w:p>
    <w:p w14:paraId="64FD3274" w14:textId="77777777" w:rsidR="00FE3E87" w:rsidRDefault="00000000">
      <w:r>
        <w:t>At the same time, remuneration practices and related salary levels, as well as variable incentive schemes do not encourage excessive risk, potential conflicts of interest, or the violation of laws and regulations.</w:t>
      </w:r>
    </w:p>
    <w:p w14:paraId="60857D48" w14:textId="77777777" w:rsidR="00FE3E87" w:rsidRDefault="00000000">
      <w:r>
        <w:t>Based on the principles of transparency, accountability, and meritocracy, the Group aims to be a pillar of stability in the Greek economy, to fuel growth, and to promote innovation, creating value for shareholders, clients, and employees.</w:t>
      </w:r>
    </w:p>
    <w:p w14:paraId="7C2417A2" w14:textId="1FF300ED" w:rsidR="00FE3E87" w:rsidRDefault="00000000">
      <w:r>
        <w:t>The Remuneration Policy aims to attract, retain and motivate high-caliber employees who achieve the expected results by embracing our corporate values and culture</w:t>
      </w:r>
      <w:r w:rsidR="009F1EB2">
        <w:t xml:space="preserve"> </w:t>
      </w:r>
      <w:r>
        <w:t>support a performance-driven culture that is based on excellence and on creating sustainable growth, taking into account climate &amp; ESG aspects</w:t>
      </w:r>
      <w:r w:rsidR="009F1EB2">
        <w:t xml:space="preserve"> </w:t>
      </w:r>
      <w:r>
        <w:t>embrace equal pay policy for male and female employees for equal work or work of equal value supporting a culture of fairness</w:t>
      </w:r>
      <w:r w:rsidR="009F1EB2">
        <w:t xml:space="preserve"> </w:t>
      </w:r>
      <w:r>
        <w:t>align remuneration with profitability, capital adequacy, and liquidity without encouraging excessive risk-taking</w:t>
      </w:r>
      <w:r w:rsidR="009F1EB2">
        <w:t xml:space="preserve"> </w:t>
      </w:r>
      <w:r>
        <w:t xml:space="preserve">promote a culture of compliance and effective risk controls and </w:t>
      </w:r>
      <w:r>
        <w:t> enhance internal and external transparency.</w:t>
      </w:r>
    </w:p>
    <w:p w14:paraId="0FAB91F3" w14:textId="77777777" w:rsidR="00FE3E87" w:rsidRDefault="00000000">
      <w:r>
        <w:t>The key principles of the Remuneration Policy reflect the most recent regulations in terms of remuneration and incentive practices and are aligned with the Groups long-term strategies.</w:t>
      </w:r>
    </w:p>
    <w:p w14:paraId="440AC090" w14:textId="77777777" w:rsidR="00FE3E87" w:rsidRDefault="00000000">
      <w:r>
        <w:t>Towards this direction, the Group is taking initiatives among others to ensure that its remuneration policy and practices stimulate behavior consistent with the Groups climate-related and environmental risk approach, as well as with voluntary commitments made by Piraeus.</w:t>
      </w:r>
    </w:p>
    <w:p w14:paraId="6B8A315F" w14:textId="77777777" w:rsidR="00FE3E87" w:rsidRDefault="00000000">
      <w:r>
        <w:t>These are linked with the Groups overall agenda for adding value to all stakeholders, the creation of a work environment which is comprehensive in its diversity, fostering and unlocking individual potential and securing a competitive advantage, the establishment of a riskadjusted culture aiming to increase efficiency and simplification, being compliant with internal policies and controls, and consequently discouraging excessive risk taking and avoiding conflicts of interest.</w:t>
      </w:r>
    </w:p>
    <w:p w14:paraId="2F94FA48" w14:textId="77777777" w:rsidR="00FE3E87" w:rsidRDefault="00000000">
      <w:r>
        <w:lastRenderedPageBreak/>
        <w:t>For the purposes of the present, the term employee, a includes Board members, although without prejudice to the prevailing provisions of the Directors Remuneration Policy, and b is deemed to only refer to staff engaged under an employmentmandate contract or having a distinct and permanent role in the organization.</w:t>
      </w:r>
    </w:p>
    <w:p w14:paraId="01525DDF" w14:textId="77777777" w:rsidR="00FE3E87" w:rsidRDefault="00000000">
      <w:r>
        <w:t>The general principles and provisions of the Remuneration Policy set the high-level framework and are applied proportionally for the remuneration of all individuals acting on behalf of the Group regardless of their contractual relationship with the Group or Groups subsidiary with the aim of ensuring that the payments made are not providing for excessive risk taking or the mis-selling of products.</w:t>
      </w:r>
    </w:p>
    <w:p w14:paraId="4FE7F2F3" w14:textId="77777777" w:rsidR="00FE3E87" w:rsidRDefault="00000000">
      <w:r>
        <w:t>Application of the Remuneration Policy varies for different categories of employees, particularly for employees whose professional activities have a material impact on the risk profile of the Group identified staff or Material Risk Takers.</w:t>
      </w:r>
    </w:p>
    <w:p w14:paraId="1060444D" w14:textId="77777777" w:rsidR="00FE3E87" w:rsidRDefault="00000000">
      <w:r>
        <w:t xml:space="preserve">Table, Remuneration Policy Framework Remuneration Governance </w:t>
      </w:r>
      <w:r>
        <w:t> The Remuneration Committee RemCo monitors the ongoing appropriateness of remuneration practices and proposes changes to the policy as needed.</w:t>
      </w:r>
    </w:p>
    <w:p w14:paraId="5828EBC1" w14:textId="77777777" w:rsidR="00FE3E87" w:rsidRDefault="00000000">
      <w:r>
        <w:t>Control functions contribute to the design of the Remuneration Policy, provide input in each policys update and play a significant role in its control.</w:t>
      </w:r>
    </w:p>
    <w:p w14:paraId="34E92447" w14:textId="77777777" w:rsidR="00FE3E87" w:rsidRDefault="00000000">
      <w:r>
        <w:t>GRM ensures that the Group Remuneration Policy integrates risk-adjusted performance measures and aligns with the Groups Risk Appetite Framework .</w:t>
      </w:r>
    </w:p>
    <w:p w14:paraId="6F219779" w14:textId="77777777" w:rsidR="00FE3E87" w:rsidRDefault="00000000">
      <w:r>
        <w:t>It assists with and informs on the definition of suitable risk-adjusted performance measures including ex-post adjustments and risk-related KPIs used in variable remuneration schemes to avoid excessive risk-taking, evaluates the relevant remuneration practices, focusing on how the variable remuneration structure and related payments affect the Groups risk profile and culture.</w:t>
      </w:r>
    </w:p>
    <w:p w14:paraId="76BCFB6F" w14:textId="77777777" w:rsidR="00FE3E87" w:rsidRDefault="00000000">
      <w:r>
        <w:t>GC analyzes how the Remuneration Policy affects the Groups compliance with legislation, regulations, internal policies, and risk culture and proposes any adjustment needed.</w:t>
      </w:r>
    </w:p>
    <w:p w14:paraId="4B06C28A" w14:textId="77777777" w:rsidR="00FE3E87" w:rsidRDefault="00000000">
      <w:r>
        <w:t>In addition, GC evaluates whether the assumptions related to the annual remuneration reporting disclosures and the identification process of MRTs are aligned with the existing regulatory framework and reviews the list of MRTs applying the related quantitative criteria.</w:t>
      </w:r>
    </w:p>
    <w:p w14:paraId="5D6213A7" w14:textId="77777777" w:rsidR="00FE3E87" w:rsidRDefault="00000000">
      <w:r>
        <w:t>In terms of implementation of variable remuneration schemes, GC assesses the schemes mechanism to ensure compliance with applicable caps, deferral components, and payout structures.</w:t>
      </w:r>
    </w:p>
    <w:p w14:paraId="1698E09C" w14:textId="77777777" w:rsidR="00FE3E87" w:rsidRDefault="00000000">
      <w:r>
        <w:t>The design and implementation of the Remuneration Policy, in terms of compliance with the regulation, policies, procedures, and internal rules, are subject to central and independent internal review by the GIA at least once a year.</w:t>
      </w:r>
    </w:p>
    <w:p w14:paraId="01ED8C94" w14:textId="77777777" w:rsidR="00FE3E87" w:rsidRDefault="00000000">
      <w:r>
        <w:lastRenderedPageBreak/>
        <w:t>The independent review includes, inter alia, references regarding the effects of the existing remuneration policies on the Groups risk profile and the way these effects are managed as well as an analysis of whether the Remuneration Policy is gender neutral.</w:t>
      </w:r>
    </w:p>
    <w:p w14:paraId="1136BD52" w14:textId="77777777" w:rsidR="00FE3E87" w:rsidRDefault="00000000">
      <w:r>
        <w:t>Directors remuneration is governed by the Directors Remuneration Policy, which applies to the members of the BoD Directors as per the requirements of Articles 110-111 of Greek Law 45482018.</w:t>
      </w:r>
    </w:p>
    <w:p w14:paraId="7C09A511" w14:textId="77777777" w:rsidR="00FE3E87" w:rsidRDefault="00000000">
      <w:r>
        <w:t>The updated Directors Remuneration Policy was submitted and approved by the Annual General Meeting of Shareholders on June 28th, 2024.</w:t>
      </w:r>
    </w:p>
    <w:p w14:paraId="190E6973" w14:textId="77777777" w:rsidR="00FE3E87" w:rsidRDefault="00000000">
      <w:r>
        <w:t>Following a respective recommendation 182 PILLAR III 2024 by the RemCo, the BoD proposed the approval of the amendments in the Directors Remuneration Policy during the 2024 Annual General Meeting of Shareholders, in accordance with Article 110 of Greek Law 45482018.</w:t>
      </w:r>
    </w:p>
    <w:p w14:paraId="58F02662" w14:textId="5F68302F" w:rsidR="00FE3E87" w:rsidRDefault="00000000">
      <w:r>
        <w:t>The main amendments in the Directors Remuneration Policy referred to the</w:t>
      </w:r>
      <w:r w:rsidR="009F1EB2">
        <w:t xml:space="preserve"> </w:t>
      </w:r>
      <w:r>
        <w:t>Incorporation of the Long-Term Incentive Plans mechanism, approved by the BoD on November2023 in the Appendix of the policy.</w:t>
      </w:r>
    </w:p>
    <w:p w14:paraId="0FFD73FE" w14:textId="77777777" w:rsidR="00FE3E87" w:rsidRDefault="00000000">
      <w:r>
        <w:t>The publication of the Remuneration Report is intended to provide increased corporate transparency and Directors accountability and increased oversight of shareholders on the implementation of the Remuneration Policy and practices, while at the same time demonstrating their coherence with Groups strategy and performance.</w:t>
      </w:r>
    </w:p>
    <w:p w14:paraId="09578A74" w14:textId="77777777" w:rsidR="00FE3E87" w:rsidRDefault="00000000">
      <w:r>
        <w:t>RemCo, as a body, has knowledge, expertise, and professional experience in remuneration-related issues, risk management, and control activities.</w:t>
      </w:r>
    </w:p>
    <w:p w14:paraId="7E6739F0" w14:textId="77777777" w:rsidR="00FE3E87" w:rsidRDefault="00000000">
      <w:r>
        <w:t>At least one, member of the Committee should also be a member of the Risk Committee to oversee the alignment of the Remuneration Policy with the Groups Risk &amp; Capital Strategy.</w:t>
      </w:r>
    </w:p>
    <w:p w14:paraId="5926960F" w14:textId="77777777" w:rsidR="00FE3E87" w:rsidRDefault="00000000">
      <w:r>
        <w:t>In its December 2024 meeting, the Remuneration Committee conducted a comprehensive review of its Terms of Reference to ensure alignment with evolving governance standards and best practices.</w:t>
      </w:r>
    </w:p>
    <w:p w14:paraId="3857B09D" w14:textId="77777777" w:rsidR="00FE3E87" w:rsidRDefault="00000000">
      <w:r>
        <w:t>This review aimed to enhance the clarity of the Committees scope, responsibilities, and operating procedures, reinforcing its commitment to robust oversight, transparency, and effectiveness in remuneration governance.</w:t>
      </w:r>
    </w:p>
    <w:p w14:paraId="171F57D8" w14:textId="77777777" w:rsidR="00FE3E87" w:rsidRDefault="00000000">
      <w:r>
        <w:t>More information on the current composition of the RemCo, its operation and responsibilities are available on the Groups website, link, BoD Committees Remuneration Structure The Remuneration Policy covers all types of remuneration.</w:t>
      </w:r>
    </w:p>
    <w:p w14:paraId="2879C705" w14:textId="77777777" w:rsidR="00FE3E87" w:rsidRDefault="00000000">
      <w:r>
        <w:t>The employees are rated on the basis of their individual contribution to strategic enablers and functional targets and also measurable indicators of what is expected in alignment with the corporate values.</w:t>
      </w:r>
    </w:p>
    <w:p w14:paraId="62D4E494" w14:textId="77777777" w:rsidR="00FE3E87" w:rsidRDefault="00000000">
      <w:r>
        <w:lastRenderedPageBreak/>
        <w:t>Additionally, it aims to support both the attraction and retention of the employees in the Group, by remaining competitive in the market while ensuring employees engagement.</w:t>
      </w:r>
    </w:p>
    <w:p w14:paraId="1C51F2D6" w14:textId="377B3340" w:rsidR="00FE3E87" w:rsidRDefault="00000000">
      <w:r>
        <w:t>The Group has developed a fixed gender-neutral remuneration framework, which defines the salary structure and ranges that set out the different levels of pay for roles and individualemployees by reference to</w:t>
      </w:r>
      <w:r w:rsidR="009F1EB2">
        <w:t xml:space="preserve"> </w:t>
      </w:r>
      <w:r>
        <w:t>the relative size of their role internally, as established by job evaluation</w:t>
      </w:r>
      <w:r w:rsidR="009F1EB2">
        <w:t xml:space="preserve"> </w:t>
      </w:r>
      <w:r>
        <w:t>external relativities, via market rate surveys or relevant benchmark</w:t>
      </w:r>
      <w:r w:rsidR="009F1EB2">
        <w:t>s</w:t>
      </w:r>
      <w:r>
        <w:t xml:space="preserve"> the individuals skills and experience</w:t>
      </w:r>
      <w:r w:rsidR="009F1EB2">
        <w:t xml:space="preserve"> </w:t>
      </w:r>
      <w:r>
        <w:t>and</w:t>
      </w:r>
      <w:r w:rsidR="009F1EB2">
        <w:t xml:space="preserve"> </w:t>
      </w:r>
      <w:r>
        <w:t>the recognition of the value of the employees personal performance and contribution to the business objectives.</w:t>
      </w:r>
    </w:p>
    <w:p w14:paraId="0EDDB2E5" w14:textId="77777777" w:rsidR="00FE3E87" w:rsidRDefault="00000000">
      <w:r>
        <w:t>Benefits A fixed component of the remuneration structure relates to the benefits provided to employees in line with the relevant market practice to ensure competitiveness and business effectiveness.</w:t>
      </w:r>
    </w:p>
    <w:p w14:paraId="6A24A2AD" w14:textId="77777777" w:rsidR="00FE3E87" w:rsidRDefault="00000000">
      <w:r>
        <w:t>AllowancesExpenses The Group also provides benefits or allowances mandated by the sectoral as well as the internal Enterprise Collective Bargaining Agreement, such as additional paid leave for maternity leave and working mothers, nursery allowance, a oneoff benefit for employees with several children, benefit for disabled employees and their dependents, university graduation recognition for employees and their children, student leave, one-off amount for financial support of employees etc.</w:t>
      </w:r>
    </w:p>
    <w:p w14:paraId="1A81BC7D" w14:textId="77777777" w:rsidR="00FE3E87" w:rsidRDefault="00000000">
      <w:r>
        <w:t>These are reviewed on an ongoing basis in order to ensure compliance with this framework.</w:t>
      </w:r>
    </w:p>
    <w:p w14:paraId="7E28C1A0" w14:textId="77777777" w:rsidR="00FE3E87" w:rsidRDefault="00000000">
      <w:r>
        <w:t>Variable remuneration 20 As defined in the EBA Guidelines andor in the current legal framework.</w:t>
      </w:r>
    </w:p>
    <w:p w14:paraId="7C991C7E" w14:textId="77777777" w:rsidR="00FE3E87" w:rsidRDefault="00000000">
      <w:r>
        <w:t>Variable remuneration schemes may be designed on a long-term or short-term basis, thus rewarding the achievement of both short-term and long-term business objectives.</w:t>
      </w:r>
    </w:p>
    <w:p w14:paraId="18E71A44" w14:textId="77777777" w:rsidR="00FE3E87" w:rsidRDefault="00000000">
      <w:r>
        <w:t>In accordance with the legal and regulatory principles and taking into account any possible conflict of interest, these schemes may take the form of short-term schemes such as an annual performance bonus aiming to incentivize short to midterm individual performance andor the form of an incentive scheme rally aiming to provide additional motives for the achievement on specific business results such as increase in deposits, commissions, insurance products, etc.</w:t>
      </w:r>
    </w:p>
    <w:p w14:paraId="74E76C5B" w14:textId="77777777" w:rsidR="00FE3E87" w:rsidRDefault="00000000">
      <w:r>
        <w:t>Each subsidiary within the Group may adopt variable remuneration schemes aligned with those described in the Group Remuneration Policy or, alternatively, design and implement distinct variable remuneration schemes tailored to their specific regulatory frameworks, strategic priorities, and business-specific needs.</w:t>
      </w:r>
    </w:p>
    <w:p w14:paraId="6D34CE1A" w14:textId="77777777" w:rsidR="00FE3E87" w:rsidRDefault="00000000">
      <w:r>
        <w:t>Such criteria incorporate the Groups medium-term and long-term strategy, including its risk profile and risk appetite, are conducive to the alignment of the employees interests to those of the Group and shareholders, ensuring that no excessive risks will be taken, and the awarded amounts are not detrimental to maintaining a sound capital base.</w:t>
      </w:r>
    </w:p>
    <w:p w14:paraId="1DD39CA1" w14:textId="77777777" w:rsidR="00FE3E87" w:rsidRDefault="00000000">
      <w:r>
        <w:lastRenderedPageBreak/>
        <w:t>The applied percentages are differentiated based usually on performance evaluation as defined by reference to the relevant market practice, the current economic situation, the Groups margins, target achievement rate as well as other specific elements of the variable remuneration schemes as each time applied.</w:t>
      </w:r>
    </w:p>
    <w:p w14:paraId="5A2C9697" w14:textId="77777777" w:rsidR="00FE3E87" w:rsidRDefault="00000000">
      <w:r>
        <w:t>Specifically, at least 50% of variable remuneration will be paid in instruments, while the remaining 50% will be paid in cash as defined by the applicable regulatory framework.</w:t>
      </w:r>
    </w:p>
    <w:p w14:paraId="7B9A1158" w14:textId="77777777" w:rsidR="00FE3E87" w:rsidRDefault="00000000">
      <w:r>
        <w:t>A minimum proportion of 40% or respectively 60% for particularly high amounts21 of the variable remuneration is deferred over a period of time deferral period which cannot be shorter than four, years or five, years for the Executive members of the BoD and the senior management or otherwise defined by the applicable legislative and regulatory framework.</w:t>
      </w:r>
    </w:p>
    <w:p w14:paraId="60984BC9" w14:textId="77777777" w:rsidR="00FE3E87" w:rsidRDefault="00000000">
      <w:r>
        <w:t>In respect to the awarded instruments, a retention period of at least one year is set, or as otherwise defined by the existing legislative and regulatory framework.</w:t>
      </w:r>
    </w:p>
    <w:p w14:paraId="4DA050BC" w14:textId="77777777" w:rsidR="00FE3E87" w:rsidRDefault="00000000">
      <w:r>
        <w:t>The requirements on deferring part of the variable remuneration and applying a payout mix that includes financial instruments are not implemented for employees either MRTs or not whose annual variable remuneration does not exceed the amount of € 50,000 and does not represent more than one-third of the employees total annual remuneration, or as otherwise defined by the existing legislative and regulatory framework.</w:t>
      </w:r>
    </w:p>
    <w:p w14:paraId="1A4619A9" w14:textId="385CAF88" w:rsidR="00FE3E87" w:rsidRDefault="00000000">
      <w:r>
        <w:t>The annual variable incentive schemes of the Group were designed by taking several key principles into consideration</w:t>
      </w:r>
      <w:r w:rsidR="009F1EB2">
        <w:t xml:space="preserve"> </w:t>
      </w:r>
      <w:r>
        <w:t>To distribute variable remuneration, the Group must be solvent, with capital and liquidity levels above requirements, taking into account all risks assessed under Pillar I, ICAAP and ILAAP, in line with the Groups Risk Appetite</w:t>
      </w:r>
      <w:r w:rsidR="009F1EB2">
        <w:t xml:space="preserve"> </w:t>
      </w:r>
      <w:r>
        <w:t>The schemes need to be fully aligned with shareholders interests, both short-term and long-term, promote sound and effective risk management, and discourage excessive risk-taking conflict of interest and unfair business practices, 21 Awarded variable amounts that exceed €1mn on an annual basis.</w:t>
      </w:r>
    </w:p>
    <w:p w14:paraId="0E532850" w14:textId="77777777" w:rsidR="00FE3E87" w:rsidRDefault="00000000">
      <w:r>
        <w:t>Detailed information on the Senior Management scheme is presented in the Directors Remuneration Policy, which is published on the external website of the Company, Link, Directors' Remuneration Policy Retention Scheme The Company may adopt retention scheme mechanism, in order to retain key employees holding critical positions, talented high caliber employees and employees with accountabilities of strategic importance for the achievement of the Companys priorities.</w:t>
      </w:r>
    </w:p>
    <w:p w14:paraId="273E3638" w14:textId="77777777" w:rsidR="00FE3E87" w:rsidRDefault="00000000">
      <w:r>
        <w:t>Under all circumstances, any retention initiativebonus shall comply with the requirements of the regulatory framework, including the ex-post risk alignment, payment in instruments, deferral, malus and clawback arrangements, as well as legislative restrictions, where applicable.</w:t>
      </w:r>
    </w:p>
    <w:p w14:paraId="18B2BBD1" w14:textId="77777777" w:rsidR="00FE3E87" w:rsidRDefault="00000000">
      <w:r>
        <w:t>Total awarded amounts are subject to the provisions of the legislative and regulatory framework, as in force.</w:t>
      </w:r>
    </w:p>
    <w:p w14:paraId="1BDC009E" w14:textId="77777777" w:rsidR="00FE3E87" w:rsidRDefault="00000000">
      <w:r>
        <w:lastRenderedPageBreak/>
        <w:t>AGM authorized the BoD to, a determine the beneficiaries of said free shares on the basis of the applicable remuneration policy and remuneration schemes of the Group as well as the terms and criteria for the award and the payment of remuneration, and b proceed with the implementation of this decision at its discretion in the appropriate time and manner, and deal with all the procedural details related to this decision.</w:t>
      </w:r>
    </w:p>
    <w:p w14:paraId="62107002" w14:textId="77777777" w:rsidR="00FE3E87" w:rsidRDefault="00000000">
      <w:r>
        <w:t>The employee should maintain active employment at the Group for a minimum of one, year from the date of hire.</w:t>
      </w:r>
    </w:p>
    <w:p w14:paraId="2BA5E8ED" w14:textId="77777777" w:rsidR="00FE3E87" w:rsidRDefault="00000000">
      <w:r>
        <w:t>The full amount may be paid in non-deferred cash and may not be included in the calculation of the ratio between the fixed and variable components of the total remuneration for the first performance period, where the guaranteed variable remuneration is awarded when hiring a new employee before the first performance period starts.</w:t>
      </w:r>
    </w:p>
    <w:p w14:paraId="16E58AAA" w14:textId="77777777" w:rsidR="00FE3E87" w:rsidRDefault="00000000">
      <w:r>
        <w:t>In order to ensure the Groups compliance with the qualitative and quantitative criteria described in the aforementioned framework, GHR, assisted by Legal Services, GRM, and GC, performs a structured and formalized identification process.</w:t>
      </w:r>
    </w:p>
    <w:p w14:paraId="7F0568EE" w14:textId="77777777" w:rsidR="00FE3E87" w:rsidRDefault="00000000">
      <w:r>
        <w:t>All employees whose professional activities have a material impact on Groups risk profile are identified based on data retrieved each year on December 31st or as otherwise defined in the existing legislative and regulatory framework.</w:t>
      </w:r>
    </w:p>
    <w:p w14:paraId="069AEF8F" w14:textId="18F4FFEC" w:rsidR="00FE3E87" w:rsidRDefault="00000000">
      <w:r>
        <w:t xml:space="preserve">If the conditions are not 189 PILLAR III 2024 favorable </w:t>
      </w:r>
      <w:r w:rsidR="009F1EB2">
        <w:t>i</w:t>
      </w:r>
      <w:r>
        <w:t>ncreased liquidity needs, spending budget overruns the Group may decide not to pay variable remuneration, even if its financial performance permits it.</w:t>
      </w:r>
    </w:p>
    <w:p w14:paraId="00E4FD32" w14:textId="77777777" w:rsidR="00FE3E87" w:rsidRDefault="00000000">
      <w:r>
        <w:t>Malus and clawback provisionsarrangements for up to 100% of the total variable remuneration, are in place both for the executive members of the BoD and the other MRTs in accordance with the existing legislative and regulatory framework.</w:t>
      </w:r>
    </w:p>
    <w:p w14:paraId="6BD21C23" w14:textId="77777777" w:rsidR="00FE3E87" w:rsidRDefault="00000000">
      <w:r>
        <w:t>Full consolidatio n x Shopping centers management ND Development Single Member S.</w:t>
      </w:r>
    </w:p>
    <w:p w14:paraId="768E54A9" w14:textId="77777777" w:rsidR="00FE3E87" w:rsidRDefault="00000000">
      <w:r>
        <w:t>Full consolidatio n x Property management New Up Dating Development Real Estate and Tourism Single Member S.</w:t>
      </w:r>
    </w:p>
    <w:p w14:paraId="4D52DCFE" w14:textId="77777777" w:rsidR="00FE3E87" w:rsidRDefault="00000000">
      <w:r>
        <w:t>Full consolidatio n x Property management Komotini Real Estate Development Single Member S.</w:t>
      </w:r>
    </w:p>
    <w:p w14:paraId="7EF4D104" w14:textId="77777777" w:rsidR="00FE3E87" w:rsidRDefault="00000000">
      <w:r>
        <w:t>Full consolidatio n x Property management Piraeus Development Single Member S.</w:t>
      </w:r>
    </w:p>
    <w:p w14:paraId="11037101" w14:textId="77777777" w:rsidR="00FE3E87" w:rsidRDefault="00000000">
      <w:r>
        <w:t>Equity method x European community programs management Gaia S.</w:t>
      </w:r>
    </w:p>
    <w:p w14:paraId="4C12F214" w14:textId="63998FA4" w:rsidR="00FE3E87" w:rsidRDefault="00000000">
      <w:r>
        <w:t xml:space="preserve">Equity method x Ιnterbanking company of development, operation and 199 PILLAR III 2024 EU LI3 Outline of the differences in the scopes of consolidation entity by entity 2024 Method of accounting consolidatio n Method of regulatory consolidation Description of the entity Name of the entity Full consolidatio n Proportional </w:t>
      </w:r>
      <w:proofErr w:type="spellStart"/>
      <w:r>
        <w:t>consolidatio</w:t>
      </w:r>
      <w:proofErr w:type="spellEnd"/>
      <w:r>
        <w:t xml:space="preserve"> n Equity method </w:t>
      </w:r>
      <w:r>
        <w:lastRenderedPageBreak/>
        <w:t xml:space="preserve">Deducted </w:t>
      </w:r>
      <w:r w:rsidR="00C74003">
        <w:t>n</w:t>
      </w:r>
      <w:r>
        <w:t>either consolidated nor deducted management of information systems Piraeus Direct Services S.</w:t>
      </w:r>
    </w:p>
    <w:p w14:paraId="0FC39249" w14:textId="77777777" w:rsidR="00FE3E87" w:rsidRDefault="00000000">
      <w:r>
        <w:t xml:space="preserve">UN </w:t>
      </w:r>
      <w:proofErr w:type="spellStart"/>
      <w:r>
        <w:t>Womens</w:t>
      </w:r>
      <w:proofErr w:type="spellEnd"/>
      <w:r>
        <w:t xml:space="preserve"> Empowerment Principles Piraeus Group is the first bank in Greece to sign the Womens Empowerment Principles of the UN Global Compact and UN Women Principles and is committed to strengthening and promoting gender equality in the workplace.</w:t>
      </w:r>
    </w:p>
    <w:p w14:paraId="5CCFB436" w14:textId="77777777" w:rsidR="00FE3E87" w:rsidRDefault="00000000">
      <w:r>
        <w:t>UN Principles for Responsible Banking UNEP FI PRB Piraeus Group has signed the Principles for Responsible Banking and was the only Greek bank that participated in their development.</w:t>
      </w:r>
    </w:p>
    <w:p w14:paraId="27417694" w14:textId="77777777" w:rsidR="00FE3E87" w:rsidRDefault="00000000">
      <w:r>
        <w:t>The PRB aim to align banks operations with the UN Sustainable Development Goals and the Paris Climate Agreement.</w:t>
      </w:r>
    </w:p>
    <w:p w14:paraId="156EC204" w14:textId="77777777" w:rsidR="00FE3E87" w:rsidRDefault="00000000">
      <w:r>
        <w:t>UN Principles for Responsible Investment Piraeus Asset Management is a signatory of the Principles for Responsible Investment, a global initiative for the adoption and implementation of Environmental, Social, and Governance Principles.</w:t>
      </w:r>
    </w:p>
    <w:p w14:paraId="5515DA69" w14:textId="77777777" w:rsidR="00FE3E87" w:rsidRDefault="00000000">
      <w:r>
        <w:t>The SBTi suggests methodological tools for measuring carbon emissions and setting targets for their reduction, both from the Banks operational and financing activities.</w:t>
      </w:r>
    </w:p>
    <w:p w14:paraId="4268C882" w14:textId="77777777" w:rsidR="00FE3E87" w:rsidRDefault="00000000">
      <w:r>
        <w:t>Finance for Biodiversity Pledge Piraeus Group has signed the global Finance for Biodiversity Pledge to set goals and strengthen the business activities that protect and enhance the natural environment, reversing the rate of biodiversity loss.</w:t>
      </w:r>
    </w:p>
    <w:sectPr w:rsidR="00FE3E8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zo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zo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Zo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Zo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zo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Zoznamsodrkami"/>
      <w:lvlText w:val=""/>
      <w:lvlJc w:val="left"/>
      <w:pPr>
        <w:tabs>
          <w:tab w:val="num" w:pos="360"/>
        </w:tabs>
        <w:ind w:left="360" w:hanging="360"/>
      </w:pPr>
      <w:rPr>
        <w:rFonts w:ascii="Symbol" w:hAnsi="Symbol" w:hint="default"/>
      </w:rPr>
    </w:lvl>
  </w:abstractNum>
  <w:num w:numId="1" w16cid:durableId="1520268300">
    <w:abstractNumId w:val="8"/>
  </w:num>
  <w:num w:numId="2" w16cid:durableId="1548952723">
    <w:abstractNumId w:val="6"/>
  </w:num>
  <w:num w:numId="3" w16cid:durableId="1803689853">
    <w:abstractNumId w:val="5"/>
  </w:num>
  <w:num w:numId="4" w16cid:durableId="473723671">
    <w:abstractNumId w:val="4"/>
  </w:num>
  <w:num w:numId="5" w16cid:durableId="1707213928">
    <w:abstractNumId w:val="7"/>
  </w:num>
  <w:num w:numId="6" w16cid:durableId="1897663490">
    <w:abstractNumId w:val="3"/>
  </w:num>
  <w:num w:numId="7" w16cid:durableId="1059137331">
    <w:abstractNumId w:val="2"/>
  </w:num>
  <w:num w:numId="8" w16cid:durableId="1745643509">
    <w:abstractNumId w:val="1"/>
  </w:num>
  <w:num w:numId="9" w16cid:durableId="18614266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5C73"/>
    <w:rsid w:val="000C06B0"/>
    <w:rsid w:val="0015074B"/>
    <w:rsid w:val="0029639D"/>
    <w:rsid w:val="002F45D4"/>
    <w:rsid w:val="00326F90"/>
    <w:rsid w:val="0042626E"/>
    <w:rsid w:val="0064297C"/>
    <w:rsid w:val="00672963"/>
    <w:rsid w:val="0099364C"/>
    <w:rsid w:val="009F1EB2"/>
    <w:rsid w:val="00AA1D8D"/>
    <w:rsid w:val="00B47730"/>
    <w:rsid w:val="00C74003"/>
    <w:rsid w:val="00CB0664"/>
    <w:rsid w:val="00D47798"/>
    <w:rsid w:val="00FC693F"/>
    <w:rsid w:val="00FE3E8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3BDB17"/>
  <w14:defaultImageDpi w14:val="300"/>
  <w15:docId w15:val="{E95D59C8-535C-6B47-8D5B-09C3A51B0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FC693F"/>
  </w:style>
  <w:style w:type="paragraph" w:styleId="Nadpis1">
    <w:name w:val="heading 1"/>
    <w:basedOn w:val="Normlny"/>
    <w:next w:val="Normlny"/>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y"/>
    <w:next w:val="Normlny"/>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y"/>
    <w:next w:val="Normlny"/>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y"/>
    <w:next w:val="Normlny"/>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y"/>
    <w:next w:val="Normlny"/>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y"/>
    <w:next w:val="Normlny"/>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y"/>
    <w:next w:val="Normlny"/>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y"/>
    <w:next w:val="Normlny"/>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y"/>
    <w:next w:val="Normlny"/>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Hlavika">
    <w:name w:val="header"/>
    <w:basedOn w:val="Normlny"/>
    <w:link w:val="HlavikaChar"/>
    <w:uiPriority w:val="99"/>
    <w:unhideWhenUsed/>
    <w:rsid w:val="00E618BF"/>
    <w:pPr>
      <w:tabs>
        <w:tab w:val="center" w:pos="4680"/>
        <w:tab w:val="right" w:pos="9360"/>
      </w:tabs>
      <w:spacing w:after="0" w:line="240" w:lineRule="auto"/>
    </w:pPr>
  </w:style>
  <w:style w:type="character" w:customStyle="1" w:styleId="HlavikaChar">
    <w:name w:val="Hlavička Char"/>
    <w:basedOn w:val="Predvolenpsmoodseku"/>
    <w:link w:val="Hlavika"/>
    <w:uiPriority w:val="99"/>
    <w:rsid w:val="00E618BF"/>
  </w:style>
  <w:style w:type="paragraph" w:styleId="Pta">
    <w:name w:val="footer"/>
    <w:basedOn w:val="Normlny"/>
    <w:link w:val="PtaChar"/>
    <w:uiPriority w:val="99"/>
    <w:unhideWhenUsed/>
    <w:rsid w:val="00E618BF"/>
    <w:pPr>
      <w:tabs>
        <w:tab w:val="center" w:pos="4680"/>
        <w:tab w:val="right" w:pos="9360"/>
      </w:tabs>
      <w:spacing w:after="0" w:line="240" w:lineRule="auto"/>
    </w:pPr>
  </w:style>
  <w:style w:type="character" w:customStyle="1" w:styleId="PtaChar">
    <w:name w:val="Päta Char"/>
    <w:basedOn w:val="Predvolenpsmoodseku"/>
    <w:link w:val="Pta"/>
    <w:uiPriority w:val="99"/>
    <w:rsid w:val="00E618BF"/>
  </w:style>
  <w:style w:type="paragraph" w:styleId="Bezriadkovania">
    <w:name w:val="No Spacing"/>
    <w:uiPriority w:val="1"/>
    <w:qFormat/>
    <w:rsid w:val="00FC693F"/>
    <w:pPr>
      <w:spacing w:after="0" w:line="240" w:lineRule="auto"/>
    </w:pPr>
  </w:style>
  <w:style w:type="character" w:customStyle="1" w:styleId="Nadpis1Char">
    <w:name w:val="Nadpis 1 Char"/>
    <w:basedOn w:val="Predvolenpsmoodseku"/>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Predvolenpsmoodseku"/>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Predvolenpsmoodseku"/>
    <w:link w:val="Nadpis3"/>
    <w:uiPriority w:val="9"/>
    <w:rsid w:val="00FC693F"/>
    <w:rPr>
      <w:rFonts w:asciiTheme="majorHAnsi" w:eastAsiaTheme="majorEastAsia" w:hAnsiTheme="majorHAnsi" w:cstheme="majorBidi"/>
      <w:b/>
      <w:bCs/>
      <w:color w:val="4F81BD" w:themeColor="accent1"/>
    </w:rPr>
  </w:style>
  <w:style w:type="paragraph" w:styleId="Nzov">
    <w:name w:val="Title"/>
    <w:basedOn w:val="Normlny"/>
    <w:next w:val="Normlny"/>
    <w:link w:val="Nzo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ovChar">
    <w:name w:val="Názov Char"/>
    <w:basedOn w:val="Predvolenpsmoodseku"/>
    <w:link w:val="Nz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itul">
    <w:name w:val="Subtitle"/>
    <w:basedOn w:val="Normlny"/>
    <w:next w:val="Normlny"/>
    <w:link w:val="Podtitu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itulChar">
    <w:name w:val="Podtitul Char"/>
    <w:basedOn w:val="Predvolenpsmoodseku"/>
    <w:link w:val="Podtitul"/>
    <w:uiPriority w:val="11"/>
    <w:rsid w:val="00FC693F"/>
    <w:rPr>
      <w:rFonts w:asciiTheme="majorHAnsi" w:eastAsiaTheme="majorEastAsia" w:hAnsiTheme="majorHAnsi" w:cstheme="majorBidi"/>
      <w:i/>
      <w:iCs/>
      <w:color w:val="4F81BD" w:themeColor="accent1"/>
      <w:spacing w:val="15"/>
      <w:sz w:val="24"/>
      <w:szCs w:val="24"/>
    </w:rPr>
  </w:style>
  <w:style w:type="paragraph" w:styleId="Odsekzoznamu">
    <w:name w:val="List Paragraph"/>
    <w:basedOn w:val="Normlny"/>
    <w:uiPriority w:val="34"/>
    <w:qFormat/>
    <w:rsid w:val="00FC693F"/>
    <w:pPr>
      <w:ind w:left="720"/>
      <w:contextualSpacing/>
    </w:pPr>
  </w:style>
  <w:style w:type="paragraph" w:styleId="Zkladntext">
    <w:name w:val="Body Text"/>
    <w:basedOn w:val="Normlny"/>
    <w:link w:val="ZkladntextChar"/>
    <w:uiPriority w:val="99"/>
    <w:unhideWhenUsed/>
    <w:rsid w:val="00AA1D8D"/>
    <w:pPr>
      <w:spacing w:after="120"/>
    </w:pPr>
  </w:style>
  <w:style w:type="character" w:customStyle="1" w:styleId="ZkladntextChar">
    <w:name w:val="Základný text Char"/>
    <w:basedOn w:val="Predvolenpsmoodseku"/>
    <w:link w:val="Zkladntext"/>
    <w:uiPriority w:val="99"/>
    <w:rsid w:val="00AA1D8D"/>
  </w:style>
  <w:style w:type="paragraph" w:styleId="Zkladntext2">
    <w:name w:val="Body Text 2"/>
    <w:basedOn w:val="Normlny"/>
    <w:link w:val="Zkladntext2Char"/>
    <w:uiPriority w:val="99"/>
    <w:unhideWhenUsed/>
    <w:rsid w:val="00AA1D8D"/>
    <w:pPr>
      <w:spacing w:after="120" w:line="480" w:lineRule="auto"/>
    </w:pPr>
  </w:style>
  <w:style w:type="character" w:customStyle="1" w:styleId="Zkladntext2Char">
    <w:name w:val="Základný text 2 Char"/>
    <w:basedOn w:val="Predvolenpsmoodseku"/>
    <w:link w:val="Zkladntext2"/>
    <w:uiPriority w:val="99"/>
    <w:rsid w:val="00AA1D8D"/>
  </w:style>
  <w:style w:type="paragraph" w:styleId="Zkladntext3">
    <w:name w:val="Body Text 3"/>
    <w:basedOn w:val="Normlny"/>
    <w:link w:val="Zkladntext3Char"/>
    <w:uiPriority w:val="99"/>
    <w:unhideWhenUsed/>
    <w:rsid w:val="00AA1D8D"/>
    <w:pPr>
      <w:spacing w:after="120"/>
    </w:pPr>
    <w:rPr>
      <w:sz w:val="16"/>
      <w:szCs w:val="16"/>
    </w:rPr>
  </w:style>
  <w:style w:type="character" w:customStyle="1" w:styleId="Zkladntext3Char">
    <w:name w:val="Základný text 3 Char"/>
    <w:basedOn w:val="Predvolenpsmoodseku"/>
    <w:link w:val="Zkladntext3"/>
    <w:uiPriority w:val="99"/>
    <w:rsid w:val="00AA1D8D"/>
    <w:rPr>
      <w:sz w:val="16"/>
      <w:szCs w:val="16"/>
    </w:rPr>
  </w:style>
  <w:style w:type="paragraph" w:styleId="Zoznam">
    <w:name w:val="List"/>
    <w:basedOn w:val="Normlny"/>
    <w:uiPriority w:val="99"/>
    <w:unhideWhenUsed/>
    <w:rsid w:val="00AA1D8D"/>
    <w:pPr>
      <w:ind w:left="360" w:hanging="360"/>
      <w:contextualSpacing/>
    </w:pPr>
  </w:style>
  <w:style w:type="paragraph" w:styleId="Zoznam2">
    <w:name w:val="List 2"/>
    <w:basedOn w:val="Normlny"/>
    <w:uiPriority w:val="99"/>
    <w:unhideWhenUsed/>
    <w:rsid w:val="00326F90"/>
    <w:pPr>
      <w:ind w:left="720" w:hanging="360"/>
      <w:contextualSpacing/>
    </w:pPr>
  </w:style>
  <w:style w:type="paragraph" w:styleId="Zoznam3">
    <w:name w:val="List 3"/>
    <w:basedOn w:val="Normlny"/>
    <w:uiPriority w:val="99"/>
    <w:unhideWhenUsed/>
    <w:rsid w:val="00326F90"/>
    <w:pPr>
      <w:ind w:left="1080" w:hanging="360"/>
      <w:contextualSpacing/>
    </w:pPr>
  </w:style>
  <w:style w:type="paragraph" w:styleId="Zoznamsodrkami">
    <w:name w:val="List Bullet"/>
    <w:basedOn w:val="Normlny"/>
    <w:uiPriority w:val="99"/>
    <w:unhideWhenUsed/>
    <w:rsid w:val="00326F90"/>
    <w:pPr>
      <w:numPr>
        <w:numId w:val="1"/>
      </w:numPr>
      <w:contextualSpacing/>
    </w:pPr>
  </w:style>
  <w:style w:type="paragraph" w:styleId="Zoznamsodrkami2">
    <w:name w:val="List Bullet 2"/>
    <w:basedOn w:val="Normlny"/>
    <w:uiPriority w:val="99"/>
    <w:unhideWhenUsed/>
    <w:rsid w:val="00326F90"/>
    <w:pPr>
      <w:numPr>
        <w:numId w:val="2"/>
      </w:numPr>
      <w:contextualSpacing/>
    </w:pPr>
  </w:style>
  <w:style w:type="paragraph" w:styleId="Zoznamsodrkami3">
    <w:name w:val="List Bullet 3"/>
    <w:basedOn w:val="Normlny"/>
    <w:uiPriority w:val="99"/>
    <w:unhideWhenUsed/>
    <w:rsid w:val="00326F90"/>
    <w:pPr>
      <w:numPr>
        <w:numId w:val="3"/>
      </w:numPr>
      <w:contextualSpacing/>
    </w:pPr>
  </w:style>
  <w:style w:type="paragraph" w:styleId="slovanzoznam">
    <w:name w:val="List Number"/>
    <w:basedOn w:val="Normlny"/>
    <w:uiPriority w:val="99"/>
    <w:unhideWhenUsed/>
    <w:rsid w:val="00326F90"/>
    <w:pPr>
      <w:numPr>
        <w:numId w:val="5"/>
      </w:numPr>
      <w:contextualSpacing/>
    </w:pPr>
  </w:style>
  <w:style w:type="paragraph" w:styleId="slovanzoznam2">
    <w:name w:val="List Number 2"/>
    <w:basedOn w:val="Normlny"/>
    <w:uiPriority w:val="99"/>
    <w:unhideWhenUsed/>
    <w:rsid w:val="0029639D"/>
    <w:pPr>
      <w:numPr>
        <w:numId w:val="6"/>
      </w:numPr>
      <w:contextualSpacing/>
    </w:pPr>
  </w:style>
  <w:style w:type="paragraph" w:styleId="slovanzoznam3">
    <w:name w:val="List Number 3"/>
    <w:basedOn w:val="Normlny"/>
    <w:uiPriority w:val="99"/>
    <w:unhideWhenUsed/>
    <w:rsid w:val="0029639D"/>
    <w:pPr>
      <w:numPr>
        <w:numId w:val="7"/>
      </w:numPr>
      <w:contextualSpacing/>
    </w:pPr>
  </w:style>
  <w:style w:type="paragraph" w:styleId="Pokraovaniezoznamu">
    <w:name w:val="List Continue"/>
    <w:basedOn w:val="Normlny"/>
    <w:uiPriority w:val="99"/>
    <w:unhideWhenUsed/>
    <w:rsid w:val="0029639D"/>
    <w:pPr>
      <w:spacing w:after="120"/>
      <w:ind w:left="360"/>
      <w:contextualSpacing/>
    </w:pPr>
  </w:style>
  <w:style w:type="paragraph" w:styleId="Pokraovaniezoznamu2">
    <w:name w:val="List Continue 2"/>
    <w:basedOn w:val="Normlny"/>
    <w:uiPriority w:val="99"/>
    <w:unhideWhenUsed/>
    <w:rsid w:val="0029639D"/>
    <w:pPr>
      <w:spacing w:after="120"/>
      <w:ind w:left="720"/>
      <w:contextualSpacing/>
    </w:pPr>
  </w:style>
  <w:style w:type="paragraph" w:styleId="Pokraovaniezoznamu3">
    <w:name w:val="List Continue 3"/>
    <w:basedOn w:val="Normlny"/>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Predvolenpsmoodseku"/>
    <w:link w:val="Textmakra"/>
    <w:uiPriority w:val="99"/>
    <w:rsid w:val="0029639D"/>
    <w:rPr>
      <w:rFonts w:ascii="Courier" w:hAnsi="Courier"/>
      <w:sz w:val="20"/>
      <w:szCs w:val="20"/>
    </w:rPr>
  </w:style>
  <w:style w:type="paragraph" w:styleId="Citcia">
    <w:name w:val="Quote"/>
    <w:basedOn w:val="Normlny"/>
    <w:next w:val="Normlny"/>
    <w:link w:val="CitciaChar"/>
    <w:uiPriority w:val="29"/>
    <w:qFormat/>
    <w:rsid w:val="00FC693F"/>
    <w:rPr>
      <w:i/>
      <w:iCs/>
      <w:color w:val="000000" w:themeColor="text1"/>
    </w:rPr>
  </w:style>
  <w:style w:type="character" w:customStyle="1" w:styleId="CitciaChar">
    <w:name w:val="Citácia Char"/>
    <w:basedOn w:val="Predvolenpsmoodseku"/>
    <w:link w:val="Citcia"/>
    <w:uiPriority w:val="29"/>
    <w:rsid w:val="00FC693F"/>
    <w:rPr>
      <w:i/>
      <w:iCs/>
      <w:color w:val="000000" w:themeColor="text1"/>
    </w:rPr>
  </w:style>
  <w:style w:type="character" w:customStyle="1" w:styleId="Nadpis4Char">
    <w:name w:val="Nadpis 4 Char"/>
    <w:basedOn w:val="Predvolenpsmoodseku"/>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Predvolenpsmoodseku"/>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Predvolenpsmoodseku"/>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Predvolenpsmoodseku"/>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Predvolenpsmoodseku"/>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Predvolenpsmoodseku"/>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Popis">
    <w:name w:val="caption"/>
    <w:basedOn w:val="Normlny"/>
    <w:next w:val="Normlny"/>
    <w:uiPriority w:val="35"/>
    <w:semiHidden/>
    <w:unhideWhenUsed/>
    <w:qFormat/>
    <w:rsid w:val="00FC693F"/>
    <w:pPr>
      <w:spacing w:line="240" w:lineRule="auto"/>
    </w:pPr>
    <w:rPr>
      <w:b/>
      <w:bCs/>
      <w:color w:val="4F81BD" w:themeColor="accent1"/>
      <w:sz w:val="18"/>
      <w:szCs w:val="18"/>
    </w:rPr>
  </w:style>
  <w:style w:type="character" w:styleId="Vrazn">
    <w:name w:val="Strong"/>
    <w:basedOn w:val="Predvolenpsmoodseku"/>
    <w:uiPriority w:val="22"/>
    <w:qFormat/>
    <w:rsid w:val="00FC693F"/>
    <w:rPr>
      <w:b/>
      <w:bCs/>
    </w:rPr>
  </w:style>
  <w:style w:type="character" w:styleId="Zvraznenie">
    <w:name w:val="Emphasis"/>
    <w:basedOn w:val="Predvolenpsmoodseku"/>
    <w:uiPriority w:val="20"/>
    <w:qFormat/>
    <w:rsid w:val="00FC693F"/>
    <w:rPr>
      <w:i/>
      <w:iCs/>
    </w:rPr>
  </w:style>
  <w:style w:type="paragraph" w:styleId="Zvraznencitcia">
    <w:name w:val="Intense Quote"/>
    <w:basedOn w:val="Normlny"/>
    <w:next w:val="Normlny"/>
    <w:link w:val="Zvraznencitci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ZvraznencitciaChar">
    <w:name w:val="Zvýraznená citácia Char"/>
    <w:basedOn w:val="Predvolenpsmoodseku"/>
    <w:link w:val="Zvraznencitcia"/>
    <w:uiPriority w:val="30"/>
    <w:rsid w:val="00FC693F"/>
    <w:rPr>
      <w:b/>
      <w:bCs/>
      <w:i/>
      <w:iCs/>
      <w:color w:val="4F81BD" w:themeColor="accent1"/>
    </w:rPr>
  </w:style>
  <w:style w:type="character" w:styleId="Jemnzvraznenie">
    <w:name w:val="Subtle Emphasis"/>
    <w:basedOn w:val="Predvolenpsmoodseku"/>
    <w:uiPriority w:val="19"/>
    <w:qFormat/>
    <w:rsid w:val="00FC693F"/>
    <w:rPr>
      <w:i/>
      <w:iCs/>
      <w:color w:val="808080" w:themeColor="text1" w:themeTint="7F"/>
    </w:rPr>
  </w:style>
  <w:style w:type="character" w:styleId="Intenzvnezvraznenie">
    <w:name w:val="Intense Emphasis"/>
    <w:basedOn w:val="Predvolenpsmoodseku"/>
    <w:uiPriority w:val="21"/>
    <w:qFormat/>
    <w:rsid w:val="00FC693F"/>
    <w:rPr>
      <w:b/>
      <w:bCs/>
      <w:i/>
      <w:iCs/>
      <w:color w:val="4F81BD" w:themeColor="accent1"/>
    </w:rPr>
  </w:style>
  <w:style w:type="character" w:styleId="Jemnodkaz">
    <w:name w:val="Subtle Reference"/>
    <w:basedOn w:val="Predvolenpsmoodseku"/>
    <w:uiPriority w:val="31"/>
    <w:qFormat/>
    <w:rsid w:val="00FC693F"/>
    <w:rPr>
      <w:smallCaps/>
      <w:color w:val="C0504D" w:themeColor="accent2"/>
      <w:u w:val="single"/>
    </w:rPr>
  </w:style>
  <w:style w:type="character" w:styleId="Zvraznenodkaz">
    <w:name w:val="Intense Reference"/>
    <w:basedOn w:val="Predvolenpsmoodseku"/>
    <w:uiPriority w:val="32"/>
    <w:qFormat/>
    <w:rsid w:val="00FC693F"/>
    <w:rPr>
      <w:b/>
      <w:bCs/>
      <w:smallCaps/>
      <w:color w:val="C0504D" w:themeColor="accent2"/>
      <w:spacing w:val="5"/>
      <w:u w:val="single"/>
    </w:rPr>
  </w:style>
  <w:style w:type="character" w:styleId="Nzovknihy">
    <w:name w:val="Book Title"/>
    <w:basedOn w:val="Predvolenpsmoodseku"/>
    <w:uiPriority w:val="33"/>
    <w:qFormat/>
    <w:rsid w:val="00FC693F"/>
    <w:rPr>
      <w:b/>
      <w:bCs/>
      <w:smallCaps/>
      <w:spacing w:val="5"/>
    </w:rPr>
  </w:style>
  <w:style w:type="paragraph" w:styleId="Hlavikaobsahu">
    <w:name w:val="TOC Heading"/>
    <w:basedOn w:val="Nadpis1"/>
    <w:next w:val="Normlny"/>
    <w:uiPriority w:val="39"/>
    <w:semiHidden/>
    <w:unhideWhenUsed/>
    <w:qFormat/>
    <w:rsid w:val="00FC693F"/>
    <w:pPr>
      <w:outlineLvl w:val="9"/>
    </w:pPr>
  </w:style>
  <w:style w:type="table" w:styleId="Mriekatabuky">
    <w:name w:val="Table Grid"/>
    <w:basedOn w:val="Normlnatabu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podfarbenie">
    <w:name w:val="Light Shading"/>
    <w:basedOn w:val="Normlnatabu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podfarbeniezvraznenie1">
    <w:name w:val="Light Shading Accent 1"/>
    <w:basedOn w:val="Normlnatabu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podfarbeniezvraznenie2">
    <w:name w:val="Light Shading Accent 2"/>
    <w:basedOn w:val="Normlnatabu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podfarbeniezvraznenie3">
    <w:name w:val="Light Shading Accent 3"/>
    <w:basedOn w:val="Normlnatabu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podfarbeniezvraznenie4">
    <w:name w:val="Light Shading Accent 4"/>
    <w:basedOn w:val="Normlnatabu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podfarbeniezvraznenie5">
    <w:name w:val="Light Shading Accent 5"/>
    <w:basedOn w:val="Normlnatabu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podfarbeniezvraznenie6">
    <w:name w:val="Light Shading Accent 6"/>
    <w:basedOn w:val="Normlnatabu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lzoznam">
    <w:name w:val="Light List"/>
    <w:basedOn w:val="Normlnatabu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lzoznamzvraznenie1">
    <w:name w:val="Light List Accent 1"/>
    <w:basedOn w:val="Normlnatabu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lzoznamzvraznenie2">
    <w:name w:val="Light List Accent 2"/>
    <w:basedOn w:val="Normlnatabu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lzoznamzvraznenie3">
    <w:name w:val="Light List Accent 3"/>
    <w:basedOn w:val="Normlnatabu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lzoznamzvraznenie4">
    <w:name w:val="Light List Accent 4"/>
    <w:basedOn w:val="Normlnatabu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lzoznamzvraznenie5">
    <w:name w:val="Light List Accent 5"/>
    <w:basedOn w:val="Normlnatabu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lzoznamzvraznenie6">
    <w:name w:val="Light List Accent 6"/>
    <w:basedOn w:val="Normlnatabu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mrieka">
    <w:name w:val="Light Grid"/>
    <w:basedOn w:val="Normlnatabu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mriekazvraznenie1">
    <w:name w:val="Light Grid Accent 1"/>
    <w:basedOn w:val="Normlnatabu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mriekazvraznenie2">
    <w:name w:val="Light Grid Accent 2"/>
    <w:basedOn w:val="Normlnatabu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mriekazvraznenie3">
    <w:name w:val="Light Grid Accent 3"/>
    <w:basedOn w:val="Normlnatabu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mriekazvraznenie4">
    <w:name w:val="Light Grid Accent 4"/>
    <w:basedOn w:val="Normlnatabu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mriekazvraznenie5">
    <w:name w:val="Light Grid Accent 5"/>
    <w:basedOn w:val="Normlnatabu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mriekazvraznenie6">
    <w:name w:val="Light Grid Accent 6"/>
    <w:basedOn w:val="Normlnatabu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rednpodfarbenie1">
    <w:name w:val="Medium Shading 1"/>
    <w:basedOn w:val="Normlnatabu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rednpodfarbenie1zvraznenie1">
    <w:name w:val="Medium Shading 1 Accent 1"/>
    <w:basedOn w:val="Normlnatabu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rednpodfarbenie1zvraznenie2">
    <w:name w:val="Medium Shading 1 Accent 2"/>
    <w:basedOn w:val="Normlnatabu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rednpodfarbenie1zvraznenie3">
    <w:name w:val="Medium Shading 1 Accent 3"/>
    <w:basedOn w:val="Normlnatabu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rednpodfarbenie1zvraznenie4">
    <w:name w:val="Medium Shading 1 Accent 4"/>
    <w:basedOn w:val="Normlnatabu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rednpodfarbenie1zvraznenie5">
    <w:name w:val="Medium Shading 1 Accent 5"/>
    <w:basedOn w:val="Normlnatabu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Farebnpodfarbenie1zvraznenie6">
    <w:name w:val="Medium Shading 1 Accent 6"/>
    <w:basedOn w:val="Normlnatabu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rednpodfarbenie2">
    <w:name w:val="Medium Shading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1">
    <w:name w:val="Medium Shading 2 Accent 1"/>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2">
    <w:name w:val="Medium Shading 2 Accent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3">
    <w:name w:val="Medium Shading 2 Accent 3"/>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4">
    <w:name w:val="Medium Shading 2 Accent 4"/>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5">
    <w:name w:val="Medium Shading 2 Accent 5"/>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Farebnpodfarbenie2zvraznenie6">
    <w:name w:val="Medium Shading 2 Accent 6"/>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zoznam1">
    <w:name w:val="Medium List 1"/>
    <w:basedOn w:val="Normlnatabu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rednzoznam1zvraznenie1">
    <w:name w:val="Medium List 1 Accent 1"/>
    <w:basedOn w:val="Normlnatabu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rednzoznam1zvraznenie2">
    <w:name w:val="Medium List 1 Accent 2"/>
    <w:basedOn w:val="Normlnatabu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rednzoznam1zvraznenie3">
    <w:name w:val="Medium List 1 Accent 3"/>
    <w:basedOn w:val="Normlnatabu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rednzoznam1zvraznenie4">
    <w:name w:val="Medium List 1 Accent 4"/>
    <w:basedOn w:val="Normlnatabu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rednzoznam1zvraznenie5">
    <w:name w:val="Medium List 1 Accent 5"/>
    <w:basedOn w:val="Normlnatabu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rednzoznam1zvraznenie6">
    <w:name w:val="Medium List 1 Accent 6"/>
    <w:basedOn w:val="Normlnatabu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rednzoznam2">
    <w:name w:val="Medium Lis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1">
    <w:name w:val="Medium List 2 Accent 1"/>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2">
    <w:name w:val="Medium List 2 Accen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3">
    <w:name w:val="Medium List 2 Accent 3"/>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4">
    <w:name w:val="Medium List 2 Accent 4"/>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5">
    <w:name w:val="Medium List 2 Accent 5"/>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6">
    <w:name w:val="Medium List 2 Accent 6"/>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mrieka1">
    <w:name w:val="Medium Grid 1"/>
    <w:basedOn w:val="Normlnatabu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rednmrieka1zvraznenie1">
    <w:name w:val="Medium Grid 1 Accent 1"/>
    <w:basedOn w:val="Normlnatabu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rednmrieka1zvraznenie2">
    <w:name w:val="Medium Grid 1 Accent 2"/>
    <w:basedOn w:val="Normlnatabu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rednmrieka1zvraznenie3">
    <w:name w:val="Medium Grid 1 Accent 3"/>
    <w:basedOn w:val="Normlnatabu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rednmrieka1zvraznenie4">
    <w:name w:val="Medium Grid 1 Accent 4"/>
    <w:basedOn w:val="Normlnatabu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rednmrieka1zvraznenie5">
    <w:name w:val="Medium Grid 1 Accent 5"/>
    <w:basedOn w:val="Normlnatabu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rednmrieka1zvraznenie6">
    <w:name w:val="Medium Grid 1 Accent 6"/>
    <w:basedOn w:val="Normlnatabu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rednmrieka2">
    <w:name w:val="Medium Grid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rednmrieka2zvraznenie1">
    <w:name w:val="Medium Grid 2 Accent 1"/>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rednmrieka2zvraznenie2">
    <w:name w:val="Medium Grid 2 Accent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rednmrieka2zvraznenie3">
    <w:name w:val="Medium Grid 2 Accent 3"/>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rednmrieka2zvraznenie4">
    <w:name w:val="Medium Grid 2 Accent 4"/>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rednmrieka2zvraznenie5">
    <w:name w:val="Medium Grid 2 Accent 5"/>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rednmrieka2zvraznenie6">
    <w:name w:val="Medium Grid 2 Accent 6"/>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rednmrieka3">
    <w:name w:val="Medium Grid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rednmrieka3zvraznenie1">
    <w:name w:val="Medium Grid 3 Accent 1"/>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rednmrieka3zvraznenie2">
    <w:name w:val="Medium Grid 3 Accent 2"/>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rednmrieka3zvraznenie3">
    <w:name w:val="Medium Grid 3 Accent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rednmrieka3zvraznenie4">
    <w:name w:val="Medium Grid 3 Accent 4"/>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rednmrieka3zvraznenie5">
    <w:name w:val="Medium Grid 3 Accent 5"/>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rednmrieka3zvraznenie6">
    <w:name w:val="Medium Grid 3 Accent 6"/>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zoznam">
    <w:name w:val="Dark List"/>
    <w:basedOn w:val="Normlnatabu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zoznamzvraznenie1">
    <w:name w:val="Dark List Accent 1"/>
    <w:basedOn w:val="Normlnatabu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zoznamzvraznenie2">
    <w:name w:val="Dark List Accent 2"/>
    <w:basedOn w:val="Normlnatabu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zoznamzvraznenie3">
    <w:name w:val="Dark List Accent 3"/>
    <w:basedOn w:val="Normlnatabu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zoznamzvraznenie4">
    <w:name w:val="Dark List Accent 4"/>
    <w:basedOn w:val="Normlnatabu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zoznamzvraznenie5">
    <w:name w:val="Dark List Accent 5"/>
    <w:basedOn w:val="Normlnatabu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zoznamzvraznenie6">
    <w:name w:val="Dark List Accent 6"/>
    <w:basedOn w:val="Normlnatabu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ebnpodfarbenie">
    <w:name w:val="Colorful Shading"/>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ebnpodfarbeniezvraznenie1">
    <w:name w:val="Colorful Shading Accent 1"/>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ebnpodfarbeniezvraznenie2">
    <w:name w:val="Colorful Shading Accent 2"/>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ebnpodfarbeniezvraznenie3">
    <w:name w:val="Colorful Shading Accent 3"/>
    <w:basedOn w:val="Normlnatabu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ebnpodfarbeniezvraznenie4">
    <w:name w:val="Colorful Shading Accent 4"/>
    <w:basedOn w:val="Normlnatabu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ebnpodfarbeniezvraznenie5">
    <w:name w:val="Colorful Shading Accent 5"/>
    <w:basedOn w:val="Normlnatabu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ebnpodfarbeniezvraznenie6">
    <w:name w:val="Colorful Shading Accent 6"/>
    <w:basedOn w:val="Normlnatabu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ebnzoznam">
    <w:name w:val="Colorful List"/>
    <w:basedOn w:val="Normlnatabu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ebnzoznamzvraznenie1">
    <w:name w:val="Colorful List Accent 1"/>
    <w:basedOn w:val="Normlnatabu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ebnzoznamzvraznenie2">
    <w:name w:val="Colorful List Accent 2"/>
    <w:basedOn w:val="Normlnatabu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ebnzoznamzvraznenie3">
    <w:name w:val="Colorful List Accent 3"/>
    <w:basedOn w:val="Normlnatabu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ebnzoznamzvraznenie4">
    <w:name w:val="Colorful List Accent 4"/>
    <w:basedOn w:val="Normlnatabu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ebnzoznamzvraznenie5">
    <w:name w:val="Colorful List Accent 5"/>
    <w:basedOn w:val="Normlnatabu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ebnzoznamzvraznenie6">
    <w:name w:val="Colorful List Accent 6"/>
    <w:basedOn w:val="Normlnatabu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ebnmrieka">
    <w:name w:val="Colorful Grid"/>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ebnmriekazvraznenie1">
    <w:name w:val="Colorful Grid Accent 1"/>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ebnmriekazvraznenie2">
    <w:name w:val="Colorful Grid Accent 2"/>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ebnmriekazvraznenie3">
    <w:name w:val="Colorful Grid Accent 3"/>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ebnmriekazvraznenie4">
    <w:name w:val="Colorful Grid Accent 4"/>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ebnmriekazvraznenie5">
    <w:name w:val="Colorful Grid Accent 5"/>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ebnmriekazvraznenie6">
    <w:name w:val="Colorful Grid Accent 6"/>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36</Pages>
  <Words>14320</Words>
  <Characters>81628</Characters>
  <Application>Microsoft Office Word</Application>
  <DocSecurity>0</DocSecurity>
  <Lines>680</Lines>
  <Paragraphs>191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95757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Mária Pappová</cp:lastModifiedBy>
  <cp:revision>10</cp:revision>
  <dcterms:created xsi:type="dcterms:W3CDTF">2013-12-23T23:15:00Z</dcterms:created>
  <dcterms:modified xsi:type="dcterms:W3CDTF">2025-08-02T16:38:00Z</dcterms:modified>
  <cp:category/>
</cp:coreProperties>
</file>