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8E28" w14:textId="77777777" w:rsidR="00F74792" w:rsidRDefault="00000000">
      <w:r>
        <w:t>As part of our activities to mark our 125th anniversary, we allocated a total of EUR 400 million including our annual cooperative dividend to support our customers, members, and our employees in making the transition to a more sustainable future.</w:t>
      </w:r>
    </w:p>
    <w:p w14:paraId="406A4FE0" w14:textId="77777777" w:rsidR="00F74792" w:rsidRDefault="00000000">
      <w:r>
        <w:t>For instance, we established a Rabo Cooperative Insulation budget of EUR 128 million to accelerate sustainability measures in the housing market.</w:t>
      </w:r>
    </w:p>
    <w:p w14:paraId="498718D2" w14:textId="77777777" w:rsidR="00F74792" w:rsidRDefault="00000000">
      <w:r>
        <w:t>Even before we announced these initiatives, I learned that our employee engagement scores were at their highest level ever.</w:t>
      </w:r>
    </w:p>
    <w:p w14:paraId="5ECFFEF6" w14:textId="77777777" w:rsidR="00F74792" w:rsidRDefault="00000000">
      <w:r>
        <w:t>Cooperative Initiatives We made EUR 400 million available for our customers, members, partners and employees to give an extra impulse to helping them become more sustainable.</w:t>
      </w:r>
    </w:p>
    <w:p w14:paraId="6C7518ED" w14:textId="77777777" w:rsidR="00F74792" w:rsidRDefault="00000000">
      <w:r>
        <w:t>These initiatives include our regular social and societal contributions to the local communities and the energy and food system transitions, through our cooperative dividend.</w:t>
      </w:r>
    </w:p>
    <w:p w14:paraId="634A3C13" w14:textId="77777777" w:rsidR="00F74792" w:rsidRDefault="00000000">
      <w:r>
        <w:t>Cultural history, education and energy transition With the support of the Sustainability Contribution an investigation is started to use the traditional mill also to generate electricity in the reaming hours and to empower the connection between nature, history and education.</w:t>
      </w:r>
    </w:p>
    <w:p w14:paraId="31EF8809" w14:textId="77777777" w:rsidR="00F74792" w:rsidRDefault="00000000">
      <w:r>
        <w:t>Together with our members and partners, we primarily focus and continuously aim to make sports, cultural or social organizations more vital, inclusive, sustainable and future-proof.</w:t>
      </w:r>
    </w:p>
    <w:p w14:paraId="4D4280A9" w14:textId="77777777" w:rsidR="00F74792" w:rsidRDefault="00000000">
      <w:r>
        <w:t>And together with LKCA, Kunstbende, our social partners and the sport associations we develop the program according to the needs of the organisations involved.</w:t>
      </w:r>
    </w:p>
    <w:p w14:paraId="0B4EA080" w14:textId="77777777" w:rsidR="00F74792" w:rsidRDefault="00000000">
      <w:r>
        <w:t>In 2023, a new module was set-up to fully focus on sustainability.</w:t>
      </w:r>
    </w:p>
    <w:p w14:paraId="626FFE74" w14:textId="77777777" w:rsidR="00F74792" w:rsidRDefault="00000000">
      <w:r>
        <w:t>Efforts to reduce CO2e emissions, and thus to limit global warming to 1.</w:t>
      </w:r>
    </w:p>
    <w:p w14:paraId="7D818B91" w14:textId="77777777" w:rsidR="00F74792" w:rsidRDefault="00000000">
      <w:r>
        <w:t>Our ultimate goal is to support the transition towards a net-zero economy by 2050 and to set emission reduction targets that help limit global warming with a likely limitedno overshoot to 1.</w:t>
      </w:r>
    </w:p>
    <w:p w14:paraId="6DD43B4D" w14:textId="77777777" w:rsidR="00F74792" w:rsidRDefault="00000000">
      <w:r>
        <w:t>We are addressing the climate impact of our own operations by travelling less, reducing our energy usage and improving the energy efficiency of our office buildings.</w:t>
      </w:r>
    </w:p>
    <w:p w14:paraId="01F3DBF5" w14:textId="77777777" w:rsidR="00F74792" w:rsidRDefault="00000000">
      <w:r>
        <w:t>In 2023, the CO2e emissions from our own operations increased by 13%, mainly the result an increase in the number of travel movements mainly by air, partly compensated by a reduction in the number of offices and energy-saving measures.</w:t>
      </w:r>
    </w:p>
    <w:p w14:paraId="0349F789" w14:textId="77777777" w:rsidR="00F74792" w:rsidRDefault="00000000">
      <w:r>
        <w:t>In 2023, we defined decarbonization targets for our real estateair travellease cars for our operations outside the Netherlands.</w:t>
      </w:r>
    </w:p>
    <w:p w14:paraId="47A9F8B8" w14:textId="77777777" w:rsidR="00F74792" w:rsidRDefault="00000000">
      <w:r>
        <w:t>Furthermore we updated our reduction targets from Rabobank real estate in the Netherlands following the CRREM Carbon Risk Real Estate Monitor v2.</w:t>
      </w:r>
    </w:p>
    <w:p w14:paraId="5EB7934A" w14:textId="77777777" w:rsidR="00F74792" w:rsidRDefault="00000000">
      <w:r>
        <w:lastRenderedPageBreak/>
        <w:t>Emissions of Our Customers in 2022 As part of our climate commitments, and in addition to disclosing the greenhouse gas emissions of our own operational activities, each year in our Impact Report and this year in our Annual Report as well we report on the CO2e emissions of our customers linked to our financing, so-called Scope 3 Financed Emissions.</w:t>
      </w:r>
    </w:p>
    <w:p w14:paraId="439A5806" w14:textId="77777777" w:rsidR="00F74792" w:rsidRDefault="00000000">
      <w:r>
        <w:t>We also report on customers activities that we have financed and that have helped avoid GHG emissions, such as increasing the supply of renewable energy.</w:t>
      </w:r>
    </w:p>
    <w:p w14:paraId="132FA55D" w14:textId="77777777" w:rsidR="00F74792" w:rsidRDefault="00000000">
      <w:r>
        <w:t>For more information on the commitment we have made regarding financed emissions, the targets we have set and the challenges we face, please refer to Appendix 1, Financed Emissions Interpretation Pointers There are different ways to estimate and disclose financed emissions.</w:t>
      </w:r>
    </w:p>
    <w:p w14:paraId="25E7A9B1" w14:textId="77777777" w:rsidR="00F74792" w:rsidRDefault="00000000">
      <w:r>
        <w:t>This is followed by physical activity-based emissions PCAF score 3, and PCAF scores 45, given for an economic activity-based emissions approach.</w:t>
      </w:r>
    </w:p>
    <w:p w14:paraId="4365BB06" w14:textId="77777777" w:rsidR="00F74792" w:rsidRDefault="00000000">
      <w:r>
        <w:t>Details on the average data quality score per portfolio can be found in Appendix 3 of the Annual Report More Customers Reporting Emissions Thanks to increased availability of data and improved methodologies, this year we are able to report financed emissions for 89% of the relevant 71% of our total assets on-balance sheet assets in our portfolio, covering all of the most carbon-intensive sector x region combinations of our financing activities.</w:t>
      </w:r>
    </w:p>
    <w:p w14:paraId="30C4B936" w14:textId="77777777" w:rsidR="00F74792" w:rsidRDefault="00000000">
      <w:r>
        <w:t>This reduction in absolute emissions comes despite a 2% increase in the size of our loan portfolio.</w:t>
      </w:r>
    </w:p>
    <w:p w14:paraId="060212E7" w14:textId="77777777" w:rsidR="00F74792" w:rsidRDefault="00000000">
      <w:r>
        <w:t>And we are confident that our Road to Paris approach is helping more and more customers transition to a climate smart future.</w:t>
      </w:r>
    </w:p>
    <w:p w14:paraId="189BE9EF" w14:textId="77777777" w:rsidR="00F74792" w:rsidRDefault="00000000">
      <w:r>
        <w:t>However, as we are still largely reliant on modelled emissions calculations, we cannot draw specific conclusions on the role our own climate mitigation activities have played in achieving these results.</w:t>
      </w:r>
    </w:p>
    <w:p w14:paraId="306A2A46" w14:textId="77777777" w:rsidR="00F74792" w:rsidRDefault="00000000">
      <w:r>
        <w:t>Rabobank plans to more than triple its investments in this sector by 2030 compared to our base year 2020 Emission Reduction Targets The biggest potential for positive impact lies in helping our customers transition to low-emitting business models.</w:t>
      </w:r>
    </w:p>
    <w:p w14:paraId="73E49EF6" w14:textId="77777777" w:rsidR="00F74792" w:rsidRDefault="00000000">
      <w:r>
        <w:t>For each of these segments, we have identified scientific decarbonization pathways indicating how much and how rapidly each sector x region combination must reduce its emissions in order to align with the 1.</w:t>
      </w:r>
    </w:p>
    <w:p w14:paraId="24B333E9" w14:textId="77777777" w:rsidR="00F74792" w:rsidRDefault="00000000">
      <w:r>
        <w:t>We have set emissions reduction targets for each of these sector x region combinations and report annually on our progress in the table in Appendix 2.</w:t>
      </w:r>
    </w:p>
    <w:p w14:paraId="09DB44BE" w14:textId="77777777" w:rsidR="00F74792" w:rsidRDefault="00000000">
      <w:r>
        <w:t>In 2023, the CRREM decarbonization pathway was updated and we adjusted the targets for the relevant sector x region combinations accordingly, Residential Real Estate in the Netherlands and Commercial Real Estate in the Netherlands.</w:t>
      </w:r>
    </w:p>
    <w:p w14:paraId="3BE8F15C" w14:textId="77777777" w:rsidR="00F74792" w:rsidRDefault="00000000">
      <w:r>
        <w:lastRenderedPageBreak/>
        <w:t>In order to support Brims growth strategy and the ambition to contribute to shaping the future of a sustainable fisheries sector, four international banks consisting of Rabobank, DNB, Nordea and Íslandsbanki provided a Sustainability-Linked Loan of EUR 220 million with Rabobank acting as the Sustainability Coordinator.</w:t>
      </w:r>
    </w:p>
    <w:p w14:paraId="72802312" w14:textId="77777777" w:rsidR="00F74792" w:rsidRDefault="00000000">
      <w:r>
        <w:t>This SLL structure is the first transaction in wild catch including decarbonization targets on sea vessels.</w:t>
      </w:r>
    </w:p>
    <w:p w14:paraId="38CE62C6" w14:textId="77777777" w:rsidR="00F74792" w:rsidRDefault="00000000">
      <w:r>
        <w:t>However, target setting methodologies and emissions reporting for the sector are still in the early stages of development.</w:t>
      </w:r>
    </w:p>
    <w:p w14:paraId="60B01BB9" w14:textId="77777777" w:rsidR="00F74792" w:rsidRDefault="00000000">
      <w:r>
        <w:t>At the same time, there are no recognized tools or methodologies for financial institutions wishing to set emissions reduction targets for their F&amp;A portfolios.</w:t>
      </w:r>
    </w:p>
    <w:p w14:paraId="5F246138" w14:textId="77777777" w:rsidR="00F74792" w:rsidRDefault="00000000">
      <w:r>
        <w:t>Given the importance reducing agriculture emissions play in our climate ambitions, and our role as a leading global F&amp;A bank, Rabobank has taken a proactive approach to addressing these issues.</w:t>
      </w:r>
    </w:p>
    <w:p w14:paraId="11B29975" w14:textId="77777777" w:rsidR="00F74792" w:rsidRDefault="00000000">
      <w:r>
        <w:t>To start with, in 2021, Rabobank, together with the World Business Council for Sustainable Development, UNEP FI, PCAF, the Environmental Defense Fund and eight other global banks launched the Banking for Climate in Agriculture B4iCA initiative to develop guidelines for target setting and data collection for financial institutions with large F&amp;A portfolios.</w:t>
      </w:r>
    </w:p>
    <w:p w14:paraId="0BB5D780" w14:textId="77777777" w:rsidR="00F74792" w:rsidRDefault="00000000">
      <w:r>
        <w:t>In 2022, in our Road to Paris report, we attempted to use SBTi FLAG decarbonization pathways to set initial emissions reduction targets for the beef sectors in Australia and the US, the dairy sector in New Zealand and the Soy sector in Brazil.</w:t>
      </w:r>
    </w:p>
    <w:p w14:paraId="5A19139A" w14:textId="77777777" w:rsidR="00F74792" w:rsidRDefault="00000000">
      <w:r>
        <w:t>As different sectors in different countries use different carbon calculators, we have been working with external consultants to develop a way of standardizing the different results so that they are compatible with the scientific decarbonization pathways.</w:t>
      </w:r>
    </w:p>
    <w:p w14:paraId="0F11ED70" w14:textId="77777777" w:rsidR="00F74792" w:rsidRDefault="00000000">
      <w:r>
        <w:t>We will leverage these insights to help our customers become more sustainable as well as to improve the calculations of our customers' emissions, using farm level data.</w:t>
      </w:r>
    </w:p>
    <w:p w14:paraId="3DCEAA25" w14:textId="77777777" w:rsidR="00F74792" w:rsidRDefault="00000000">
      <w:r>
        <w:t>First of all we aim to help customers in their transition to a sustainable future with knowledge and insights into decarbonization through among others sectoral information meetings and RaboResearch, with financial products sustainabletransition finance to support their transitions, and by financing innovations that will accelerate their efforts.</w:t>
      </w:r>
    </w:p>
    <w:p w14:paraId="3C6219B8" w14:textId="77777777" w:rsidR="00F74792" w:rsidRDefault="00000000">
      <w:r>
        <w:t>Thirdly, we continuously optimize our portfolio for sustainability by making conscious choices in how we grow our portfolio and by developing policy that provides clarity on what we can and cannot finance.</w:t>
      </w:r>
    </w:p>
    <w:p w14:paraId="1A817E3D" w14:textId="77777777" w:rsidR="00F74792" w:rsidRDefault="00000000">
      <w:r>
        <w:t>Increased Expectations Enhanced international efforts and increased expectations to combat climate change push both banks and their customers to move toward more sustainable business models.</w:t>
      </w:r>
    </w:p>
    <w:p w14:paraId="74D4AE31" w14:textId="77777777" w:rsidR="00F74792" w:rsidRDefault="00000000">
      <w:r>
        <w:lastRenderedPageBreak/>
        <w:t>Increased sustainability disclosure and due diligence requirements will require companies to become more transparent about their sustainability impact and efforts.</w:t>
      </w:r>
    </w:p>
    <w:p w14:paraId="1E2B8B4F" w14:textId="77777777" w:rsidR="00F74792" w:rsidRDefault="00000000">
      <w:r>
        <w:t>Even though we have similar end goals, Rabobank also experiences this, working toward these is part of its sustainability strategy.</w:t>
      </w:r>
    </w:p>
    <w:p w14:paraId="078C12C5" w14:textId="77777777" w:rsidR="00F74792" w:rsidRDefault="00000000">
      <w:r>
        <w:t>Proactively responding to developments is key as we have a big role to play and can make substantial impact.</w:t>
      </w:r>
    </w:p>
    <w:p w14:paraId="23B8C478" w14:textId="77777777" w:rsidR="00F74792" w:rsidRDefault="00000000">
      <w:r>
        <w:t>Whereas financial institutions have generally looked primarily at the risk and return perspective when developing and offering products and services, Rabobank has started taking steps to include sustainability or impact perspectives.</w:t>
      </w:r>
    </w:p>
    <w:p w14:paraId="0255EC37" w14:textId="77777777" w:rsidR="00F74792" w:rsidRDefault="00000000">
      <w:r>
        <w:t>This approach can result in more favorable financing conditions a.</w:t>
      </w:r>
    </w:p>
    <w:p w14:paraId="3553AB6F" w14:textId="77777777" w:rsidR="00F74792" w:rsidRDefault="00000000">
      <w:r>
        <w:t>Discounts on interest margins for customers with improved sustainability performance.</w:t>
      </w:r>
    </w:p>
    <w:p w14:paraId="65E496AB" w14:textId="77777777" w:rsidR="00F74792" w:rsidRDefault="00000000">
      <w:r>
        <w:t>Customers who invest in technology or practices to reduce emissions, use of water, or any other sustainability goal benefit from a lower interest rate.</w:t>
      </w:r>
    </w:p>
    <w:p w14:paraId="0D750AB2" w14:textId="77777777" w:rsidR="00F74792" w:rsidRDefault="00000000">
      <w:r>
        <w:t>After all, by adopting new technologies and transitioning to sustainable practices, farmers can reduce their GHG emissions.</w:t>
      </w:r>
    </w:p>
    <w:p w14:paraId="5E2809B5" w14:textId="77777777" w:rsidR="00F74792" w:rsidRDefault="00000000">
      <w:r>
        <w:t>Therefore, Landsvirkjun was looking for a new relationship bank, to support their sustainability and energy transition strategy.</w:t>
      </w:r>
    </w:p>
    <w:p w14:paraId="410943B0" w14:textId="77777777" w:rsidR="00F74792" w:rsidRDefault="00000000">
      <w:r>
        <w:t>Through the Rabo Community Fund and Rabo Client Councils, various community initiatives are supported, for instance in Australia and New Zealand.</w:t>
      </w:r>
    </w:p>
    <w:p w14:paraId="1B769619" w14:textId="77777777" w:rsidR="00F74792" w:rsidRDefault="00000000">
      <w:r>
        <w:t>The initiatives are centered amongst others, around environmental sustainability, long-term industry capacity and agricultural education.</w:t>
      </w:r>
    </w:p>
    <w:p w14:paraId="2F690AC9" w14:textId="77777777" w:rsidR="00F74792" w:rsidRDefault="00000000">
      <w:r>
        <w:t>We started several initiatives to help customers and other stakeholders improve their knowledge of sustainability topics.</w:t>
      </w:r>
    </w:p>
    <w:p w14:paraId="6BCF825B" w14:textId="77777777" w:rsidR="00F74792" w:rsidRDefault="00000000">
      <w:r>
        <w:t>The transaction is labelled Green under Accionas sustainable finance framework.</w:t>
      </w:r>
    </w:p>
    <w:p w14:paraId="12C8C5E3" w14:textId="77777777" w:rsidR="00F74792" w:rsidRDefault="00000000">
      <w:r>
        <w:t>Project case 142 $ million Sustainability-linked loan for Craigmore Farming Partnership Craigmore has set bold climate aspirations, seeking to materially exceed the GHG reduction targets set by the Climate Change Commission through land use change and changes to existing operations.</w:t>
      </w:r>
    </w:p>
    <w:p w14:paraId="3B5C4D70" w14:textId="77777777" w:rsidR="00F74792" w:rsidRDefault="00000000">
      <w:r>
        <w:t>It will see Craigmore Farming Partnership, which operates dairy farms and horticulture properties across New Zealand, receive financial incentives as it delivers on targets linked to its sustainability strategy.</w:t>
      </w:r>
    </w:p>
    <w:p w14:paraId="5F138F76" w14:textId="77777777" w:rsidR="00F74792" w:rsidRDefault="00000000">
      <w:r>
        <w:lastRenderedPageBreak/>
        <w:t>Craigmore has set bold climate aspirations, seeking to materially exceed the GHG reduction targets set by the Climate Change Commission through land use change and changes to existing operations.</w:t>
      </w:r>
    </w:p>
    <w:p w14:paraId="0C73908A" w14:textId="77777777" w:rsidR="00F74792" w:rsidRDefault="00000000">
      <w:r>
        <w:t>Craigmores commitment to investing in new technologies and practices is also driving improvements in key areas beyond GHG emissions, such as water use efficiency and water quality.</w:t>
      </w:r>
    </w:p>
    <w:p w14:paraId="487CBC79" w14:textId="77777777" w:rsidR="00F74792" w:rsidRDefault="00000000">
      <w:r>
        <w:t>Thats why we signed up to the Paris Climate Agreement and committed to doing everything we can to achieve the climate goals.</w:t>
      </w:r>
    </w:p>
    <w:p w14:paraId="74574C97" w14:textId="10B6EB09" w:rsidR="00F74792" w:rsidRDefault="00000000">
      <w:r>
        <w:t>It is our ultimate aspiration to, intergrage nature in our way of working by 2030 and living in harmony with nature by 2050 in line with the Kunming-Montreal Global Biodiversity Framework</w:t>
      </w:r>
      <w:r w:rsidR="00B1522F">
        <w:t>.</w:t>
      </w:r>
    </w:p>
    <w:p w14:paraId="54222681" w14:textId="05E9E766" w:rsidR="00F74792" w:rsidRDefault="00000000">
      <w:r>
        <w:t>Since then, we have actively participated in leading initiatives, such as the Partnership for Biodiversity Accounting Financials and the Biodiversity Working Group at the Dutch Central Bank</w:t>
      </w:r>
      <w:r w:rsidR="00B1522F">
        <w:t>.</w:t>
      </w:r>
    </w:p>
    <w:p w14:paraId="3D2C010C" w14:textId="77777777" w:rsidR="00F74792" w:rsidRDefault="00000000">
      <w:r>
        <w:t>Government plans to reduce nitrogen emissions have caused great uncertainty in a number of sectors, not only in the agricultural sector.</w:t>
      </w:r>
    </w:p>
    <w:p w14:paraId="612ED7DC" w14:textId="7369EB36" w:rsidR="00F74792" w:rsidRDefault="00000000">
      <w:r>
        <w:t>This updated sector visions for the future, incorporate goals in the areas of nature</w:t>
      </w:r>
      <w:r w:rsidR="00B1522F">
        <w:t>, w</w:t>
      </w:r>
      <w:r>
        <w:t>ater and biodiversity, climate, and animal welfare towards 2040.</w:t>
      </w:r>
    </w:p>
    <w:p w14:paraId="5D1BF6E0" w14:textId="77777777" w:rsidR="00F74792" w:rsidRDefault="00000000">
      <w:r>
        <w:t>But whats important to us is which steps you can start to take from tomorrow to ensure that the vision becomes a reality in 2040, that youll have done everything necessary to meet our sustainability requirements by that time.</w:t>
      </w:r>
    </w:p>
    <w:p w14:paraId="14DAD50E" w14:textId="77777777" w:rsidR="00F74792" w:rsidRDefault="00000000">
      <w:r>
        <w:t>After farmers and the government failed to reach agreement on the future of agriculture, the bank decided to develop a number of propositions, such as favorable terms on loans if you invest in sustainability.</w:t>
      </w:r>
    </w:p>
    <w:p w14:paraId="7EA87EC7" w14:textId="17072620" w:rsidR="00F74792" w:rsidRDefault="00000000">
      <w:r>
        <w:t xml:space="preserve">In addition we need to acknowledge that our sphere of influence as a bank lies primarily on financing the transition, steering on the triangle risk, return and sustainability and our efforts to embed nature in our organization and core banking processes </w:t>
      </w:r>
      <w:r w:rsidR="005B3694">
        <w:t>g</w:t>
      </w:r>
      <w:r>
        <w:t>overnance, training, risk management, policies.</w:t>
      </w:r>
    </w:p>
    <w:p w14:paraId="2114A1B7" w14:textId="77777777" w:rsidR="00F74792" w:rsidRDefault="00000000">
      <w:r>
        <w:t>In 2023 we established a dedicated Nature team, within our sustainability department that in close cooperation and alignment with the Climate and People teams developed a 2030 ambition and a 2050 vision on Nature.</w:t>
      </w:r>
    </w:p>
    <w:p w14:paraId="2F8CA1E7" w14:textId="77777777" w:rsidR="00F74792" w:rsidRDefault="00000000">
      <w:r>
        <w:t>Therefore our main focus is on our financed activities Scope 3.</w:t>
      </w:r>
    </w:p>
    <w:p w14:paraId="412BEC24" w14:textId="77777777" w:rsidR="00F74792" w:rsidRDefault="00000000">
      <w:r>
        <w:t xml:space="preserve">Therefore, we are in the process of setting nature-related targets ourselves, following the relevant external guidance such as the United Nations Principles for Responsible Banking </w:t>
      </w:r>
      <w:r>
        <w:lastRenderedPageBreak/>
        <w:t>Nature Target Setting Guidance and the guidance of the Finance for Biodiversity Foundation, starting with so called practice targets.</w:t>
      </w:r>
    </w:p>
    <w:p w14:paraId="4D0EF705" w14:textId="77777777" w:rsidR="00F74792" w:rsidRDefault="00000000">
      <w:r>
        <w:t>Examples of the practice targets that we have already set, include, Governance, to have developed and implemented a clear governance and established senior management accountability by the end of 2024.</w:t>
      </w:r>
    </w:p>
    <w:p w14:paraId="522761C4" w14:textId="77777777" w:rsidR="00F74792" w:rsidRDefault="00000000">
      <w:r>
        <w:t>Strategy &amp; policy, to have developed a vision on Nature and integrated it in our overall sustainability strategy by the end of 2024.</w:t>
      </w:r>
    </w:p>
    <w:p w14:paraId="4BDE8C12" w14:textId="77777777" w:rsidR="00F74792" w:rsidRDefault="00000000">
      <w:r>
        <w:t>Risks &amp; opportunities, to have continued incorporating nature sensitive portfolios in our risk management approach.</w:t>
      </w:r>
    </w:p>
    <w:p w14:paraId="33B06FA6" w14:textId="77777777" w:rsidR="00F74792" w:rsidRDefault="00000000">
      <w:r>
        <w:t>To this end we will embed nature into all our core banking processes and governance and are steering on the triangle of risk, return as well as sustainability and progressively adapt our portfolio and policies towards alignment with the Kunming-Montreal Global Biodiversity Framework 2030 targets, in line with the best practices and based on the best available science.</w:t>
      </w:r>
    </w:p>
    <w:p w14:paraId="12B7F65E" w14:textId="77777777" w:rsidR="00F74792" w:rsidRDefault="00000000">
      <w:r>
        <w:t>Leveraging our banking activities, we mainly focus on, Avoiding impacts in Protected Areas and Key Biodiversity Areas.</w:t>
      </w:r>
    </w:p>
    <w:p w14:paraId="36733D6E" w14:textId="77777777" w:rsidR="00F74792" w:rsidRDefault="00000000">
      <w:r>
        <w:t>Healthy soils are also essential to improve resilience to the growing impact of extreme climate conditions.</w:t>
      </w:r>
    </w:p>
    <w:p w14:paraId="7E087129" w14:textId="77777777" w:rsidR="00F74792" w:rsidRDefault="00000000">
      <w:r>
        <w:t>Regenerative farming can both restore agricultural land and reduce environmental impact, including reducing greenhouse gas emissions.</w:t>
      </w:r>
    </w:p>
    <w:p w14:paraId="24EA27AF" w14:textId="77777777" w:rsidR="00F74792" w:rsidRDefault="00000000">
      <w:r>
        <w:t>These include training, demonstration farms, threeyear contracts, and better prices when the grower achieves high scores on the framework.</w:t>
      </w:r>
    </w:p>
    <w:p w14:paraId="46012CBB" w14:textId="77777777" w:rsidR="00F74792" w:rsidRDefault="00000000">
      <w:r>
        <w:t>By 2023, the objectives for arable farming have also been completed, and the biodiversity monitor for arable farming has been launched.</w:t>
      </w:r>
    </w:p>
    <w:p w14:paraId="361DD8B4" w14:textId="77777777" w:rsidR="00F74792" w:rsidRDefault="00000000">
      <w:r>
        <w:t>It can impact climate, through increased emissions or decreased carbon sequestration capacity, and nature through biodiversity loss, animal and vegetation.</w:t>
      </w:r>
    </w:p>
    <w:p w14:paraId="320F31E8" w14:textId="77777777" w:rsidR="00F74792" w:rsidRDefault="00000000">
      <w:r>
        <w:t>At customer level, we work on knowledge and financial product development to help customers towards a more sustainable direction, stimulating for example, climate and naturesmart farming practices.</w:t>
      </w:r>
    </w:p>
    <w:p w14:paraId="0BFA53D2" w14:textId="77777777" w:rsidR="00F74792" w:rsidRDefault="00000000">
      <w:r>
        <w:t>We have committed to the Financial Pledge for Biodiversity, an international platform of banks dedicated to eradicating deforestation by 2030 and aiming for a net-positive impact on nature and biodiversity.</w:t>
      </w:r>
    </w:p>
    <w:p w14:paraId="1D6E5E28" w14:textId="77777777" w:rsidR="00F74792" w:rsidRDefault="00000000">
      <w:r>
        <w:t>We provide financing that can help reduce deforestation risk such as Sustainability Linked Loans, blended finance solutions and Zero Deforestation Soy Fund.</w:t>
      </w:r>
    </w:p>
    <w:p w14:paraId="2E1EE738" w14:textId="77777777" w:rsidR="00F74792" w:rsidRDefault="00000000">
      <w:r>
        <w:lastRenderedPageBreak/>
        <w:t>A few examples of how we deal with deforestation It is part of our sustainability strategy to act on climate as well as to value nature.</w:t>
      </w:r>
    </w:p>
    <w:p w14:paraId="72991C24" w14:textId="77777777" w:rsidR="00F74792" w:rsidRDefault="00000000">
      <w:r>
        <w:t>This innovative blended finance solution offers financial incentives for farmers to adopt more sustainable farming practices, creating a positive environmental and economic impact downstream in the soy supply chain.</w:t>
      </w:r>
    </w:p>
    <w:p w14:paraId="76D9983F" w14:textId="77777777" w:rsidR="00F74792" w:rsidRDefault="00000000">
      <w:r>
        <w:t>COP28 At the 28th annual Conference of the Parties, Rabobank attended to discuss and negotiate measures to mitigate climate change and its consequences.</w:t>
      </w:r>
    </w:p>
    <w:p w14:paraId="14B29CCE" w14:textId="77777777" w:rsidR="00F74792" w:rsidRDefault="00000000">
      <w:r>
        <w:t>While governments are responsible for protecting human rights, companies, including Rabobank, must respect them in the way they organize and do business.</w:t>
      </w:r>
    </w:p>
    <w:p w14:paraId="23363E50" w14:textId="77777777" w:rsidR="00F74792" w:rsidRDefault="00000000">
      <w:r>
        <w:t>Rabobank is committed to the United Nations' Guiding Principles on Business and Human Rights and the OECD Guidelines for Multinational Enterprises on Responsible Business Conduct.</w:t>
      </w:r>
    </w:p>
    <w:p w14:paraId="730154BB" w14:textId="77777777" w:rsidR="00F74792" w:rsidRDefault="00000000">
      <w:r>
        <w:t>Updated our Global Policy on Diversity, Equity and Inclusion.</w:t>
      </w:r>
    </w:p>
    <w:p w14:paraId="151C89B0" w14:textId="77777777" w:rsidR="00F74792" w:rsidRDefault="00000000">
      <w:r>
        <w:t>Our approach will be integrated and holistically linked to our ambitions in Climate and Nature.</w:t>
      </w:r>
    </w:p>
    <w:p w14:paraId="02DAF33E" w14:textId="77777777" w:rsidR="00F74792" w:rsidRDefault="00000000">
      <w:r>
        <w:t>Key to the implementation plan will be to approach Climate, Nature and People holistically.</w:t>
      </w:r>
    </w:p>
    <w:p w14:paraId="24B23DE2" w14:textId="77777777" w:rsidR="00F74792" w:rsidRDefault="00000000">
      <w:r>
        <w:t>Over the past 50 years, the Foundation has been committed to structurally improving the economic and social standards of people in a disadvantaged position.</w:t>
      </w:r>
    </w:p>
    <w:p w14:paraId="64FCCEF5" w14:textId="77777777" w:rsidR="00F74792" w:rsidRDefault="00000000">
      <w:r>
        <w:t>As the impacts of climate change further threaten farmers livelihoods and their crops, Rabo Foundations financing aims to enhance productivity, build climate resilience, and increase incomes.</w:t>
      </w:r>
    </w:p>
    <w:p w14:paraId="519C8543" w14:textId="77777777" w:rsidR="00F74792" w:rsidRDefault="00000000">
      <w:r>
        <w:t>In the Netherlands, the Foundation finances over 150 social entrepreneurs who are leading the way in finding innovative solutions to promote a more inclusive labour market and transition to a more circular economy.</w:t>
      </w:r>
    </w:p>
    <w:p w14:paraId="7CB149A2" w14:textId="77777777" w:rsidR="00F74792" w:rsidRDefault="00000000">
      <w:r>
        <w:t>Through long-term farmer contracts to grow organic cacao, it promotes biodiversity and ensures fair labour practices on all farms.</w:t>
      </w:r>
    </w:p>
    <w:p w14:paraId="3862B414" w14:textId="77777777" w:rsidR="00F74792" w:rsidRDefault="00000000">
      <w:r>
        <w:t>They also provide training on good agronomic practices and financial literacy and ensure farmers have access to micro-finance to support their families year-round and not only during the harvest period.</w:t>
      </w:r>
    </w:p>
    <w:p w14:paraId="3DA33038" w14:textId="77777777" w:rsidR="00F74792" w:rsidRDefault="00000000">
      <w:r>
        <w:t>Increasing access to financial services will benefit farmer households and help achieve rural development and global food system change.</w:t>
      </w:r>
    </w:p>
    <w:p w14:paraId="387D9CBA" w14:textId="77777777" w:rsidR="00F74792" w:rsidRDefault="00000000">
      <w:r>
        <w:t>Employee Engagement Our employees are closely involved with our mission and committed to the strategic priorities of our bank.</w:t>
      </w:r>
    </w:p>
    <w:p w14:paraId="45F250E1" w14:textId="77777777" w:rsidR="00F74792" w:rsidRDefault="00000000">
      <w:r>
        <w:lastRenderedPageBreak/>
        <w:t>In order to constantly improve, we actively engage with our employees and seek their valuable input on a range of topics.</w:t>
      </w:r>
    </w:p>
    <w:p w14:paraId="7C15A240" w14:textId="77777777" w:rsidR="00F74792" w:rsidRDefault="00000000">
      <w:r>
        <w:t>Having identified the capabilities, skills and knowledge needed, we focus on fast recruitment, effective on-boarding, and a supportive environment that prioritizes well-being, development, and career opportunities.</w:t>
      </w:r>
    </w:p>
    <w:p w14:paraId="64FE5B46" w14:textId="77777777" w:rsidR="00F74792" w:rsidRDefault="00000000">
      <w:r>
        <w:t>Therefore, we have a Global Policy on Diversity, Equity, and Inclusion and a Global Standard on Diversity, Equity and Inclusion.</w:t>
      </w:r>
    </w:p>
    <w:p w14:paraId="0D00672C" w14:textId="77777777" w:rsidR="00F74792" w:rsidRDefault="00000000">
      <w:r>
        <w:t>Rabobank has taken various initiatives and actions to make its Diversity, Equity &amp; Inclusion strategy successful Introduction About This Report Foreword Rabobank at a Glance About Us Value Creation Better World Better Bank Appendix Disclaimer Our Impact in 2023 Better Bank 57 NVP HR Professional Award 2023 Rabobank won the NVP HR Professional Award 2023.</w:t>
      </w:r>
    </w:p>
    <w:p w14:paraId="6382B52F" w14:textId="77777777" w:rsidR="00F74792" w:rsidRDefault="00000000">
      <w:r>
        <w:t>The professional jury wrote in their detailed report, Rabobank has a clear vision on Diversity, Equity &amp; Inclusion and has translated this into a strategy aimed at structural and behavioral inclusion.</w:t>
      </w:r>
    </w:p>
    <w:p w14:paraId="286DC0BD" w14:textId="77777777" w:rsidR="00F74792" w:rsidRDefault="00000000">
      <w:r>
        <w:t>Building the community also contributes to awareness communities are ways to start conversations and, because everyone knows each other, the quality of conversations continues to improve.</w:t>
      </w:r>
    </w:p>
    <w:p w14:paraId="1587E562" w14:textId="77777777" w:rsidR="00F74792" w:rsidRDefault="00000000">
      <w:r>
        <w:t>Our employees are key to achieving these goals.</w:t>
      </w:r>
    </w:p>
    <w:p w14:paraId="1977A876" w14:textId="77777777" w:rsidR="00F74792" w:rsidRDefault="00000000">
      <w:r>
        <w:t>We, therefore, ensure that employees are engaged, that they can work anywhere, and that they are supported with tools and processes that empower them to focus as much as possible on their core tasks.</w:t>
      </w:r>
    </w:p>
    <w:p w14:paraId="1E8671C3" w14:textId="77777777" w:rsidR="00F74792" w:rsidRDefault="00000000">
      <w:r>
        <w:t>Rapid technological developments impact how we can achieve our goals for the future.</w:t>
      </w:r>
    </w:p>
    <w:p w14:paraId="26C716D7" w14:textId="77777777" w:rsidR="00F74792" w:rsidRDefault="00000000">
      <w:r>
        <w:t>Positioning ourselves as an innovative IT employer where employees can work on their own projects and develop themselves professionally, is what scored us top marks.</w:t>
      </w:r>
    </w:p>
    <w:p w14:paraId="3EC3F725" w14:textId="77777777" w:rsidR="00F74792" w:rsidRDefault="00000000">
      <w:r>
        <w:t>We implemented several sustainability improvements to increase power efficiency, lowering air pressure under the data centre floors, increasing the temperature and improving the airflow.</w:t>
      </w:r>
    </w:p>
    <w:p w14:paraId="7EED1364" w14:textId="77777777" w:rsidR="00F74792" w:rsidRDefault="00000000">
      <w:r>
        <w:t>FoodBytes!Digital Foodbytes is Rabobanks global platform to help corporates in finding innovative F&amp;A solutions matching their sustainability goals.</w:t>
      </w:r>
    </w:p>
    <w:p w14:paraId="680DD212" w14:textId="77777777" w:rsidR="00F74792" w:rsidRDefault="00000000">
      <w:r>
        <w:t>On the targets we have set Following the most recent IPCC report also referred to by NZBA, we commit to a net-zero CO2 emissions portfolio and substantially reduced non-C02 GHG emissions by 2050 as from 2024, in our climate disclosures, we plan to split our GHG emissions into CO2 emissions and non-CO2 emissions to make it easier to track overall progress towards our commitments.</w:t>
      </w:r>
    </w:p>
    <w:p w14:paraId="7540E835" w14:textId="77777777" w:rsidR="00F74792" w:rsidRDefault="00000000">
      <w:r>
        <w:lastRenderedPageBreak/>
        <w:t>The emissions intensity targets we have set for sector x region combinations on the other hand, do not say anything about the total amount of GHG gasses being emitted.</w:t>
      </w:r>
    </w:p>
    <w:p w14:paraId="56193A21" w14:textId="77777777" w:rsidR="00F74792" w:rsidRDefault="00000000">
      <w:r>
        <w:t>The implication is that despite progress on the intensity-based targets our absolute emissions could still increase.</w:t>
      </w:r>
    </w:p>
    <w:p w14:paraId="20D7EE04" w14:textId="77777777" w:rsidR="00F74792" w:rsidRDefault="00000000">
      <w:r>
        <w:t>According to the NZBA guidelines, banks GHG reduction targets should include customers Scope 1, 2 &amp; 3 emissions where relevant and data is available.</w:t>
      </w:r>
    </w:p>
    <w:p w14:paraId="16D2C3C2" w14:textId="77777777" w:rsidR="00F74792" w:rsidRDefault="00000000">
      <w:r>
        <w:t>There is considerable discussion surrounding the viability of banks disclosing and setting targets for customer Scope 3 emissions, due to the enormous variety and complexity of supply chains involved.</w:t>
      </w:r>
    </w:p>
    <w:p w14:paraId="2EAC94B6" w14:textId="77777777" w:rsidR="00F74792" w:rsidRDefault="00000000">
      <w:r>
        <w:t>We will disclose Wholesale customer Scope 3 emissions as they become available, but we will focus our reduction efforts on our farming customers Scope 1 &amp; 2 emissions, as this is where we have more influence.</w:t>
      </w:r>
    </w:p>
    <w:p w14:paraId="2DD1DC8A" w14:textId="77777777" w:rsidR="00F74792" w:rsidRDefault="00000000">
      <w:r>
        <w:t>Although we are fully committed to the pledge we made, we are dependent on other stakeholders in achieving their goals.</w:t>
      </w:r>
    </w:p>
    <w:p w14:paraId="67066C7A" w14:textId="77777777" w:rsidR="00F74792" w:rsidRDefault="00000000">
      <w:r>
        <w:t>We are working on disclosing and tracking effort-based targets on greentransition financing and client engagement activities in order to provide quantitative measures of our efforts to achieve our climate target.</w:t>
      </w:r>
    </w:p>
    <w:p w14:paraId="7C7C760F" w14:textId="77777777" w:rsidR="00F74792" w:rsidRDefault="00000000">
      <w:r>
        <w:t>The climate-related disclosures in this Impact Report rely in part on 2022 data for emissions estimates.</w:t>
      </w:r>
    </w:p>
    <w:sectPr w:rsidR="00F747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623653857">
    <w:abstractNumId w:val="8"/>
  </w:num>
  <w:num w:numId="2" w16cid:durableId="987442494">
    <w:abstractNumId w:val="6"/>
  </w:num>
  <w:num w:numId="3" w16cid:durableId="1083911227">
    <w:abstractNumId w:val="5"/>
  </w:num>
  <w:num w:numId="4" w16cid:durableId="1190072434">
    <w:abstractNumId w:val="4"/>
  </w:num>
  <w:num w:numId="5" w16cid:durableId="1740637336">
    <w:abstractNumId w:val="7"/>
  </w:num>
  <w:num w:numId="6" w16cid:durableId="1471053446">
    <w:abstractNumId w:val="3"/>
  </w:num>
  <w:num w:numId="7" w16cid:durableId="366220464">
    <w:abstractNumId w:val="2"/>
  </w:num>
  <w:num w:numId="8" w16cid:durableId="2088182564">
    <w:abstractNumId w:val="1"/>
  </w:num>
  <w:num w:numId="9" w16cid:durableId="177205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5B3694"/>
    <w:rsid w:val="00AA1D8D"/>
    <w:rsid w:val="00B1522F"/>
    <w:rsid w:val="00B47730"/>
    <w:rsid w:val="00CB0664"/>
    <w:rsid w:val="00F456A1"/>
    <w:rsid w:val="00F74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275C6"/>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2025-08-12T14:27:00Z</dcterms:modified>
  <cp:category/>
</cp:coreProperties>
</file>