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861BC" w14:textId="77777777" w:rsidR="00084B18" w:rsidRDefault="00000000">
      <w:r>
        <w:t>Senior representatives and subject matter experts from Finance, Risk, and Sustainability are responsible for Rabobank's risk disclosures and govern its respective risk disclosure processes.</w:t>
      </w:r>
    </w:p>
    <w:p w14:paraId="7A7A6F31" w14:textId="77777777" w:rsidR="00084B18" w:rsidRDefault="00000000">
      <w:r>
        <w:t>However, the Pillar 3 disclosures are subject to Rabobanks internal controls and validation mechanisms, which aim to ensure the correctness and completeness of the information disclosed in this report as well as compliance with the applicable laws and regulations.</w:t>
      </w:r>
    </w:p>
    <w:p w14:paraId="46089B6B" w14:textId="77777777" w:rsidR="00084B18" w:rsidRDefault="00000000">
      <w:r>
        <w:t>It is the process that determines the amount of capital Rabobanks Managing Board deems adequate to execute its strategy and business plan over the next five years.</w:t>
      </w:r>
    </w:p>
    <w:p w14:paraId="533F3202" w14:textId="77777777" w:rsidR="00084B18" w:rsidRDefault="00000000">
      <w:r>
        <w:t>The ICAAP is a continuous process, which makes use of the regular, business-as-usual governance for the approval of its major elements, such as the risk management framework and risk appetite framework.</w:t>
      </w:r>
    </w:p>
    <w:p w14:paraId="3A6E6446" w14:textId="77777777" w:rsidR="00084B18" w:rsidRDefault="00000000">
      <w:r>
        <w:t>Sound risk management enables us to monitor key metrics to serve our customers and satisfy our stakeholders in a controlled manner while also supporting our continuity as a bank.</w:t>
      </w:r>
    </w:p>
    <w:p w14:paraId="38099A56" w14:textId="77777777" w:rsidR="00084B18" w:rsidRDefault="00000000">
      <w:r>
        <w:t>We employ risk activities and define controls to manage the material risks based on a solid risk management framework, aligned with our conscious risk taking.</w:t>
      </w:r>
    </w:p>
    <w:p w14:paraId="6372A4F7" w14:textId="77777777" w:rsidR="00084B18" w:rsidRDefault="00000000">
      <w:r>
        <w:t>We continuously evaluate the effectiveness of the risk management framework and adapt to the latest developments and requirements.</w:t>
      </w:r>
    </w:p>
    <w:p w14:paraId="402F7BC3" w14:textId="77777777" w:rsidR="00084B18" w:rsidRDefault="00000000">
      <w:r>
        <w:t>In the end, our risk management activities are designed to help realize the ambitions of the bank, our customers and stakeholders within the boundaries of our risk appetite.</w:t>
      </w:r>
    </w:p>
    <w:p w14:paraId="78ABAE1F" w14:textId="77777777" w:rsidR="00084B18" w:rsidRDefault="00000000">
      <w:r>
        <w:t>Managing Risks Our risk management activities are integrated in our strategy design and execution.</w:t>
      </w:r>
    </w:p>
    <w:p w14:paraId="6D43C3A2" w14:textId="77777777" w:rsidR="00084B18" w:rsidRDefault="00000000">
      <w:r>
        <w:t>The risk governance supports the realization of our strategic priorities and is based on regulatory guidelines and market practices.</w:t>
      </w:r>
    </w:p>
    <w:p w14:paraId="5BB51F1A" w14:textId="77777777" w:rsidR="00084B18" w:rsidRDefault="00000000">
      <w:r>
        <w:t>Global policies support their execution of the business strategy, adherence to the risk appetite, and oversight of risks.</w:t>
      </w:r>
    </w:p>
    <w:p w14:paraId="4E770F06" w14:textId="77777777" w:rsidR="00084B18" w:rsidRDefault="00000000">
      <w:r>
        <w:t>We promote risk culture, risk leadership, and a good balance between risk, reward, and sustainability impact as part of our groupwide strategy.</w:t>
      </w:r>
    </w:p>
    <w:p w14:paraId="48882635" w14:textId="77777777" w:rsidR="00084B18" w:rsidRDefault="00000000">
      <w:r>
        <w:t>We identify and divide risks into three dimensions, Strategic drivers, major developments that threaten to disrupt the assumptions and outcomes at the core of Rabobank's strategy.</w:t>
      </w:r>
    </w:p>
    <w:p w14:paraId="2A2E8E9B" w14:textId="77777777" w:rsidR="00084B18" w:rsidRDefault="00000000">
      <w:r>
        <w:t>Additional to the traditional outside-in perspective on risks facing the bank, the inside-out perspective is assessed in a materiality assessment, where the bank and its clients or suppliers could have a material impact on a wide array of environmental, social and governance topics.</w:t>
      </w:r>
    </w:p>
    <w:p w14:paraId="5721917F" w14:textId="77777777" w:rsidR="00084B18" w:rsidRDefault="00000000">
      <w:r>
        <w:lastRenderedPageBreak/>
        <w:t>The combination of a breach management process and risk governance ensures we can have an adequate and timely response to a risk that is pressuring or has even exceeded our risk appetite.</w:t>
      </w:r>
    </w:p>
    <w:p w14:paraId="3DD79006" w14:textId="77777777" w:rsidR="00084B18" w:rsidRDefault="00000000">
      <w:r>
        <w:t>Pillar 3 Year report 2023 Pillar 3 20 Group Risk Appetite Statement Risk Type Definition Group Risk Appetite Risk Appetite Indicators ESG, Environmental, Social and Governance The risk of any negative impact on the institution stemming from current or prospective impacts of environmental, social, and governance factors on its counterparties or invested assets.</w:t>
      </w:r>
    </w:p>
    <w:p w14:paraId="11BD1CAF" w14:textId="77777777" w:rsidR="00084B18" w:rsidRDefault="00000000">
      <w:r>
        <w:t>Rabobank is leading efforts to embed assessments of ESG risks into our risk management framework.</w:t>
      </w:r>
    </w:p>
    <w:p w14:paraId="1F022BA2" w14:textId="77777777" w:rsidR="00084B18" w:rsidRDefault="00000000">
      <w:r>
        <w:t>Our ambitions, commitments, and regulatory and supervisory requirements are the drivers to embed ESG risk into our business model and strategy, governance and risk appetite, risk management, and disclosures.</w:t>
      </w:r>
    </w:p>
    <w:p w14:paraId="3150B953" w14:textId="77777777" w:rsidR="00084B18" w:rsidRDefault="00000000">
      <w:r>
        <w:t>Rabobank is leading efforts to embed assessments of ESG risks into our risk management framework.</w:t>
      </w:r>
    </w:p>
    <w:p w14:paraId="00E265F8" w14:textId="77777777" w:rsidR="00084B18" w:rsidRDefault="00000000">
      <w:r>
        <w:t>Our ambitions, commitments, regulatory and supervisory requirements are the drivers to embed ESG risk into our business model and strategy, governance, and risk appetite, risk management and disclosures.</w:t>
      </w:r>
    </w:p>
    <w:p w14:paraId="086E9325" w14:textId="77777777" w:rsidR="00084B18" w:rsidRDefault="00000000">
      <w:r>
        <w:t>In carrying out its duties, the Risk Management function maintains a balance between independence from the business lines and close cooperation with them.</w:t>
      </w:r>
    </w:p>
    <w:p w14:paraId="150FA0D3" w14:textId="77777777" w:rsidR="00084B18" w:rsidRDefault="00000000">
      <w:r>
        <w:t>Enables the bank to become and remain compliant regarding all applicable national and international laws and regulations as well as professional standards and accepted business practices related to the compliance themes and, Provides compliance governance.</w:t>
      </w:r>
    </w:p>
    <w:p w14:paraId="13998E57" w14:textId="77777777" w:rsidR="00084B18" w:rsidRDefault="00000000">
      <w:r>
        <w:t>Pillar 3 Year report 2023 Pillar 3 22 Committees Rabobank has various risk committees to monitor and enforce Rabobanks risk management framework and risk appetite.</w:t>
      </w:r>
    </w:p>
    <w:p w14:paraId="04F66CF9" w14:textId="77777777" w:rsidR="00084B18" w:rsidRDefault="00000000">
      <w:r>
        <w:t>These risk committees are chaired by Chief Risk Officers or other representatives of the Risk Management Function.</w:t>
      </w:r>
    </w:p>
    <w:p w14:paraId="7CBF419E" w14:textId="77777777" w:rsidR="00084B18" w:rsidRDefault="00000000">
      <w:r>
        <w:t>The responsibilities of the RMC Group include, but are not limited to, advising the Managing Board on Rabobank's risk appetite, enforcing Rabobanks risk appetite framework, monitoring risk exposures against risk limits, and monitoring Rabobank's aggregated risk profile.</w:t>
      </w:r>
    </w:p>
    <w:p w14:paraId="50453296" w14:textId="77777777" w:rsidR="00084B18" w:rsidRDefault="00000000">
      <w:r>
        <w:t>The RMC Group ensures the risk management framework is up to date as required by law and external regulations.</w:t>
      </w:r>
    </w:p>
    <w:p w14:paraId="09B28108" w14:textId="77777777" w:rsidR="00084B18" w:rsidRDefault="00000000">
      <w:r>
        <w:lastRenderedPageBreak/>
        <w:t>The models are the basis for internal measures of risk Pillar 2 framework and are simultaneously key inputs for calculating the minimum regulatory capital requirements according to the Basel III framework.</w:t>
      </w:r>
    </w:p>
    <w:p w14:paraId="200CCFE6" w14:textId="77777777" w:rsidR="00084B18" w:rsidRDefault="00000000">
      <w:r>
        <w:t>Validation guidelines are specified to ensure objectivity, consistency, transparency, and continuity.</w:t>
      </w:r>
    </w:p>
    <w:p w14:paraId="269062AE" w14:textId="77777777" w:rsidR="00084B18" w:rsidRDefault="00000000">
      <w:r>
        <w:t>Moreover, climate risk stress testing provides insights regarding the feasibility of emission targets by forecasting financed emissions.</w:t>
      </w:r>
    </w:p>
    <w:p w14:paraId="0C266290" w14:textId="77777777" w:rsidR="00084B18" w:rsidRDefault="00000000">
      <w:r>
        <w:t>Rabobank's Managing Board is ultimately responsible for the Rabobank Stress Testing Framework and its execution, while the RMC Group acts as the delegated principal.</w:t>
      </w:r>
    </w:p>
    <w:p w14:paraId="379FEE61" w14:textId="77777777" w:rsidR="00084B18" w:rsidRDefault="00000000">
      <w:r>
        <w:t>The analysis aims at assessing the resilience of the financial sector in line with the Fit-for-55 package, and to gain insights into the capacity of the financial system to support the transition to a lower carbon economy under conditions of stress.</w:t>
      </w:r>
    </w:p>
    <w:p w14:paraId="0D88BE55" w14:textId="77777777" w:rsidR="00084B18" w:rsidRDefault="00000000">
      <w:r>
        <w:t>In addition, risks in the credit portfolio are measured and monitored bank-wide and at entity level on a monthly basis, as well as bimonthly, quarterly, and ad-hoc portfolio reporting and analysis, with specific attention to risk developments and concentrations.</w:t>
      </w:r>
    </w:p>
    <w:p w14:paraId="51FA741B" w14:textId="77777777" w:rsidR="00084B18" w:rsidRDefault="00000000">
      <w:r>
        <w:t>Bank-wide central credit risk policy and standards that are further detailed in underlying specific credit risk procedures and local policies andor manuals support the execution of the business strategy, adherence to the risk appetite, and oversight of risks.</w:t>
      </w:r>
    </w:p>
    <w:p w14:paraId="1045169D" w14:textId="77777777" w:rsidR="00084B18" w:rsidRDefault="00000000">
      <w:r>
        <w:t>EU CRA, General Qualitative Information About Credit Risk Credit Risk Management Credit Acceptance Rabobanks credit acceptance policy is typified by a prudent assessment of customers and their ability to repay the loan that was granted continuity perspective.</w:t>
      </w:r>
    </w:p>
    <w:p w14:paraId="4581409A" w14:textId="77777777" w:rsidR="00084B18" w:rsidRDefault="00000000">
      <w:r>
        <w:t>An important starting point in the acceptance policy for business loans is that clients must have an acceptable integrity profile.</w:t>
      </w:r>
    </w:p>
    <w:p w14:paraId="0A983D4C" w14:textId="77777777" w:rsidR="00084B18" w:rsidRDefault="00000000">
      <w:r>
        <w:t>In addition, Rabobank closely monitors developments in the business sectors in which its customers operate and carefully assesses the financial performance of its customers.</w:t>
      </w:r>
    </w:p>
    <w:p w14:paraId="0D744EED" w14:textId="77777777" w:rsidR="00084B18" w:rsidRDefault="00000000">
      <w:r>
        <w:t>We maintain sustainability guidelines for use in the credit application process.</w:t>
      </w:r>
    </w:p>
    <w:p w14:paraId="4204840F" w14:textId="77777777" w:rsidR="00084B18" w:rsidRDefault="00000000">
      <w:r>
        <w:t>The credit approval authorities play a key role in ensuring consistency among Rabobank standards of credit analysis, compliance with the overall Rabobank credit policy and standards, and consistent use of the rating models and underwriting criteria.</w:t>
      </w:r>
    </w:p>
    <w:p w14:paraId="424B0280" w14:textId="77777777" w:rsidR="00084B18" w:rsidRDefault="00000000">
      <w:r>
        <w:t>This department is responsible for the risk management of exposure on financial institutions and sovereignscountries.</w:t>
      </w:r>
    </w:p>
    <w:p w14:paraId="52ABB42D" w14:textId="77777777" w:rsidR="00084B18" w:rsidRDefault="00000000">
      <w:r>
        <w:t>This parameter framework is also used for assigning accountability regarding the Credit Risk Management with respect to the Obligor.</w:t>
      </w:r>
    </w:p>
    <w:p w14:paraId="202C0DB9" w14:textId="77777777" w:rsidR="00084B18" w:rsidRDefault="00000000">
      <w:r>
        <w:lastRenderedPageBreak/>
        <w:t>Risk reporting is reconciled with regulatory financial and common reporting data FINREP and COREP both at entity and Group level by Risk Management.</w:t>
      </w:r>
    </w:p>
    <w:p w14:paraId="551730D9" w14:textId="77777777" w:rsidR="00084B18" w:rsidRDefault="00000000">
      <w:r>
        <w:t>When unexpected external developments or data quality issues are not sufficiently covered by the outcome of the ECL models, an adjustment will be made.</w:t>
      </w:r>
    </w:p>
    <w:p w14:paraId="75B9C8F9" w14:textId="77777777" w:rsidR="00084B18" w:rsidRDefault="00000000">
      <w:r>
        <w:t>The criteria used to assess when the IRB approach does not need to be applied to a credit portfolio are described in the internal standards and procedures developed in accordance with the regulatory framework.</w:t>
      </w:r>
    </w:p>
    <w:p w14:paraId="735FF7FB" w14:textId="77777777" w:rsidR="00084B18" w:rsidRDefault="00000000">
      <w:r>
        <w:t>This increase was due to the transfer of exposures in the portfolios Central governments or central banks, Multilateral Development Banks, and Institutions from A-IRB to SA, in line with our capital strategy.</w:t>
      </w:r>
    </w:p>
    <w:p w14:paraId="43B95E3B" w14:textId="77777777" w:rsidR="00084B18" w:rsidRDefault="00000000">
      <w:r>
        <w:t>This increase was due to the transfer of exposures in the portfolios Central governments or central banks, Multilateral Development Banks and Institutions from A-IRB to SA, in line with our capital strategy.</w:t>
      </w:r>
    </w:p>
    <w:p w14:paraId="3960D5A0" w14:textId="77777777" w:rsidR="00084B18" w:rsidRDefault="00000000">
      <w:r>
        <w:t>The same parameters are used in the Pillar 2 framework, in various stress tests, and in the calculation of the minimum regulatory capital requirements and the Risk Adjusted Return On Capital metric.</w:t>
      </w:r>
    </w:p>
    <w:p w14:paraId="52F02CF2" w14:textId="77777777" w:rsidR="00084B18" w:rsidRDefault="00000000">
      <w:r>
        <w:t>Rabobank combines CRR CRD IV compliance activities with a Pillar 2 framework.</w:t>
      </w:r>
    </w:p>
    <w:p w14:paraId="62F9273D" w14:textId="77777777" w:rsidR="00084B18" w:rsidRDefault="00000000">
      <w:r>
        <w:t>EU CCRA Qualitative Disclosure Related to CCR Counterparty Credit Risk Limits &amp; Exposures Credit risk is managed within a framework that includes the overall Rabobank risk appetite, credit policies, product rules, systems, and overarching regulatory requirements.</w:t>
      </w:r>
    </w:p>
    <w:p w14:paraId="0B633B83" w14:textId="77777777" w:rsidR="00084B18" w:rsidRDefault="00000000">
      <w:r>
        <w:t>The IMM model was extended with a separate Credit Value Adjustment capital model as per Advanced CVA regulatory requirements to address potential mark-to-market losses due to an increase in a client's Credit Default Swap premium.</w:t>
      </w:r>
    </w:p>
    <w:p w14:paraId="78EEB6BA" w14:textId="77777777" w:rsidR="00084B18" w:rsidRDefault="00000000">
      <w:r>
        <w:t>One of Rabobanks strategic cornerstones is to remain a rock-solid bank, which is reflected in an optimal balance sheet approach, prudent liquidity risk management, budgeting, procedures, and measurements.</w:t>
      </w:r>
    </w:p>
    <w:p w14:paraId="78E4E8DD" w14:textId="77777777" w:rsidR="00084B18" w:rsidRDefault="00000000">
      <w:r>
        <w:t>Rabobank's risk profile is articulated in the Risk Appetite Statement, which includes qualitative statements as well as quantitative measures expressed relative to earnings, capital, risk measures, liquidity and other relevant measures as appropriate and is approved by the Managing Board.</w:t>
      </w:r>
    </w:p>
    <w:p w14:paraId="00C66AB0" w14:textId="77777777" w:rsidR="00084B18" w:rsidRDefault="00000000">
      <w:r>
        <w:t>The three Lines of Responsibilities have a crucial governance role in the liquidity risk management.</w:t>
      </w:r>
    </w:p>
    <w:p w14:paraId="56F793EA" w14:textId="77777777" w:rsidR="00084B18" w:rsidRDefault="00000000">
      <w:r>
        <w:t>The 2LoR provides risk and compliance governance, challenges and advice on risk taking, monitors the risk profile and owns the risk framework.</w:t>
      </w:r>
    </w:p>
    <w:p w14:paraId="72F257C4" w14:textId="77777777" w:rsidR="00084B18" w:rsidRDefault="00000000">
      <w:r>
        <w:lastRenderedPageBreak/>
        <w:t>Throughout 2023, Rabobanks liquidity buffer remained at a prudent level and the LCR was managed comfortably above the regulatory limits and internal targets.</w:t>
      </w:r>
    </w:p>
    <w:p w14:paraId="561DE4C0" w14:textId="77777777" w:rsidR="00084B18" w:rsidRDefault="00000000">
      <w:r>
        <w:t>Treasury is responsible for implementing the decisions of this committee, while Risk Management is responsible for providing risk governance and framework, challenging and advising on risk-taking, and monitoring of the interest rate risk position.</w:t>
      </w:r>
    </w:p>
    <w:p w14:paraId="53DD7ED4" w14:textId="77777777" w:rsidR="00084B18" w:rsidRDefault="00000000">
      <w:r>
        <w:t>SOT is a regulatory prescribed measure and measures Gap Risk and Option Risk.</w:t>
      </w:r>
    </w:p>
    <w:p w14:paraId="73576620" w14:textId="77777777" w:rsidR="00084B18" w:rsidRDefault="00000000">
      <w:r>
        <w:t>EU IRRBB1 Interest rate risks of non-trading book activities Changes of the economic value of equity Changes of the net interest income Supervisory shock scenarios Current period Last period Current period Last period Parallel up 4,182 Parallel down 1,419 Steepener 1,209 484 Flattener 130 345 Short rates up 943 1,063 Short rates down 468 574 Pending the publication by the EU of the Regulatory Technical Standard on SOT, the change of the net interest income is based on the shock applied in Rabobanks internal risk management.</w:t>
      </w:r>
    </w:p>
    <w:p w14:paraId="7AF5D507" w14:textId="77777777" w:rsidR="00084B18" w:rsidRDefault="00000000">
      <w:r>
        <w:t>Next to the limits mentioned above, an extensive system of limits and trading controls at lower level is in place to ensure transparency and prevent risks from being overlooked.</w:t>
      </w:r>
    </w:p>
    <w:p w14:paraId="43FA740A" w14:textId="77777777" w:rsidR="00084B18" w:rsidRDefault="00000000">
      <w:r>
        <w:t>Risk developments that require ad hoc attention are communicated accordingly outside the regular reporting cycle.</w:t>
      </w:r>
    </w:p>
    <w:p w14:paraId="7A427F44" w14:textId="77777777" w:rsidR="00084B18" w:rsidRDefault="00000000">
      <w:r>
        <w:t>Rabobank has the approval from the regulator to use the Internal Method Approach for all portfolios classified as regulatory trading book, for both general risk and specific risk.</w:t>
      </w:r>
    </w:p>
    <w:p w14:paraId="64195986" w14:textId="77777777" w:rsidR="00084B18" w:rsidRDefault="00000000">
      <w:r>
        <w:t>Rabobank uses the Standardized Approach to calculate the own funds requirements for FX risk and for commodity risk in the regulatory banking book.</w:t>
      </w:r>
    </w:p>
    <w:p w14:paraId="3B8C5341" w14:textId="77777777" w:rsidR="00084B18" w:rsidRDefault="00000000">
      <w:r>
        <w:t>Rabobank has a risk management framework in place, which is mandatory for all business units including subsidiaries and central support functions within the organization.</w:t>
      </w:r>
    </w:p>
    <w:p w14:paraId="1162BBD5" w14:textId="77777777" w:rsidR="00084B18" w:rsidRDefault="00000000">
      <w:r>
        <w:t>The risk management framework sets requirements for risk and control activities, enabling the organization to manage its operational risks efficiently and effectively using a forward-looking and integrated approach.</w:t>
      </w:r>
    </w:p>
    <w:p w14:paraId="13CC9E58" w14:textId="77777777" w:rsidR="00084B18" w:rsidRDefault="00000000">
      <w:r>
        <w:t>Clients, Products, and Business Practices Failure by the firm to exercise due care in its dealings with its customers and clients, conducting, and contract breaches by the firm and its staff, conflicts of interests, inappropriate products, and business practices, as well as compliance or governance breaches.</w:t>
      </w:r>
    </w:p>
    <w:p w14:paraId="2BE33FC8" w14:textId="77777777" w:rsidR="00084B18" w:rsidRDefault="00000000">
      <w:r>
        <w:t>Internal Fraud Losses incurred when an internal employee, acting alone or with either internal or external accomplices, obtains an undue personal benefit at the expense of the firm or at the expense of a customer or client whose property the firm is responsible for safeguarding and in doing so violates a legal rule governing personal behaviour as opposed to commercial.</w:t>
      </w:r>
    </w:p>
    <w:p w14:paraId="48129CC5" w14:textId="77777777" w:rsidR="00084B18" w:rsidRDefault="00000000">
      <w:r>
        <w:lastRenderedPageBreak/>
        <w:t>The remuneration policy takes into consideration the international context of the markets in which Rabobank is active as well as the public interest.</w:t>
      </w:r>
    </w:p>
    <w:p w14:paraId="0D15057D" w14:textId="77777777" w:rsidR="00084B18" w:rsidRDefault="00000000">
      <w:r>
        <w:t>It is also in line with Rabobank Group's risk appetite and supports robust and effective risk management focused on the Group's longterm performance.</w:t>
      </w:r>
    </w:p>
    <w:p w14:paraId="7A8050AB" w14:textId="77777777" w:rsidR="00084B18" w:rsidRDefault="00000000">
      <w:r>
        <w:t>The four basic principles underpinning our remuneration policy are fairness and consistency, alignment with performance, the external perspective, and focus on total reward.</w:t>
      </w:r>
    </w:p>
    <w:p w14:paraId="27A39C2B" w14:textId="77777777" w:rsidR="00084B18" w:rsidRDefault="00000000">
      <w:r>
        <w:t>Every year, the Group Remuneration Policy is evaluated and adjusted.</w:t>
      </w:r>
    </w:p>
    <w:p w14:paraId="4AAAF49D" w14:textId="77777777" w:rsidR="00084B18" w:rsidRDefault="00000000">
      <w:r>
        <w:t>For any material exception of the Group Remuneration Policy, the approval of the Rabobank Supervisory Board is mandatory.</w:t>
      </w:r>
    </w:p>
    <w:p w14:paraId="1B770075" w14:textId="77777777" w:rsidR="00084B18" w:rsidRDefault="00000000">
      <w:r>
        <w:t>The Managing Board is authorized to reclaim, either in whole or in part, the variable pay which has already been paid to either employees or former employees clawback, if, the payment was made on the basis of incorrect or misleading information or on the basis of fraudulent actions committed by the employee concerned.</w:t>
      </w:r>
    </w:p>
    <w:p w14:paraId="3F593EAD" w14:textId="77777777" w:rsidR="00084B18" w:rsidRDefault="00000000">
      <w:r>
        <w:t>Pillar 3 Year report 2023 Pillar 3 132 Remuneration Rules for Monitoring Functions The remuneration of Identified Staff in a control role, referred to as monitoring functions HR, Control, Risk Management, Compliance, Legal and Internal Audit, is bound by strict conditions.</w:t>
      </w:r>
    </w:p>
    <w:p w14:paraId="5DC65933" w14:textId="77777777" w:rsidR="00084B18" w:rsidRDefault="00000000">
      <w:r>
        <w:t>Variable pay is only paid to employees in monitoring functions when at least 50% of the specific job-related targets have been met, so as to emphasize the appropriate performance of the functional role.</w:t>
      </w:r>
    </w:p>
    <w:p w14:paraId="1D58D804" w14:textId="77777777" w:rsidR="00084B18" w:rsidRDefault="00000000">
      <w:r>
        <w:t>Any variable remuneration awarded to these employees is based on the outcome of a mix of performance objectives, with objectives at Group level 20%, business level minimum 20% and individual level minimum 20%.</w:t>
      </w:r>
    </w:p>
    <w:p w14:paraId="7463C6CD" w14:textId="77777777" w:rsidR="00084B18" w:rsidRDefault="00000000">
      <w:r>
        <w:t>In 2023 the objectives at group level related to, Excellent client focus Net Promotor Score bank Business Clients, NPS bank Private Clients, Greenwich and NPS Rural, 20%, Rock-solid bank CROIC, delivery KYC remediation plan and learning compliance, 40%, Meaningful cooperative Reputation score RepTrak®, CO2 reduction own operations and sector region plans, 30%, and Empowered employees Engagement score, 10%.</w:t>
      </w:r>
    </w:p>
    <w:p w14:paraId="32CE8CE7" w14:textId="77777777" w:rsidR="00084B18" w:rsidRDefault="00000000">
      <w:r>
        <w:t>The distribution between Group, Group entity, and individual targets described above involves a minimum requirement applicable for each Identified Staff employee who receives variable remuneration.</w:t>
      </w:r>
    </w:p>
    <w:p w14:paraId="39003915" w14:textId="77777777" w:rsidR="00084B18" w:rsidRDefault="00000000">
      <w:r>
        <w:t>The final weighting of these targets per employee depends on the employee's function and activities.</w:t>
      </w:r>
    </w:p>
    <w:p w14:paraId="589AB930" w14:textId="77777777" w:rsidR="00084B18" w:rsidRDefault="00000000">
      <w:r>
        <w:lastRenderedPageBreak/>
        <w:t>Due to the different ways in which variable remuneration is determined within Rabobank, the way in which the Performance Management framework is elaborated may differ between the subsidiaries and Group entities.</w:t>
      </w:r>
    </w:p>
    <w:p w14:paraId="42BF491E" w14:textId="77777777" w:rsidR="00084B18" w:rsidRDefault="00000000">
      <w:r>
        <w:t>Any material deviation as defined in the policy from the above must be fully described and then approved by the Rabobank Supervisory Board in accordance with the exceptions procedure.</w:t>
      </w:r>
    </w:p>
    <w:p w14:paraId="3F64E634" w14:textId="77777777" w:rsidR="00084B18" w:rsidRDefault="00000000">
      <w:r>
        <w:t>Pillar 3 Year report 2023 Pillar 3 133 With respect to the application of malus the following assessment framework is applied to all Identified Staff, proof of misconduct or material errors by the employee.</w:t>
      </w:r>
    </w:p>
    <w:p w14:paraId="1CE03EB8" w14:textId="77777777" w:rsidR="00084B18" w:rsidRDefault="00000000">
      <w:r>
        <w:t>Qualitative information on Environmental Risk Business Strategy and Processes At Rabobank, sustainability is an integral part of our corporate mission, Growing a better world together.</w:t>
      </w:r>
    </w:p>
    <w:p w14:paraId="61D2ECE9" w14:textId="77777777" w:rsidR="00084B18" w:rsidRDefault="00000000">
      <w:r>
        <w:t>Therefore, we integrated three growth aspirations into our strategic framework, act on climate, value nature, and enable people.</w:t>
      </w:r>
    </w:p>
    <w:p w14:paraId="73D79F34" w14:textId="77777777" w:rsidR="00084B18" w:rsidRDefault="00000000">
      <w:r>
        <w:t>By remaining dedicated to a solid balance between risk, return, and sustainability, we will continue to step up in our role as steward of the financial ecosystem.</w:t>
      </w:r>
    </w:p>
    <w:p w14:paraId="320371B2" w14:textId="77777777" w:rsidR="00084B18" w:rsidRDefault="00000000">
      <w:r>
        <w:t>To reflect that in our business steering, our risk management framework ensures the structured incorporation of Environmental, Social, and Governance risk mitigation and measurable ESG impact.</w:t>
      </w:r>
    </w:p>
    <w:p w14:paraId="492D9168" w14:textId="77777777" w:rsidR="00084B18" w:rsidRDefault="00000000">
      <w:r>
        <w:t>Policy updates were completed and approved on three important themes, Climate, Energy and Land Conversion.</w:t>
      </w:r>
    </w:p>
    <w:p w14:paraId="74301127" w14:textId="77777777" w:rsidR="00084B18" w:rsidRDefault="00000000">
      <w:r>
        <w:t>The Pillar 3 Year report 2023 Pillar 3 139 bank has set preliminary targets on a significant part of the carbon intensive sectors in line with the NZBA commitment that apply to approximately 70% of the scope.</w:t>
      </w:r>
    </w:p>
    <w:p w14:paraId="730F0538" w14:textId="77777777" w:rsidR="00084B18" w:rsidRDefault="00000000">
      <w:r>
        <w:t>To further integrate our clients sustainability impact and ESG risks in our business strategy, Rabobank defined a common approach in 2023 to develop Sector x Regions plans in order to improve the consistency of the translation to tangible actions and effects on the business lines involved.</w:t>
      </w:r>
    </w:p>
    <w:p w14:paraId="22481F85" w14:textId="77777777" w:rsidR="00084B18" w:rsidRDefault="00000000">
      <w:r>
        <w:t>The results of the materiality assessment, environmental risk heatmaps, and risk sensitivity analyses were used as input for the Sector x Regions plans.</w:t>
      </w:r>
    </w:p>
    <w:p w14:paraId="43EDF3A1" w14:textId="77777777" w:rsidR="00084B18" w:rsidRDefault="00000000">
      <w:r>
        <w:t>ESG is incorporated in the RAS and is integrated in our risk management framework.</w:t>
      </w:r>
    </w:p>
    <w:p w14:paraId="1AA837D0" w14:textId="77777777" w:rsidR="00084B18" w:rsidRDefault="00000000">
      <w:r>
        <w:t>We will further solidify our key foundations to ensure we can govern, steer and implement the required transformation, to ensure that we are in control of sustainability regulations and commitments incl.</w:t>
      </w:r>
    </w:p>
    <w:p w14:paraId="4271F59D" w14:textId="77777777" w:rsidR="00084B18" w:rsidRDefault="00000000">
      <w:r>
        <w:lastRenderedPageBreak/>
        <w:t>Next to facilitating and investing in the transition, Rabobank also approaches clients for risk management purposes.</w:t>
      </w:r>
    </w:p>
    <w:p w14:paraId="28E853B7" w14:textId="77777777" w:rsidR="00084B18" w:rsidRDefault="00000000">
      <w:r>
        <w:t>The MB sets the sustainability strategyroadmap and ensures that sufficient resources are available for sustainability initiatives.</w:t>
      </w:r>
    </w:p>
    <w:p w14:paraId="73E0587D" w14:textId="77777777" w:rsidR="00084B18" w:rsidRDefault="00000000">
      <w:r>
        <w:t>The RMC Group provides oversight of the firms Risk Appetite Statement, which describes the levels and types of risks that Rabobank is willing to accept in order to achieve its strategic goals while remaining in compliance with regulatory requirements, including ESG risk guidance.</w:t>
      </w:r>
    </w:p>
    <w:p w14:paraId="00AF986B" w14:textId="77777777" w:rsidR="00084B18" w:rsidRDefault="00000000">
      <w:r>
        <w:t>The approval of sustainability policies follows the regular governance, which runs through the Management Teams MTs, RMC Group and MB.</w:t>
      </w:r>
    </w:p>
    <w:p w14:paraId="6B76EEA6" w14:textId="77777777" w:rsidR="00084B18" w:rsidRDefault="00000000">
      <w:r>
        <w:t>Group Sustainability, Legal, and Finance support the business units and operate within the first line.</w:t>
      </w:r>
    </w:p>
    <w:p w14:paraId="4CAE55D5" w14:textId="77777777" w:rsidR="00084B18" w:rsidRDefault="00000000">
      <w:r>
        <w:t>The departments for Risk and Compliance provide the sustainability related risk and compliance governance as well as the risk management framework second line.</w:t>
      </w:r>
    </w:p>
    <w:p w14:paraId="571FB79A" w14:textId="77777777" w:rsidR="00084B18" w:rsidRDefault="00000000">
      <w:r>
        <w:t>Risk and Compliance support the first line in developing models and tools for managing ESG risk.</w:t>
      </w:r>
    </w:p>
    <w:p w14:paraId="76D36602" w14:textId="77777777" w:rsidR="00084B18" w:rsidRDefault="00000000">
      <w:r>
        <w:t>Pillar 3 Year report 2023 Pillar 3 141 This resulted in the following roles and responsibilities, First Line Takes risks, integrating sustainability risks into the RAS, incorporating sustainability risk management within the business strategy, dealing with risk within own mandate, providing clear substantiation for new business and product proposals, and ensuring adequate resources to understand and manage the associated risks are available.</w:t>
      </w:r>
    </w:p>
    <w:p w14:paraId="26FD5D7A" w14:textId="77777777" w:rsidR="00084B18" w:rsidRDefault="00000000">
      <w:r>
        <w:t>Owns risks, being the client owners and participating as client owners, for example, in existing client committees, acting consistently with the Rabobank values and supporting policies and standards, and demonstrating adequate oversight of sustainability risks in business activities through in control statements.</w:t>
      </w:r>
    </w:p>
    <w:p w14:paraId="60F7E9CF" w14:textId="77777777" w:rsidR="00084B18" w:rsidRDefault="00000000">
      <w:r>
        <w:t>Manages risk, return, and sustainable impact, effective portfolio management, engagement, and underwriting processes using measures which include risk, return, and sustainability along with effectively monitoring risks, controls, findings, incidents, actions and remediation.</w:t>
      </w:r>
    </w:p>
    <w:p w14:paraId="00BD030A" w14:textId="6BA5EC43" w:rsidR="00084B18" w:rsidRDefault="00000000">
      <w:r>
        <w:t>Challenge and advise on ESG assessment, risk-taking, compliance matters, and behavior through analyses and opinions, provide effective and efficient approval and oversight on ESG risk related matters, independently validate models and approval on methodologies</w:t>
      </w:r>
      <w:r w:rsidR="006537F7">
        <w:t>, f</w:t>
      </w:r>
      <w:r>
        <w:t>inanced emissions, pathways with respect to sustainabillity risk.</w:t>
      </w:r>
    </w:p>
    <w:p w14:paraId="6E2A37C0" w14:textId="77777777" w:rsidR="00084B18" w:rsidRDefault="00000000">
      <w:r>
        <w:lastRenderedPageBreak/>
        <w:t>Monitor the risk profile, monitor first line activities and form an independent view on ESG risks, and ensure legal and regulatory compliance, and advise on design and operational effectiveness of managing ESG risks in the first line.</w:t>
      </w:r>
    </w:p>
    <w:p w14:paraId="64A9A587" w14:textId="77777777" w:rsidR="00084B18" w:rsidRDefault="00000000">
      <w:r>
        <w:t>Execute periodic assessment with ESG risk, focus on operational goals and objectives, identification and management of risk, design and operating effectiveness of the internal control framework, legislative or regulatory issues, strategic, financial, managerial and operational information, and the safeguarding of assets.</w:t>
      </w:r>
    </w:p>
    <w:p w14:paraId="5B401D1C" w14:textId="77777777" w:rsidR="00084B18" w:rsidRDefault="00000000">
      <w:r>
        <w:t>Remuneration and Performance Management Integrating sustainability into our business activities is of the utmost importance to our sustainability ambitions.</w:t>
      </w:r>
    </w:p>
    <w:p w14:paraId="45A998AF" w14:textId="77777777" w:rsidR="00084B18" w:rsidRDefault="00000000">
      <w:r>
        <w:t>Our business entities work closely with the Sustainability Department to set our sustainability ambitions and goals.</w:t>
      </w:r>
    </w:p>
    <w:p w14:paraId="16533F6D" w14:textId="77777777" w:rsidR="00084B18" w:rsidRDefault="00000000">
      <w:r>
        <w:t>An approach for senior management accountability on nature-related topics is currently being developed and is expected to be implemented by the end of 2024.</w:t>
      </w:r>
    </w:p>
    <w:p w14:paraId="12B507E0" w14:textId="77777777" w:rsidR="00084B18" w:rsidRDefault="00000000">
      <w:r>
        <w:t>This is reflected in the integration of sustainability in our strategic cycle to ensure a structured incorporation of sustainability risk mitigation and measurable sustainability impact.</w:t>
      </w:r>
    </w:p>
    <w:p w14:paraId="45FBD698" w14:textId="77777777" w:rsidR="00084B18" w:rsidRDefault="00000000">
      <w:r>
        <w:t>Pillar 3 Year report 2023 Pillar 3 142 We optimize our business between risk, reward and sustainability impact Risk-Return- Sustainability Triangle Sustainable future Value creation Strategic fit Our vision and ambition, external commitments, and regulatory requirements are the main drivers of our sustainability strategy, which shapes our Sustainability Policy Framework and risk management framework.</w:t>
      </w:r>
    </w:p>
    <w:p w14:paraId="6964643A" w14:textId="77777777" w:rsidR="00084B18" w:rsidRDefault="00000000">
      <w:r>
        <w:t>Damage to offices from extreme climate events, pandemic impacts on bank staff, regulatory compliance cost increases.</w:t>
      </w:r>
    </w:p>
    <w:p w14:paraId="4B65EB32" w14:textId="77777777" w:rsidR="00084B18" w:rsidRDefault="00000000">
      <w:r>
        <w:t>ESG Risk Assessments, ESG risk assessments, consist of materiality assessment, the environmental risk heatmaps, Road to Paris alignment and scenario analyses.</w:t>
      </w:r>
    </w:p>
    <w:p w14:paraId="1FFCCD1C" w14:textId="77777777" w:rsidR="00084B18" w:rsidRDefault="00000000">
      <w:r>
        <w:t>Sector Strategy, Rabobanks sector visions and strategies are made ESG risk sensitive using the environmental risk heatmaps as input.</w:t>
      </w:r>
    </w:p>
    <w:p w14:paraId="40556CE2" w14:textId="77777777" w:rsidR="00084B18" w:rsidRDefault="00000000">
      <w:r>
        <w:t>For example, we are committed to supporting the goals of the Paris Climate Agreement and have endorsed the Net-Zero Banking Alliance and the Dutch Financial Sector Climate Commitment to act on climate.</w:t>
      </w:r>
    </w:p>
    <w:p w14:paraId="283EFF68" w14:textId="77777777" w:rsidR="00084B18" w:rsidRDefault="00000000">
      <w:r>
        <w:t>The updated sector x region approach translates inputs and targets on environmental risks and sustainability ambitions into business level action to support sustainable growth.</w:t>
      </w:r>
    </w:p>
    <w:p w14:paraId="13D90270" w14:textId="148E27D0" w:rsidR="00084B18" w:rsidRDefault="00000000">
      <w:r>
        <w:t>The RAS has various indicators and focuses on, compliance with sustainability policies</w:t>
      </w:r>
      <w:r w:rsidR="006537F7">
        <w:t xml:space="preserve">, </w:t>
      </w:r>
      <w:r>
        <w:t xml:space="preserve"> physical risks</w:t>
      </w:r>
      <w:r w:rsidR="006537F7">
        <w:t xml:space="preserve">, </w:t>
      </w:r>
      <w:r>
        <w:t xml:space="preserve"> transition risks, and, qualitative statements on social and governance risks.</w:t>
      </w:r>
    </w:p>
    <w:p w14:paraId="073F4B5F" w14:textId="77777777" w:rsidR="00084B18" w:rsidRDefault="00000000">
      <w:r>
        <w:lastRenderedPageBreak/>
        <w:t>The effectiveness of mitigating measures is regularly reviewed and where needed, corrective measures are identified to ensure that the sustainability impact is in line with our ambition and that effective risk mitigation exists in the different sectors and regions where we do business.</w:t>
      </w:r>
    </w:p>
    <w:p w14:paraId="223B3655" w14:textId="77777777" w:rsidR="00084B18" w:rsidRDefault="00000000">
      <w:r>
        <w:t>This includes, a target market assessment with sustainability factors and objectives and, a separate assessment of sustainable products and inclusion in the product books.</w:t>
      </w:r>
    </w:p>
    <w:p w14:paraId="54A024E8" w14:textId="77777777" w:rsidR="00084B18" w:rsidRDefault="00000000">
      <w:r>
        <w:t>The impact of the scenario on the financed emissions and decarbonization success.</w:t>
      </w:r>
    </w:p>
    <w:p w14:paraId="1EB4C3CE" w14:textId="77777777" w:rsidR="00084B18" w:rsidRDefault="00000000">
      <w:r>
        <w:t>These analyses revealed some key insights and helped us to strengthen our risk framework on sustainability.</w:t>
      </w:r>
    </w:p>
    <w:p w14:paraId="17C8826A" w14:textId="77777777" w:rsidR="00084B18" w:rsidRDefault="00000000">
      <w:r>
        <w:t>Steering capabilities to arrive at the targeted portfolio were improved by integrating sustainability and financial performance into the assessment of individual finance requests.</w:t>
      </w:r>
    </w:p>
    <w:p w14:paraId="023FE86A" w14:textId="77777777" w:rsidR="00084B18" w:rsidRDefault="00000000">
      <w:r>
        <w:t>Limits and Breach Management As part of the RAS, limits apply to clients who do not comply with the updated Sustainability Policy Framework.</w:t>
      </w:r>
    </w:p>
    <w:p w14:paraId="68C3DE0E" w14:textId="34EDC420" w:rsidR="00084B18" w:rsidRDefault="00000000">
      <w:r>
        <w:t>Disclosure on environmental risks in annual report, Financial Stability Board Task Force on Climate-related Financial Disclosures</w:t>
      </w:r>
      <w:r w:rsidR="006537F7">
        <w:t>.</w:t>
      </w:r>
    </w:p>
    <w:p w14:paraId="3D2ABE18" w14:textId="77777777" w:rsidR="00084B18" w:rsidRDefault="00000000">
      <w:r>
        <w:t>PCAF is a global partnership of financial institutions that work together to develop and implement a harmonized approach to assess and disclose the GHG emissions associated with their loans and investments.</w:t>
      </w:r>
    </w:p>
    <w:p w14:paraId="2BCB64A1" w14:textId="77777777" w:rsidR="00084B18" w:rsidRDefault="00000000">
      <w:r>
        <w:t>GHG Pathways, The Science-Based Targets initiative SBTi are science-based decarbonization pathways aligned with the maximum 1.</w:t>
      </w:r>
    </w:p>
    <w:p w14:paraId="34E03A06" w14:textId="77777777" w:rsidR="00084B18" w:rsidRDefault="00000000">
      <w:r>
        <w:t>Pillar 3 Year report 2023 Pillar 3 146 Qualitative Information on Social Risk Business Strategy and Processes Sustainability is increasingly integrated into all of Rabobanks business operations.</w:t>
      </w:r>
    </w:p>
    <w:p w14:paraId="191EC13D" w14:textId="44EABFBC" w:rsidR="00084B18" w:rsidRDefault="00000000">
      <w:r>
        <w:t>In addition to the qualitative information on environmental risk in</w:t>
      </w:r>
      <w:r w:rsidR="006537F7">
        <w:t xml:space="preserve">, </w:t>
      </w:r>
      <w:r>
        <w:t>we support an inclusive society with fair, social and economic opportunities for everyone.</w:t>
      </w:r>
    </w:p>
    <w:p w14:paraId="4BE7F875" w14:textId="77777777" w:rsidR="00084B18" w:rsidRDefault="00000000">
      <w:r>
        <w:t>Hence, we are committed to managing risks stemming from the current or prospective impacts of social factors on clients or invested assets.</w:t>
      </w:r>
    </w:p>
    <w:p w14:paraId="1D337C4B" w14:textId="77777777" w:rsidR="00084B18" w:rsidRDefault="00000000">
      <w:r>
        <w:t>We have committed to the UN Principles for Responsible Banking and the UN Guiding Principles on Business and Human Rights.</w:t>
      </w:r>
    </w:p>
    <w:p w14:paraId="5B341047" w14:textId="77777777" w:rsidR="00084B18" w:rsidRDefault="00000000">
      <w:r>
        <w:t>All clients are expected to respect and promote human rights as described in the United Nations Declaration of Human Rights in their business decisions and are expected to use their influence with their suppliers to do the same.</w:t>
      </w:r>
    </w:p>
    <w:p w14:paraId="7761551F" w14:textId="77777777" w:rsidR="00084B18" w:rsidRDefault="00000000">
      <w:r>
        <w:lastRenderedPageBreak/>
        <w:t>We aim to prevent providing our products and services to activities which knowingly and structurally violate internationally accepted human rights or may be in conflict with human right sanctions, in line with the risk management section below.</w:t>
      </w:r>
    </w:p>
    <w:p w14:paraId="6C0B8497" w14:textId="77777777" w:rsidR="00084B18" w:rsidRDefault="00000000">
      <w:r>
        <w:t>We also apply the voluntary risk management framework of the Equator Principles.</w:t>
      </w:r>
    </w:p>
    <w:p w14:paraId="10EA7823" w14:textId="77777777" w:rsidR="00084B18" w:rsidRDefault="00000000">
      <w:r>
        <w:t>We are committed to strict adherence to Anti-Money Laundering and Counter Terrorist Financing legislation and to the prevention of violations of sanctions, laws, and other relevant regulations issued by governments and regulatory agencies.</w:t>
      </w:r>
    </w:p>
    <w:p w14:paraId="0E0FA41F" w14:textId="77777777" w:rsidR="00084B18" w:rsidRDefault="00000000">
      <w:r>
        <w:t>Specific policies provide additional guidance regarding social risk topics stemming from clients and business partners such as, Corruption, when managing relationships with clients and counterparties, we are committed to fighting corruption and conducting business ethically and transparently, in conformity with the United Nations Convention against Corruption.</w:t>
      </w:r>
    </w:p>
    <w:p w14:paraId="0917DEBB" w14:textId="77777777" w:rsidR="00084B18" w:rsidRDefault="00000000">
      <w:r>
        <w:t>Rabobank employees must always follow these good practices, regardless of the distribution channel or technology which is used to service Rabobank's clients.</w:t>
      </w:r>
    </w:p>
    <w:p w14:paraId="73C85883" w14:textId="77777777" w:rsidR="00084B18" w:rsidRDefault="00000000">
      <w:r>
        <w:t>For those financial products that fall within this scope, we ask clients not only to comply with our own Sustainability Policy Framework, but also to bring into focus and to address relevant social risks according to the associated standards outlined in the EP.</w:t>
      </w:r>
    </w:p>
    <w:p w14:paraId="67F89CB6" w14:textId="77777777" w:rsidR="00084B18" w:rsidRDefault="00000000">
      <w:r>
        <w:t>It is currently monitored indirectly among others via risk indicators for operational and compliance risks such as lending to clients who are not yet compliant with sustainability policies, external fraud, reputation, or FECAML&amp;CTF-related indicators.</w:t>
      </w:r>
    </w:p>
    <w:p w14:paraId="47A0ED60" w14:textId="77777777" w:rsidR="00084B18" w:rsidRDefault="00000000">
      <w:r>
        <w:t>For financial crime compliance risk management purposes, within the CDD process, we have processes in place to perform background screening such as PEPs, sanctions and adverse media checks to identify associated risks in relation to our clients and business partners.</w:t>
      </w:r>
    </w:p>
    <w:p w14:paraId="03BF4E00" w14:textId="77777777" w:rsidR="00084B18" w:rsidRDefault="00000000">
      <w:r>
        <w:t>It includes activities that have a sizeable negative environmental or social impact and is based on both Rabobank policies and the exclusion list of the International Finance Corporation.</w:t>
      </w:r>
    </w:p>
    <w:p w14:paraId="5D200C79" w14:textId="77777777" w:rsidR="00084B18" w:rsidRDefault="00000000">
      <w:r>
        <w:t>Rabobank has a risk and control framework in place to actively manage and control operational and compliance risks, supported by policies, procedures, limits, and control structures.</w:t>
      </w:r>
    </w:p>
    <w:p w14:paraId="318B59D2" w14:textId="77777777" w:rsidR="00084B18" w:rsidRDefault="00000000">
      <w:r>
        <w:t>It established a consistent approach to risk and control activities based on one overarching risk library set, including for example conduct, financial economic crime, fraud, data management, and corporate governance.</w:t>
      </w:r>
    </w:p>
    <w:p w14:paraId="4A019B4A" w14:textId="77777777" w:rsidR="00084B18" w:rsidRDefault="00000000">
      <w:r>
        <w:t>Pillar 3 Year report 2023 Pillar 3 148 Qualitative Information on Governance Risk We are committed to managing the risks of losses stemming from adverse impacts of governance factors on clients or invested assets.</w:t>
      </w:r>
    </w:p>
    <w:p w14:paraId="3AAF4318" w14:textId="77777777" w:rsidR="00084B18" w:rsidRDefault="00000000">
      <w:r>
        <w:lastRenderedPageBreak/>
        <w:t>In addition, they are responsible for correctly and transparently documenting their steps towards sustainability.</w:t>
      </w:r>
    </w:p>
    <w:p w14:paraId="70ADC80E" w14:textId="77777777" w:rsidR="00084B18" w:rsidRDefault="00000000">
      <w:r>
        <w:t>This concerns client's decision-making, supervision, and management processes regarding economic, environmental, and social topics, including their non-financial reporting including sustainability reporting following EU law.</w:t>
      </w:r>
    </w:p>
    <w:p w14:paraId="55E0C735" w14:textId="77777777" w:rsidR="00084B18" w:rsidRDefault="00000000">
      <w:r>
        <w:t>With regard to transparency, we apply our Tax Policy Statement compliancy with local and international tax laws and regulations in line with international standards and business principles on transparency and tax.</w:t>
      </w:r>
    </w:p>
    <w:p w14:paraId="2B471B57" w14:textId="77777777" w:rsidR="00084B18" w:rsidRDefault="00000000">
      <w:r>
        <w:t>The following committees discuss the developments in governance risk and may influence the translation thereof into business objectives and the adaptation of processes and assessment criteria, The Ethics Committee reflects on practical situations that may have an underlying ethical issue in the context of Rabobank values.</w:t>
      </w:r>
    </w:p>
    <w:p w14:paraId="61F09F56" w14:textId="77777777" w:rsidR="00084B18" w:rsidRDefault="00000000">
      <w:r>
        <w:t>Risk Management Roles and responsibilities are defined within the existing internal governance including risk committees.</w:t>
      </w:r>
    </w:p>
    <w:p w14:paraId="671D9210" w14:textId="77777777" w:rsidR="00084B18" w:rsidRDefault="00000000">
      <w:r>
        <w:t>It is currently monitored indirectly, for instance through risk indicators for operational and compliance risks such as lending to clients who are not yet compliant with sustainability policies, external fraud, reputation, FECAML&amp;CTF-related indicators or data breaches.</w:t>
      </w:r>
    </w:p>
    <w:p w14:paraId="74795842" w14:textId="77777777" w:rsidR="00084B18" w:rsidRDefault="00000000">
      <w:r>
        <w:t>Our risk and compliance policies support our management of governance risks of clients.</w:t>
      </w:r>
    </w:p>
    <w:p w14:paraId="6E3BE41E" w14:textId="77777777" w:rsidR="00084B18" w:rsidRDefault="00000000">
      <w:r>
        <w:t>Becauese these policies encompass regulatory required and material topics as well as our commitments regarding governance risk, they are adequately included in our risk acceptance criteria, reporting and risk appetite.</w:t>
      </w:r>
    </w:p>
    <w:p w14:paraId="0AAB54C1" w14:textId="77777777" w:rsidR="00084B18" w:rsidRDefault="00000000">
      <w:r>
        <w:t>This is followed by physical activity-based emissions PCAF score 3, and PCAF scores 45, given for an economic activity-based emissions approach.</w:t>
      </w:r>
    </w:p>
    <w:p w14:paraId="69DF1B58" w14:textId="77777777" w:rsidR="00084B18" w:rsidRDefault="00000000">
      <w:r>
        <w:t>To calculate the Dutch F&amp;A portfolio Financed Emissions we used national emissions statistics and mapped them to the sectors that we finance using a RaboResearch-developed approach.</w:t>
      </w:r>
    </w:p>
    <w:p w14:paraId="2F28F7C1" w14:textId="77777777" w:rsidR="00084B18" w:rsidRDefault="00000000">
      <w:r>
        <w:t>This results in an increase in financed emissions of 0.</w:t>
      </w:r>
    </w:p>
    <w:p w14:paraId="51B57975" w14:textId="77777777" w:rsidR="00084B18" w:rsidRDefault="00000000">
      <w:r>
        <w:t>For each of these segments, we have identified scientific decarbonization pathways indicating how much and how rapidly each Sector x Region must reduce its emissions in order to align with our 1.</w:t>
      </w:r>
    </w:p>
    <w:p w14:paraId="3A016F3F" w14:textId="77777777" w:rsidR="00084B18" w:rsidRDefault="00000000">
      <w:r>
        <w:t>We have set emissions reductions targets for each of these Sector x Regions and report annually on our progress in the impact report.</w:t>
      </w:r>
    </w:p>
    <w:p w14:paraId="64159362" w14:textId="77777777" w:rsidR="00084B18" w:rsidRDefault="00000000">
      <w:r>
        <w:t>For the event impact of a sector, we developed an indicator approach following the work of the TCFD Banking Pilot Project Phase II.</w:t>
      </w:r>
    </w:p>
    <w:p w14:paraId="2AC40C17" w14:textId="77777777" w:rsidR="00084B18" w:rsidRDefault="00000000">
      <w:r>
        <w:lastRenderedPageBreak/>
        <w:t>An economic activity can be qualified as sustainable if it makes a substantial contribution to one of the six environmental goals of the EU Taxonomy, does not do significant harm to the other five and holds to a minimum level of social safeguards to indicate compliance with human and labor rights standards, preventing activities that breach key social principles.</w:t>
      </w:r>
    </w:p>
    <w:p w14:paraId="3E10A100" w14:textId="77777777" w:rsidR="00084B18" w:rsidRDefault="00000000">
      <w:r>
        <w:t>Those green declarations that align with EU taxonomy activities are considered to contribute to climate change mitigation.</w:t>
      </w:r>
    </w:p>
    <w:p w14:paraId="1EFD6441" w14:textId="77777777" w:rsidR="00084B18" w:rsidRDefault="00000000">
      <w:r>
        <w:t>Those green declarations that align with EU taxonomy activities are considered to contribute to climate change mitigation.</w:t>
      </w:r>
    </w:p>
    <w:p w14:paraId="79FBD0A0" w14:textId="77777777" w:rsidR="00084B18" w:rsidRDefault="00000000">
      <w:r>
        <w:t>Those green declarations that align with EU taxonomy activities are considered to contribute to climate change mitigation.</w:t>
      </w:r>
    </w:p>
    <w:sectPr w:rsidR="00084B1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082726733">
    <w:abstractNumId w:val="8"/>
  </w:num>
  <w:num w:numId="2" w16cid:durableId="1618180393">
    <w:abstractNumId w:val="6"/>
  </w:num>
  <w:num w:numId="3" w16cid:durableId="271013131">
    <w:abstractNumId w:val="5"/>
  </w:num>
  <w:num w:numId="4" w16cid:durableId="1013804804">
    <w:abstractNumId w:val="4"/>
  </w:num>
  <w:num w:numId="5" w16cid:durableId="713241003">
    <w:abstractNumId w:val="7"/>
  </w:num>
  <w:num w:numId="6" w16cid:durableId="1168253162">
    <w:abstractNumId w:val="3"/>
  </w:num>
  <w:num w:numId="7" w16cid:durableId="1418016802">
    <w:abstractNumId w:val="2"/>
  </w:num>
  <w:num w:numId="8" w16cid:durableId="416446113">
    <w:abstractNumId w:val="1"/>
  </w:num>
  <w:num w:numId="9" w16cid:durableId="1851069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B18"/>
    <w:rsid w:val="0015074B"/>
    <w:rsid w:val="0029639D"/>
    <w:rsid w:val="00326F90"/>
    <w:rsid w:val="005235FB"/>
    <w:rsid w:val="006537F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4E064D"/>
  <w14:defaultImageDpi w14:val="300"/>
  <w15:docId w15:val="{207F9421-E931-FB4E-887D-C4F3D7EE7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4490</Words>
  <Characters>25594</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2</cp:revision>
  <dcterms:created xsi:type="dcterms:W3CDTF">2013-12-23T23:15:00Z</dcterms:created>
  <dcterms:modified xsi:type="dcterms:W3CDTF">2025-08-12T14:28:00Z</dcterms:modified>
  <cp:category/>
</cp:coreProperties>
</file>