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1503" w14:textId="77777777" w:rsidR="005C7C50" w:rsidRDefault="00000000">
      <w:r>
        <w:t>Senior representatives and subject matter experts from Finance, Risk, and Sustainability are responsible for Rabobank's risk disclosures and govern its respective risk disclosure processes.</w:t>
      </w:r>
    </w:p>
    <w:p w14:paraId="5B8AE0AA" w14:textId="77777777" w:rsidR="005C7C50" w:rsidRDefault="00000000">
      <w:r>
        <w:t>However, the Pillar 3 disclosures are subject to Rabobanks internal controls and validation mechanisms, which aim to ensure the correctness and completeness of the information disclosed in this report as well as compliance with the applicable laws and regulations.</w:t>
      </w:r>
    </w:p>
    <w:p w14:paraId="79D9CC05" w14:textId="77777777" w:rsidR="005C7C50" w:rsidRDefault="00000000">
      <w:r>
        <w:t>It is the process that determines the amount of capital Rabobanks Managing Board deems adequate to execute its strategy and business plan over the next five years.</w:t>
      </w:r>
    </w:p>
    <w:p w14:paraId="3374DC18" w14:textId="77777777" w:rsidR="005C7C50" w:rsidRDefault="00000000">
      <w:r>
        <w:t>The ICAAP is a continuous process, which makes use of the regular, business-as-usual governance for the approval of its major elements, such as the risk management framework and risk appetite framework.</w:t>
      </w:r>
    </w:p>
    <w:p w14:paraId="252C5D5C" w14:textId="77777777" w:rsidR="005C7C50" w:rsidRDefault="00000000">
      <w:r>
        <w:t>This section sets out how Rabobank Group manages its risks on a day-today basis, explains how the risk management function is embedded within the organization based on the three lines of responsibility risk governance model.</w:t>
      </w:r>
    </w:p>
    <w:p w14:paraId="320667B1" w14:textId="77777777" w:rsidR="005C7C50" w:rsidRDefault="00000000">
      <w:r>
        <w:t>We monitor key risk metrics effectively, and with proactive risk management we manage to serve our customers across different segments and sectors while satisfying our stakeholders.</w:t>
      </w:r>
    </w:p>
    <w:p w14:paraId="3AC4BFE7" w14:textId="77777777" w:rsidR="005C7C50" w:rsidRDefault="00000000">
      <w:r>
        <w:t>The transition to a low carbon economy represents a great opportunity and fully align with our business strategy, which is why ESG factors are embedded in in our risk management framework and models as a risk driver.</w:t>
      </w:r>
    </w:p>
    <w:p w14:paraId="2902C927" w14:textId="77777777" w:rsidR="005C7C50" w:rsidRDefault="00000000">
      <w:r>
        <w:t>We continuously assess the effectiveness of this framework and adapt to the latest developments and requirements.</w:t>
      </w:r>
    </w:p>
    <w:p w14:paraId="6AEB948A" w14:textId="77777777" w:rsidR="005C7C50" w:rsidRDefault="00000000">
      <w:r>
        <w:t>Ultimately, our risk management activities are designed to help achieve the ambitions of the bank, our customers, and stakeholders, all within the boundaries of our risk appetite.</w:t>
      </w:r>
    </w:p>
    <w:p w14:paraId="6AAE54E3" w14:textId="77777777" w:rsidR="005C7C50" w:rsidRDefault="00000000">
      <w:r>
        <w:t>Managing Risks Our risk management activities are integrated into our strategy design and execution.</w:t>
      </w:r>
    </w:p>
    <w:p w14:paraId="3CFB71BD" w14:textId="77777777" w:rsidR="005C7C50" w:rsidRDefault="00000000">
      <w:r>
        <w:t>Our risk governance framework supports the achievement of our strategic priorities and is based on regulatory guidelines and market practices.</w:t>
      </w:r>
    </w:p>
    <w:p w14:paraId="1547415F" w14:textId="77777777" w:rsidR="005C7C50" w:rsidRDefault="00000000">
      <w:r>
        <w:t>Global policies facilitate the execution of the business strategy, adherence to the risk appetite, and oversight of risks, ensuring a consistent approach across the Group.</w:t>
      </w:r>
    </w:p>
    <w:p w14:paraId="69A38797" w14:textId="77777777" w:rsidR="005C7C50" w:rsidRDefault="00000000">
      <w:r>
        <w:t>The business, including its support functions, owns, takes, and manages risks, rewards, and sustainability.</w:t>
      </w:r>
    </w:p>
    <w:p w14:paraId="4195A0E5" w14:textId="77777777" w:rsidR="005C7C50" w:rsidRDefault="00000000">
      <w:r>
        <w:t>Risk identification, materiality assessment, and classification allow for a clear understanding of risks and promotes a common understanding of risk management.</w:t>
      </w:r>
    </w:p>
    <w:p w14:paraId="244A4065" w14:textId="77777777" w:rsidR="005C7C50" w:rsidRDefault="00000000">
      <w:r>
        <w:lastRenderedPageBreak/>
        <w:t>Balanced leadership is part of our groupwide strategy and will support the balancing act of ambition, risk management, and effective operations leading to a sound risk culture.</w:t>
      </w:r>
    </w:p>
    <w:p w14:paraId="4F9515F1" w14:textId="77777777" w:rsidR="005C7C50" w:rsidRDefault="00000000">
      <w:r>
        <w:t>As a continuous effort to enhance basic risk awareness and risk attitude our Risk Wise learning curriculum offers mandatory training, on demand workshops, tools, and skills development to elevate behavioral risk management.</w:t>
      </w:r>
    </w:p>
    <w:p w14:paraId="2577A1AF" w14:textId="77777777" w:rsidR="005C7C50" w:rsidRDefault="00000000">
      <w:r>
        <w:t>In 2024, the curriculum covered topics to further strengthen risk management, such as cognitive biases in decision-making processes, as well as knowledge refresher training courses on anti-bribery and corruption and a training course targeted at insiders.</w:t>
      </w:r>
    </w:p>
    <w:p w14:paraId="798275F6" w14:textId="77777777" w:rsidR="005C7C50" w:rsidRDefault="00000000">
      <w:r>
        <w:t>We divide risks into three dimensions, Risk Taxonomy Risk Taxonomy Strategic Drivers Financial Risks Non-financial Risks Credit Risk Compliance Risk Market Risk Banking Book Market Risk Trading Book Funding and Liquidity Risk Model Risk Business Risk Economic &amp; Geopolitical Regulations Technological Environmental, Social &amp; Governance Operational Risk outside-in inside-out Strategic drivers, major developments that could threaten to disrupt the assumptions and outcomes at the core of Rabobank's strategy, but could also provide opportunities for future growth.</w:t>
      </w:r>
    </w:p>
    <w:p w14:paraId="1CF451D6" w14:textId="77777777" w:rsidR="005C7C50" w:rsidRDefault="00000000">
      <w:r>
        <w:t>Within Rabobank, the main principle for dealing with ESG is to integrate ESG factors into existing business steering and risk management framework and processes.</w:t>
      </w:r>
    </w:p>
    <w:p w14:paraId="63F42EC5" w14:textId="77777777" w:rsidR="005C7C50" w:rsidRDefault="00000000">
      <w:r>
        <w:t>Damage to offices from extreme climate events, pandemic impacts on bank staff, regulatory compliance cost increases.</w:t>
      </w:r>
    </w:p>
    <w:p w14:paraId="29B325F7" w14:textId="77777777" w:rsidR="005C7C50" w:rsidRDefault="00000000">
      <w:r>
        <w:t>Pillar 3 Year report 2024 Pillar 3 24 At an aggregated level, the risk appetite is articulated for capital and profitability, aligning with the risk management priorities set by the Risk Strategy.</w:t>
      </w:r>
    </w:p>
    <w:p w14:paraId="58C44BDF" w14:textId="77777777" w:rsidR="005C7C50" w:rsidRDefault="00000000">
      <w:r>
        <w:t>A combination of breach management processes and risk governance ensures an adequate and timely response to risks that are pressuring or have exceeded our risk appetite.</w:t>
      </w:r>
    </w:p>
    <w:p w14:paraId="7D9F8D5D" w14:textId="77777777" w:rsidR="005C7C50" w:rsidRDefault="00000000">
      <w:r>
        <w:t>Rabobank is leading efforts to embed assessments of ESG risks into our risk management framework.</w:t>
      </w:r>
    </w:p>
    <w:p w14:paraId="6CFF2371" w14:textId="77777777" w:rsidR="005C7C50" w:rsidRDefault="00000000">
      <w:r>
        <w:t>Our ambitions, commitments, regulatory and supervisory requirements are the drivers to embed ESG risk into our business model and strategy, governance and risk appetite, risk management and disclosures.</w:t>
      </w:r>
    </w:p>
    <w:p w14:paraId="12FF8D3B" w14:textId="77777777" w:rsidR="005C7C50" w:rsidRDefault="00000000">
      <w:r>
        <w:t>Rabobank is leading efforts to embed assessments of ESG risks into our risk management framework.</w:t>
      </w:r>
    </w:p>
    <w:p w14:paraId="70D9C88D" w14:textId="77777777" w:rsidR="005C7C50" w:rsidRDefault="00000000">
      <w:r>
        <w:t xml:space="preserve">Total net ORM loss amount Number of individual risks with a residual medium orhigh risk rating Score RepTrak indicator Pillar 3 Year report 2024 Pillar 3 25 Topic Definition Group Risk Appetite Key Risk Appetite Indicators Compliance Risk The risk of impairment of Rabobanks integrity, which can damage the rights and interests of our clients as well as </w:t>
      </w:r>
      <w:r>
        <w:lastRenderedPageBreak/>
        <w:t>Rabobank's reputation and trustworthiness, leading to legal claims or regulatory sanctions andor financial loss.</w:t>
      </w:r>
    </w:p>
    <w:p w14:paraId="6DEFCB4C" w14:textId="77777777" w:rsidR="005C7C50" w:rsidRDefault="00000000">
      <w:r>
        <w:t>In carrying out its duties, the Risk Management function maintains a balance between independence from the business lines and close cooperation with them.</w:t>
      </w:r>
    </w:p>
    <w:p w14:paraId="2357090A" w14:textId="77777777" w:rsidR="005C7C50" w:rsidRDefault="00000000">
      <w:r>
        <w:t>Enables the bank to become and remain compliant regarding all applicable national and international laws and regulations as well as professional standards and accepted business practices related to the compliance themes and, Provides compliance governance.</w:t>
      </w:r>
    </w:p>
    <w:p w14:paraId="5D0283CC" w14:textId="77777777" w:rsidR="005C7C50" w:rsidRDefault="00000000">
      <w:r>
        <w:t>Committees Rabobank has various risk committees to monitor and enforce Rabobanks risk management framework and risk appetite.</w:t>
      </w:r>
    </w:p>
    <w:p w14:paraId="448707AB" w14:textId="77777777" w:rsidR="005C7C50" w:rsidRDefault="00000000">
      <w:r>
        <w:t>These risk committees are chaired by Chief Risk Officers or other representatives of the Risk Management Function.</w:t>
      </w:r>
    </w:p>
    <w:p w14:paraId="0B3E0DCE" w14:textId="77777777" w:rsidR="005C7C50" w:rsidRDefault="00000000">
      <w:r>
        <w:t>The responsibilities of the RMC Group include, but are not limited to, advising the Managing Board on Rabobank's risk appetite, enforcing Rabobanks risk appetite framework, monitoring risk exposures against risk limits, and monitoring Rabobank's aggregated risk profile.</w:t>
      </w:r>
    </w:p>
    <w:p w14:paraId="66A453C7" w14:textId="77777777" w:rsidR="005C7C50" w:rsidRDefault="00000000">
      <w:r>
        <w:t>The RMC Group ensures the risk management framework is up to date as required by law and external regulations.</w:t>
      </w:r>
    </w:p>
    <w:p w14:paraId="492EDF1F" w14:textId="77777777" w:rsidR="005C7C50" w:rsidRDefault="00000000">
      <w:r>
        <w:t>The models are the basis for internal measures of risk Pillar 2 framework and are simultaneously key inputs for calculating the minimum regulatory capital requirements.</w:t>
      </w:r>
    </w:p>
    <w:p w14:paraId="26327C55" w14:textId="77777777" w:rsidR="005C7C50" w:rsidRDefault="00000000">
      <w:r>
        <w:t>Validation requirements are specified to ensure objectivity, consistency and transparency.</w:t>
      </w:r>
    </w:p>
    <w:p w14:paraId="79D89B12" w14:textId="77777777" w:rsidR="005C7C50" w:rsidRDefault="00000000">
      <w:r>
        <w:t>Moreover, climate risk stress testing provides insights regarding the feasibility of GHG emission reduction targets by forecasting financed emissions for a set of different climate futures.</w:t>
      </w:r>
    </w:p>
    <w:p w14:paraId="05C20BB6" w14:textId="77777777" w:rsidR="005C7C50" w:rsidRDefault="00000000">
      <w:r>
        <w:t>Rabobank's Managing Board is ultimately responsible for the Rabobank Stress Testing Framework and its execution, while RMC Group acts as the delegated principal.</w:t>
      </w:r>
    </w:p>
    <w:p w14:paraId="0047F680" w14:textId="77777777" w:rsidR="005C7C50" w:rsidRDefault="00000000">
      <w:r>
        <w:t>In November 2024, the EBA published a report on sector level results in which they affirm the importance for banks to integrate climate risks into their risk management frameworks.</w:t>
      </w:r>
    </w:p>
    <w:p w14:paraId="63C83483" w14:textId="77777777" w:rsidR="005C7C50" w:rsidRDefault="00000000">
      <w:r>
        <w:t>In addition, risks in the credit portfolio are measured and monitored bank-wide and at entity level on a monthly and quarterly basis, by ad-hoc portfolio reporting and analysis with specific attention to risk developments and concentrations.</w:t>
      </w:r>
    </w:p>
    <w:p w14:paraId="12935F49" w14:textId="77777777" w:rsidR="005C7C50" w:rsidRDefault="00000000">
      <w:r>
        <w:t>Bank-wide central credit risk policy and standards that are further detailed in underlying specific credit risk procedures and local policies andor manuals support the execution of the business strategy, adherence to the risk appetite, and oversight of risks.</w:t>
      </w:r>
    </w:p>
    <w:p w14:paraId="3ABB1F47" w14:textId="77777777" w:rsidR="005C7C50" w:rsidRDefault="00000000">
      <w:r>
        <w:lastRenderedPageBreak/>
        <w:t>The credit risk management framework is provided by the CRO domain second line of responsibility.</w:t>
      </w:r>
    </w:p>
    <w:p w14:paraId="37ABC3A1" w14:textId="77777777" w:rsidR="005C7C50" w:rsidRDefault="00000000">
      <w:r>
        <w:t>An important starting point in the acceptance policy for business customers is that clients must have an acceptable integrity profile.</w:t>
      </w:r>
    </w:p>
    <w:p w14:paraId="537CD359" w14:textId="77777777" w:rsidR="005C7C50" w:rsidRDefault="00000000">
      <w:r>
        <w:t>In addition, Rabobank closely monitors developments in the business sectors in which its customers operate and carefully assesses the financial performance of its customers.</w:t>
      </w:r>
    </w:p>
    <w:p w14:paraId="76C4F1B1" w14:textId="77777777" w:rsidR="005C7C50" w:rsidRDefault="00000000">
      <w:r>
        <w:t>Corporate sustainability requires sustainable financing for which we maintain sustainability guidelines for use in the credit application process.</w:t>
      </w:r>
    </w:p>
    <w:p w14:paraId="7C7916DF" w14:textId="77777777" w:rsidR="005C7C50" w:rsidRDefault="00000000">
      <w:r>
        <w:t>The credit approval authorities play a key role in ensuring consistency among Rabobank standards of credit analysis, compliance with the overall Rabobank credit policy and standards, and consistent use of the rating models and underwriting criteria.</w:t>
      </w:r>
    </w:p>
    <w:p w14:paraId="4C6F67B7" w14:textId="77777777" w:rsidR="005C7C50" w:rsidRDefault="00000000">
      <w:r>
        <w:t>This parameter framework is also used for assigning accountability regarding the Credit Risk Management with respect to the business clients.</w:t>
      </w:r>
    </w:p>
    <w:p w14:paraId="68EAB750" w14:textId="77777777" w:rsidR="005C7C50" w:rsidRDefault="00000000">
      <w:r>
        <w:t>Country &amp; Financial Institutions Committee The Country and Financial Institutions Committee is responsible for Rabobank's risk management framework concerning country risk and credit risk related to financial institutions, Central Bank and Central Government entities.</w:t>
      </w:r>
    </w:p>
    <w:p w14:paraId="0F875E1E" w14:textId="77777777" w:rsidR="005C7C50" w:rsidRDefault="00000000">
      <w:r>
        <w:t>Risk reporting is reconciled with regulatory financial and common reporting data FINREP and COREP both at entity and Group level by Risk Management.</w:t>
      </w:r>
    </w:p>
    <w:p w14:paraId="57326782" w14:textId="77777777" w:rsidR="005C7C50" w:rsidRDefault="00000000">
      <w:r>
        <w:t>Identify signals earlier, report with more transparency on portfolio quality, and manage clients more effectively, and Achieve a more forward-looking approach to credit classifications.</w:t>
      </w:r>
    </w:p>
    <w:p w14:paraId="43B9D26C" w14:textId="77777777" w:rsidR="005C7C50" w:rsidRDefault="00000000">
      <w:r>
        <w:t>When unexpected external developments or data quality issues are not sufficiently covered by the outcome of the ECL models, an adjustment will be made.</w:t>
      </w:r>
    </w:p>
    <w:p w14:paraId="4ACA5E2A" w14:textId="77777777" w:rsidR="005C7C50" w:rsidRDefault="00000000">
      <w:r>
        <w:t>The criteria used to assess when the IRB approach does not need to be applied to a credit portfolio are described in the internal standards and procedures developed in accordance with the regulatory framework.</w:t>
      </w:r>
    </w:p>
    <w:p w14:paraId="508B3E6F" w14:textId="77777777" w:rsidR="005C7C50" w:rsidRDefault="00000000">
      <w:r>
        <w:t>The same parameters are used in the Pillar 2 framework, in various stress tests, and in the calculation of the minimum regulatory capital requirements and the Risk Adjusted Return On Capital metric.</w:t>
      </w:r>
    </w:p>
    <w:p w14:paraId="08E7059D" w14:textId="77777777" w:rsidR="005C7C50" w:rsidRDefault="00000000">
      <w:r>
        <w:t>Rabobank combines CRR CRD IV compliance activities with a Pillar 2 framework.</w:t>
      </w:r>
    </w:p>
    <w:p w14:paraId="21CF10FC" w14:textId="77777777" w:rsidR="005C7C50" w:rsidRDefault="00000000">
      <w:r>
        <w:t>EU CCRA Qualitative Disclosure Related to CCR Counterparty Credit Risk Limits &amp; Exposures Counterparty Credit risk is managed within a framework that includes the overall Rabobank risk appetite, credit policies, product rules, systems, and overarching regulatory requirements.</w:t>
      </w:r>
    </w:p>
    <w:p w14:paraId="1FCB48D3" w14:textId="77777777" w:rsidR="005C7C50" w:rsidRDefault="00000000">
      <w:r>
        <w:lastRenderedPageBreak/>
        <w:t>The IMM model was extended with a separate Credit Value Adjustment capital model as per Advanced CVA regulatory requirements to address potential mark-to-market losses due to an increase in a client's Credit Default Swap premium.</w:t>
      </w:r>
    </w:p>
    <w:p w14:paraId="54B57FBF" w14:textId="77777777" w:rsidR="005C7C50" w:rsidRDefault="00000000">
      <w:r>
        <w:t>Pillar 3 Year report 2024 Pillar 3 111 Funding &amp; Liquidity Risk EU LIQA Funding &amp; Liquidity Risk Management Funding and liquidity Risk is the risk that the Rabobank Group cannot fund itself for the increases andor rollovers in assets and meet obligations as they come due without incurring unacceptable losses.</w:t>
      </w:r>
    </w:p>
    <w:p w14:paraId="51F2ABF6" w14:textId="77777777" w:rsidR="005C7C50" w:rsidRDefault="00000000">
      <w:r>
        <w:t>One of Rabobanks strategic cornerstones is to remain a rock-solid bank, which is reflected in a solid balance sheet approach, prudent funding and liquidity risk management, budgeting, procedures, and measurements.</w:t>
      </w:r>
    </w:p>
    <w:p w14:paraId="65BBD395" w14:textId="77777777" w:rsidR="005C7C50" w:rsidRDefault="00000000">
      <w:r>
        <w:t>The three lines of responsibility have a crucial governance role in liquidity risk management.</w:t>
      </w:r>
    </w:p>
    <w:p w14:paraId="71B0E573" w14:textId="77777777" w:rsidR="005C7C50" w:rsidRDefault="00000000">
      <w:r>
        <w:t>The 2LoR provides risk governance and framework, challenges and advices on risk-taking, monitors the risk profile and owns the risk framework.</w:t>
      </w:r>
    </w:p>
    <w:p w14:paraId="2A5F6351" w14:textId="77777777" w:rsidR="005C7C50" w:rsidRDefault="00000000">
      <w:r>
        <w:t>Throughout 2024, Rabobank's liquidity buffer remained at prudent level and the LCR was managed comfortably above both regulatory limits and internal targets.</w:t>
      </w:r>
    </w:p>
    <w:p w14:paraId="2871DB8A" w14:textId="77777777" w:rsidR="005C7C50" w:rsidRDefault="00000000">
      <w:r>
        <w:t>Treasury is responsible for implementing the decisions of this committee, while Risk Management is responsible for providing risk governance and framework, challenging and advising on risk-taking, and monitoring of the interest rate risk position.</w:t>
      </w:r>
    </w:p>
    <w:p w14:paraId="3300110E" w14:textId="77777777" w:rsidR="005C7C50" w:rsidRDefault="00000000">
      <w:r>
        <w:t>Risk developments that require ad hoc attention are communicated accordingly outside the regular reporting cycle.</w:t>
      </w:r>
    </w:p>
    <w:p w14:paraId="249B0A59" w14:textId="77777777" w:rsidR="005C7C50" w:rsidRDefault="00000000">
      <w:r>
        <w:t>Rabobank has approval from the regulator to use the Internal Method Approach for all portfolios classified as regulatory trading book, for both general and specific risk.</w:t>
      </w:r>
    </w:p>
    <w:p w14:paraId="6AE8BE03" w14:textId="77777777" w:rsidR="005C7C50" w:rsidRDefault="00000000">
      <w:r>
        <w:t>To ensure proper focus, Rabobank internally splits NFR into operational risk, compliance, and model risk.</w:t>
      </w:r>
    </w:p>
    <w:p w14:paraId="7DCE7671" w14:textId="77777777" w:rsidR="005C7C50" w:rsidRDefault="00000000">
      <w:r>
        <w:t>Rabobank has a risk management strategy and framework in place, which is mandatory for all business units including subsidiaries and central support functions within the organization.</w:t>
      </w:r>
    </w:p>
    <w:p w14:paraId="74A2C8E8" w14:textId="77777777" w:rsidR="005C7C50" w:rsidRDefault="00000000">
      <w:r>
        <w:t>The risk management framework sets requirements for risk and control activities, enabling the organization to manage its operational risks efficiently and effectively using a forwardlooking and integrated approach.</w:t>
      </w:r>
    </w:p>
    <w:p w14:paraId="24024FDD" w14:textId="77777777" w:rsidR="005C7C50" w:rsidRDefault="00000000">
      <w:r>
        <w:t>Clients, Products, and Business Practices Failure by the firm to exercise due care in its dealings with its customers and clients, conducting, and contract breaches by the firm and its staff, conflicts of interests, inappropriate products, and business practices, as well as compliance or governance breaches.</w:t>
      </w:r>
    </w:p>
    <w:p w14:paraId="07BE9433" w14:textId="77777777" w:rsidR="005C7C50" w:rsidRDefault="00000000">
      <w:r>
        <w:lastRenderedPageBreak/>
        <w:t>Internal Fraud Losses incurred when an internal employee, acting alone or with either internal or external accomplices, obtains an undue personal benefit at the expense of the firm or at the expense of a customer or client whose property the firm is responsible for safeguarding and in doing so violates a legal rule governing personal behaviour as opposed to commercial.</w:t>
      </w:r>
    </w:p>
    <w:p w14:paraId="354823DF" w14:textId="77777777" w:rsidR="005C7C50" w:rsidRDefault="00000000">
      <w:r>
        <w:t>The remuneration policy takes into consideration the international context of the markets in which Rabobank is active as well as the public interest.</w:t>
      </w:r>
    </w:p>
    <w:p w14:paraId="2B94F675" w14:textId="77777777" w:rsidR="005C7C50" w:rsidRDefault="00000000">
      <w:r>
        <w:t>It is also in line with Rabobank Group's risk appetite and supports robust and effective risk management focused on the Group's longterm performance.</w:t>
      </w:r>
    </w:p>
    <w:p w14:paraId="0CBFB52F" w14:textId="77777777" w:rsidR="005C7C50" w:rsidRDefault="00000000">
      <w:r>
        <w:t>The four basic principles underpinning our remuneration policy are fairness and consistency, alignment with performance, the external perspective, and focus on total reward.</w:t>
      </w:r>
    </w:p>
    <w:p w14:paraId="319674E9" w14:textId="77777777" w:rsidR="005C7C50" w:rsidRDefault="00000000">
      <w:r>
        <w:t>Every year, the Group Remuneration Policy is evaluated and adjusted.</w:t>
      </w:r>
    </w:p>
    <w:p w14:paraId="740FE842" w14:textId="77777777" w:rsidR="005C7C50" w:rsidRDefault="00000000">
      <w:r>
        <w:t>For any material exception of the Group Remuneration Policy, the approval of the Rabobank Supervisory Board is mandatory.</w:t>
      </w:r>
    </w:p>
    <w:p w14:paraId="214E0F1C" w14:textId="77777777" w:rsidR="005C7C50" w:rsidRDefault="00000000">
      <w:r>
        <w:t>The Managing Board is authorized to reclaim, either in whole or in part, the variable pay which has already been paid to either employees or former employees clawback, if, the payment was made on the basis of incorrect or misleading information or on the basis of fraudulent actions committed by the employee concerned.</w:t>
      </w:r>
    </w:p>
    <w:p w14:paraId="4AA664A3" w14:textId="77777777" w:rsidR="005C7C50" w:rsidRDefault="00000000">
      <w:r>
        <w:t>Pillar 3 Year report 2024 Pillar 3 140 Remuneration Rules for Monitoring Functions The remuneration of Identified Staff in a control role, referred to as monitoring functions HR, Control, Risk Management, Compliance, Legal and Internal Audit, is bound by strict conditions.</w:t>
      </w:r>
    </w:p>
    <w:p w14:paraId="6C6F9548" w14:textId="77777777" w:rsidR="005C7C50" w:rsidRDefault="00000000">
      <w:r>
        <w:t>Variable pay is only paid to employees in monitoring functions when at least 50% of the specific job-related targets have been met, so as to emphasize the appropriate performance of the functional role.</w:t>
      </w:r>
    </w:p>
    <w:p w14:paraId="0FBEE3B8" w14:textId="77777777" w:rsidR="005C7C50" w:rsidRDefault="00000000">
      <w:r>
        <w:t>Any variable remuneration awarded to these employees is based on the outcome of a mix of performance objectives, with objectives at Group level 20%, business level minimum 20% and individual level minimum 20%.</w:t>
      </w:r>
    </w:p>
    <w:p w14:paraId="2932C75D" w14:textId="77777777" w:rsidR="005C7C50" w:rsidRDefault="00000000">
      <w:r>
        <w:t>In 2024 the objectives at Group level are linked to the KPIs of the Managing Board.</w:t>
      </w:r>
    </w:p>
    <w:p w14:paraId="1C16F322" w14:textId="77777777" w:rsidR="005C7C50" w:rsidRDefault="00000000">
      <w:r>
        <w:t>The distribution between Group, Group entity, and individual targets described above involves a minimum requirement applicable for each Identified Staff employee who receives variable remuneration.</w:t>
      </w:r>
    </w:p>
    <w:p w14:paraId="377A299B" w14:textId="77777777" w:rsidR="005C7C50" w:rsidRDefault="00000000">
      <w:r>
        <w:t>The final weighting of these targets per employee depends on the employee's function and activities.</w:t>
      </w:r>
    </w:p>
    <w:p w14:paraId="649AF95F" w14:textId="77777777" w:rsidR="005C7C50" w:rsidRDefault="00000000">
      <w:r>
        <w:lastRenderedPageBreak/>
        <w:t>Due to the different ways in which variable remuneration is determined within Rabobank, the way in which the Performance Management framework is elaborated may differ between the subsidiaries and Group entities.</w:t>
      </w:r>
    </w:p>
    <w:p w14:paraId="285D9817" w14:textId="77777777" w:rsidR="005C7C50" w:rsidRDefault="00000000">
      <w:r>
        <w:t>Any material deviation as defined in the policy from the above must be fully described and then approved by the Rabobank Supervisory Board in accordance with the deviations procedure.</w:t>
      </w:r>
    </w:p>
    <w:p w14:paraId="29A07762" w14:textId="77777777" w:rsidR="005C7C50" w:rsidRDefault="00000000">
      <w:r>
        <w:t>With respect to the application of malus the following assessment framework is applied to all Identified Staff, proof of misconduct or material errors by the employee, such as, for instance, conduct that is not in line with the Rabo Compass andor any internal code of conduct, compliance guidelines, or core values and behaviors.</w:t>
      </w:r>
    </w:p>
    <w:p w14:paraId="0C10B9F4" w14:textId="77777777" w:rsidR="005C7C50" w:rsidRDefault="00000000">
      <w:r>
        <w:t>Qualitative information on Environmental Risk Strategy, Business Model and Value Chain Our portfolio and sustainability Determining where we have the most impact and dependency on our environment, starts with analyzing our portfolio.</w:t>
      </w:r>
    </w:p>
    <w:p w14:paraId="78BA86D3" w14:textId="77777777" w:rsidR="005C7C50" w:rsidRDefault="00000000">
      <w:r>
        <w:t>Sustainability embedded in our strategy Our mission, vision, values, and behaviors, strategy and our distinctive and cooperative way of stakeholder engagement are the fundamentals of the way we operate and create value.</w:t>
      </w:r>
    </w:p>
    <w:p w14:paraId="26D34DE8" w14:textId="77777777" w:rsidR="005C7C50" w:rsidRDefault="00000000">
      <w:r>
        <w:t>Making these transitions require joint efforts with all stakeholders.</w:t>
      </w:r>
    </w:p>
    <w:p w14:paraId="13607D7F" w14:textId="77777777" w:rsidR="005C7C50" w:rsidRDefault="00000000">
      <w:r>
        <w:t>In short, sustainability is embedded in our strategy through the aspirations of reduction of our climate impact, bringing the impact on nature back to planetary boundaries and supporting people by contributing to a more inclusive society for customers, communities and workforce.</w:t>
      </w:r>
    </w:p>
    <w:p w14:paraId="77BB3E29" w14:textId="77777777" w:rsidR="005C7C50" w:rsidRDefault="00000000">
      <w:r>
        <w:t>In addition to having our foundation in order, our focus from both an environmental and a social perspective will be on the following topics or sustainability aspirations all of the aforementioned is in line with previous year, Act on Climate On or below 1.</w:t>
      </w:r>
    </w:p>
    <w:p w14:paraId="654CA09B" w14:textId="77777777" w:rsidR="005C7C50" w:rsidRDefault="00000000">
      <w:r>
        <w:t>Rabobank clearly recognizes the gravity of the situation and we are fully committed to support the goals of the Paris Climate Agreement and signed the Net-Zero Banking Alliance and the Dutch Financial Sector Climate Commitment.</w:t>
      </w:r>
    </w:p>
    <w:p w14:paraId="47BA41EF" w14:textId="2015F654" w:rsidR="005C7C50" w:rsidRDefault="00000000">
      <w:r>
        <w:t xml:space="preserve">We aim to progressively adapt our portfolio and policies toward alignment with the Kunming Montreal Global Biodiversity </w:t>
      </w:r>
      <w:proofErr w:type="gramStart"/>
      <w:r>
        <w:t>Framework</w:t>
      </w:r>
      <w:r w:rsidR="00AA5B3A">
        <w:t xml:space="preserve">, </w:t>
      </w:r>
      <w:r>
        <w:t>and</w:t>
      </w:r>
      <w:proofErr w:type="gramEnd"/>
      <w:r>
        <w:t xml:space="preserve"> use the Mitigation Hierarchy 1.</w:t>
      </w:r>
    </w:p>
    <w:p w14:paraId="087DA898" w14:textId="77777777" w:rsidR="005C7C50" w:rsidRDefault="00000000">
      <w:r>
        <w:t xml:space="preserve">Offset what </w:t>
      </w:r>
      <w:proofErr w:type="spellStart"/>
      <w:r>
        <w:t>cant</w:t>
      </w:r>
      <w:proofErr w:type="spellEnd"/>
      <w:r>
        <w:t xml:space="preserve"> be restored to guide our actions.</w:t>
      </w:r>
    </w:p>
    <w:p w14:paraId="57B995A6" w14:textId="77777777" w:rsidR="005C7C50" w:rsidRDefault="00000000">
      <w:r>
        <w:t>Rabobank is committed to UNGPs on Business and Human Rights and OECD guidelines on Responsible Business Conduct.</w:t>
      </w:r>
    </w:p>
    <w:p w14:paraId="4E927860" w14:textId="0DB1D285" w:rsidR="005C7C50" w:rsidRDefault="00000000">
      <w:r>
        <w:t xml:space="preserve">We made external commitments on climate Net Zero Banking Alliance NZBA, nature </w:t>
      </w:r>
      <w:r w:rsidR="00AA5B3A">
        <w:t>b</w:t>
      </w:r>
      <w:r>
        <w:t>iodiversity pledge and people OECD guidelines on responsible business conduct.</w:t>
      </w:r>
    </w:p>
    <w:p w14:paraId="591D52B4" w14:textId="77777777" w:rsidR="005C7C50" w:rsidRDefault="00000000">
      <w:r>
        <w:lastRenderedPageBreak/>
        <w:t>Sector x region plans The SxR plans process is used to assess sustainability driven business implications and required actions for each SxR combination to effectively reduce the emission intensity in line with our targets and manage Climate and Nature related impacts and risks.</w:t>
      </w:r>
    </w:p>
    <w:p w14:paraId="54FAB98D" w14:textId="77777777" w:rsidR="005C7C50" w:rsidRDefault="00000000">
      <w:r>
        <w:t>It enables measuring sustainability impact which provides guidance for setting decarbonization ambitions in the MTP.</w:t>
      </w:r>
    </w:p>
    <w:p w14:paraId="31AD4139" w14:textId="77777777" w:rsidR="005C7C50" w:rsidRDefault="00000000">
      <w:r>
        <w:t>Outcomes in 2024 resulted in a positive assessment of climate efforts in the SxR plans, but climate outcome targets are not in reach everywhere mainly due to government policies.</w:t>
      </w:r>
    </w:p>
    <w:p w14:paraId="5EABE9DE" w14:textId="77777777" w:rsidR="005C7C50" w:rsidRDefault="00000000">
      <w:r>
        <w:t>Integration in our strategic management cycle processes ensures coherent execution and alignment with established 1 For an overview of initiatives that we are committed to or a signatory of please refer to the sustainability section of our corporate website, these initiatives are amongst other methods respected through the implementation of the sustainability policies.</w:t>
      </w:r>
    </w:p>
    <w:p w14:paraId="0437D267" w14:textId="77777777" w:rsidR="005C7C50" w:rsidRDefault="00000000">
      <w:r>
        <w:t>Internally these documents are all included in the Global Standard on Sustainability Acceptance and Performance effective from January 31, 2025, which replaced the Global Standard on Sustainable Development effective until January 31, 2025.</w:t>
      </w:r>
    </w:p>
    <w:p w14:paraId="6C8F6A58" w14:textId="77777777" w:rsidR="005C7C50" w:rsidRDefault="00000000">
      <w:r>
        <w:t>Targets related to climate change mitigation To achieve our 2050 goal, we have followed Net Zero Banking Alliance guidelines and set GHG emissions reduction targets for 19 most material sector x region combinations in our portfolio.</w:t>
      </w:r>
    </w:p>
    <w:p w14:paraId="54EFA342" w14:textId="77777777" w:rsidR="005C7C50" w:rsidRDefault="00000000">
      <w:r>
        <w:t>These targets cover a significant majority of the financed emissions of our portfolio 63%.</w:t>
      </w:r>
    </w:p>
    <w:p w14:paraId="08570D65" w14:textId="77777777" w:rsidR="005C7C50" w:rsidRDefault="00000000">
      <w:r>
        <w:t>We consider these aspects of the combined 2022 Road to Paris report and the 2024 Road to Paris Addendum to be the backbone of our climate approach.</w:t>
      </w:r>
    </w:p>
    <w:p w14:paraId="0EA99D2F" w14:textId="77777777" w:rsidR="005C7C50" w:rsidRDefault="00000000">
      <w:r>
        <w:t>We identified the high-emitting sectors in our portfolio and focus our actions on supporting customers in relevant sectors to reduce their GHG emissions, hence optimizing our portfolio.</w:t>
      </w:r>
    </w:p>
    <w:p w14:paraId="1BFFBE1D" w14:textId="77777777" w:rsidR="005C7C50" w:rsidRDefault="00000000">
      <w:r>
        <w:t>Therefore, in most cases we use a physical emissions intensity metric kg CO₂ekg product, except for our Dutch F&amp;A portfolio, where we use absolute financed emissions targets which is in alignment with the Dutch Climate Agreement.</w:t>
      </w:r>
    </w:p>
    <w:p w14:paraId="3D2D0E31" w14:textId="77777777" w:rsidR="005C7C50" w:rsidRDefault="00000000">
      <w:r>
        <w:t>In addition, the physical emissions intensity metric is in line with our focus on helping our customers to transition to more carbon-efficient practices.</w:t>
      </w:r>
    </w:p>
    <w:p w14:paraId="0486355C" w14:textId="77777777" w:rsidR="005C7C50" w:rsidRDefault="00000000">
      <w:r>
        <w:t>Sustainable finance has been included in the medium-term planning process, balance sheet management and strategic choices on riskreturn sustainability trade-offs.</w:t>
      </w:r>
    </w:p>
    <w:p w14:paraId="2BB9CFCF" w14:textId="77777777" w:rsidR="005C7C50" w:rsidRDefault="00000000">
      <w:r>
        <w:t>Steering on riskreturnsustainability trade-off will further mature over time, but our aim is clear, we need to increase the share of sustainable finance.</w:t>
      </w:r>
    </w:p>
    <w:p w14:paraId="1265F352" w14:textId="77777777" w:rsidR="005C7C50" w:rsidRDefault="00000000">
      <w:r>
        <w:lastRenderedPageBreak/>
        <w:t>Since 2016, Rabobank has its Sustainable Funding Framework in place to support the banks sustainability efforts.</w:t>
      </w:r>
    </w:p>
    <w:p w14:paraId="6C345053" w14:textId="77777777" w:rsidR="005C7C50" w:rsidRDefault="00000000">
      <w:r>
        <w:t>Financed emissions expectations are evaluated in the context of our primary steering focus which is to reduce emission intensity.</w:t>
      </w:r>
    </w:p>
    <w:p w14:paraId="2DFA818E" w14:textId="77777777" w:rsidR="005C7C50" w:rsidRDefault="00000000">
      <w:r>
        <w:t>It is a transversal process supported by our Sustainability Assessment Framework.</w:t>
      </w:r>
    </w:p>
    <w:p w14:paraId="7E48F2BC" w14:textId="77777777" w:rsidR="005C7C50" w:rsidRDefault="00000000">
      <w:r>
        <w:t>This includes the responsibility to supervise and advise MB regarding implementation of the sustainability strategy.</w:t>
      </w:r>
    </w:p>
    <w:p w14:paraId="4F950172" w14:textId="77777777" w:rsidR="005C7C50" w:rsidRDefault="00000000">
      <w:r>
        <w:t>This includes new developments and whether these align with the sustainability regulations and commitments and with the strategy and purpose of Rabobank.</w:t>
      </w:r>
    </w:p>
    <w:p w14:paraId="22654284" w14:textId="77777777" w:rsidR="005C7C50" w:rsidRDefault="00000000">
      <w:r>
        <w:t>Managing Board In line with EBA guidelines, the MB is responsible for setting and implementing the banks corporate strategy, including business, risk and sustainability strategies.</w:t>
      </w:r>
    </w:p>
    <w:p w14:paraId="21B57C1A" w14:textId="77777777" w:rsidR="005C7C50" w:rsidRDefault="00000000">
      <w:r>
        <w:t>The MB is responsible for the implementation of the laws, regulations and commitments necessary to comply with sustainability regulations, expectations and aspirations.</w:t>
      </w:r>
    </w:p>
    <w:p w14:paraId="4A66A31F" w14:textId="77777777" w:rsidR="005C7C50" w:rsidRDefault="00000000">
      <w:r>
        <w:t>The MB set, whilst taking into account, among others, impacts, risks and opportunities, the sustainability strategy and targets and ensures that sufficient resources are available for sustainability initiatives.</w:t>
      </w:r>
    </w:p>
    <w:p w14:paraId="5E8CC682" w14:textId="77777777" w:rsidR="005C7C50" w:rsidRDefault="00000000">
      <w:r>
        <w:t>It also provides advice to the MB on decision making regarding sustainability strategy and ambitions.</w:t>
      </w:r>
    </w:p>
    <w:p w14:paraId="59A858CB" w14:textId="77777777" w:rsidR="005C7C50" w:rsidRDefault="00000000">
      <w:r>
        <w:t>The approval of sustainability policies follows the regular governance, which runs through the Management Teams MTs, RMC Group and MB.</w:t>
      </w:r>
    </w:p>
    <w:p w14:paraId="2A634F58" w14:textId="77777777" w:rsidR="005C7C50" w:rsidRDefault="00000000">
      <w:r>
        <w:t>Business Units Business unit management teams, under the oversight of the MB, are primarily responsible for implementing and further detailing the strategy within their business unit, advising, and submitting proposals in that respect.</w:t>
      </w:r>
    </w:p>
    <w:p w14:paraId="3EE7B684" w14:textId="77777777" w:rsidR="005C7C50" w:rsidRDefault="00000000">
      <w:r>
        <w:t>Roles and responsibilities Amongst others, the CSO is primarily responsible for developing the sustainability strategy for decision-making by the Managing Board including setting targets, key sustainability topics, formulating Rabobanks position on sustainability topics and providing input for the sustainability KPIs and acts as a centre of expertise on sustainability topics including regulations and commitments.</w:t>
      </w:r>
    </w:p>
    <w:p w14:paraId="5A51ADBC" w14:textId="77777777" w:rsidR="005C7C50" w:rsidRDefault="00000000">
      <w:r>
        <w:t>The CRO is primarily responsible for providing a sustainability risk and compliance governance framework, including embedding sustainability risks as drivers into existing compliance and risk policies and processes, ICAAPILAAPscenario analysisrisk models and tooling.</w:t>
      </w:r>
    </w:p>
    <w:p w14:paraId="0A82DF97" w14:textId="77777777" w:rsidR="005C7C50" w:rsidRDefault="00000000">
      <w:r>
        <w:lastRenderedPageBreak/>
        <w:t>Additionally, the CRO is primarily responsible for challenging and advising on risk taking, and monitoring legislative and regulatory requirements concerning sustainability risks, the sustainability risk profile and impact on traditional risk types.</w:t>
      </w:r>
    </w:p>
    <w:p w14:paraId="59C8529C" w14:textId="77777777" w:rsidR="005C7C50" w:rsidRDefault="00000000">
      <w:r>
        <w:t>Pillar 3 Year report 2024 Pillar 3 150 The business domain members of the MB are primarily responsible for managing sustainability impact, risk, opportunities and dependencies in their respective domains, as they are the client owners for their client portfolios.</w:t>
      </w:r>
    </w:p>
    <w:p w14:paraId="751611B2" w14:textId="77777777" w:rsidR="005C7C50" w:rsidRDefault="00000000">
      <w:r>
        <w:t>Group Sustainability, Legal, and Finance support the business units and operate within the first line.</w:t>
      </w:r>
    </w:p>
    <w:p w14:paraId="6AB1D080" w14:textId="77777777" w:rsidR="005C7C50" w:rsidRDefault="00000000">
      <w:r>
        <w:t>The departments for Risk and Compliance provide the sustainability related risk and compliance governance as well as the risk management framework second line.</w:t>
      </w:r>
    </w:p>
    <w:p w14:paraId="42989B7C" w14:textId="77777777" w:rsidR="005C7C50" w:rsidRDefault="00000000">
      <w:r>
        <w:t>Risk and Compliance support the first line in developing models and tools for managing ESG risk.</w:t>
      </w:r>
    </w:p>
    <w:p w14:paraId="7391CDD8" w14:textId="77777777" w:rsidR="005C7C50" w:rsidRDefault="00000000">
      <w:r>
        <w:t>Pillar 3 Year report 2024 Pillar 3 151 This resulted in the following roles and responsibilities, First Line Takes risks, integrating sustainability risks into the RAS, incorporating sustainability risk management within the business strategy, dealing with risk within own mandate, providing clear substantiation for new business and product proposals, and ensuring adequate resources to understand and manage the associated risks are available.</w:t>
      </w:r>
    </w:p>
    <w:p w14:paraId="3B92C397" w14:textId="77777777" w:rsidR="005C7C50" w:rsidRDefault="00000000">
      <w:r>
        <w:t>Owns risks, being the client owners and participating as client owners, for example, in existing client committees, acting consistently with the Rabobank values and supporting policies and standards, and demonstrating adequate oversight of sustainability risks in business activities through in control statements.</w:t>
      </w:r>
    </w:p>
    <w:p w14:paraId="086655E5" w14:textId="77777777" w:rsidR="005C7C50" w:rsidRDefault="00000000">
      <w:r>
        <w:t>Manages risk, return, and sustainable impact, effective portfolio management, engagement, and underwriting processes using measures which include risk, return, and sustainability along with effectively monitoring risks, controls, findings, incidents, actions and remediation.</w:t>
      </w:r>
    </w:p>
    <w:p w14:paraId="05B04583" w14:textId="40A95EB3" w:rsidR="005C7C50" w:rsidRDefault="00000000">
      <w:r>
        <w:t xml:space="preserve">Challenge and advise on ESG assessment, risk-taking, compliance matters, and behavior through analyses and opinions, provide effective and efficient approval and oversight on ESG risk related matters, independently validate models and approval on methodologies </w:t>
      </w:r>
      <w:r w:rsidR="0020310A">
        <w:t>f</w:t>
      </w:r>
      <w:r>
        <w:t>inanced emissions, pathways with respect to sustainability risk.</w:t>
      </w:r>
    </w:p>
    <w:p w14:paraId="56676F6E" w14:textId="77777777" w:rsidR="005C7C50" w:rsidRDefault="00000000">
      <w:r>
        <w:t>Monitor the risk profile, monitor first line activities and form an independent view on ESG risks, and ensure legal and regulatory compliance, and advise on design and operational effectiveness of managing ESG risks in the first line.</w:t>
      </w:r>
    </w:p>
    <w:p w14:paraId="592ABBAE" w14:textId="77777777" w:rsidR="005C7C50" w:rsidRDefault="00000000">
      <w:r>
        <w:t xml:space="preserve">Execute periodic assessment with ESG risk, focus on operational goals and objectives, identification and management of risk, design and operating effectiveness of the internal </w:t>
      </w:r>
      <w:r>
        <w:lastRenderedPageBreak/>
        <w:t>control framework, legislative or regulatory issues, strategic, financial, managerial and operational information, and the safeguarding of assets.</w:t>
      </w:r>
    </w:p>
    <w:p w14:paraId="576EF18E" w14:textId="77777777" w:rsidR="005C7C50" w:rsidRDefault="00000000">
      <w:r>
        <w:t>Remuneration and Performance Management Integrating sustainability into our business activities is of the utmost importance to our sustainability ambitions.</w:t>
      </w:r>
    </w:p>
    <w:p w14:paraId="5635AB47" w14:textId="77777777" w:rsidR="005C7C50" w:rsidRDefault="00000000">
      <w:r>
        <w:t>Our business entities work closely with the Sustainability Department to set our sustainability ambitions and goals.</w:t>
      </w:r>
    </w:p>
    <w:p w14:paraId="63F8A2B3" w14:textId="77777777" w:rsidR="005C7C50" w:rsidRDefault="00000000">
      <w:r>
        <w:t>Various climate targets and nature-related effort targets have been set.</w:t>
      </w:r>
    </w:p>
    <w:p w14:paraId="54869A0C" w14:textId="77777777" w:rsidR="005C7C50" w:rsidRDefault="00000000">
      <w:r>
        <w:t>The sustainability policies outline the business principles Rabobank wishes to adhere to regarding sustainability following our strategy and mission.</w:t>
      </w:r>
    </w:p>
    <w:p w14:paraId="4AD0A336" w14:textId="77777777" w:rsidR="005C7C50" w:rsidRDefault="00000000">
      <w:r>
        <w:t>Sector x Region SxR plans, these are specific implementation plans transition plans developed to achieve relevant climate and other targets and manage the relevant sustainability impacts, risks and opportunities for the particular SxR combination.</w:t>
      </w:r>
    </w:p>
    <w:p w14:paraId="41123B30" w14:textId="77777777" w:rsidR="005C7C50" w:rsidRDefault="00000000">
      <w:r>
        <w:t>In parallel, annually the Risk Appetite Statement is determined in line with the risk strategy and SxR-plan assessments, sustainability policy documents, targets and commitments.</w:t>
      </w:r>
    </w:p>
    <w:p w14:paraId="737581D7" w14:textId="77777777" w:rsidR="005C7C50" w:rsidRDefault="00000000">
      <w:r>
        <w:t>Group level KPIs, KRIs and policy, translation of ambition and vision into targets via KPIs, limitations via KRIs and policy setting per risk type or sustainability topic.</w:t>
      </w:r>
    </w:p>
    <w:p w14:paraId="7E031A66" w14:textId="77777777" w:rsidR="005C7C50" w:rsidRDefault="00000000">
      <w:r>
        <w:t>Monitoring and reporting, periodic information to establish timely steering, a structured risk acceptance process and ad hoc escalation of urgent matters via Rabobanks internal governance.</w:t>
      </w:r>
    </w:p>
    <w:p w14:paraId="5818C0A7" w14:textId="77777777" w:rsidR="005C7C50" w:rsidRDefault="00000000">
      <w:r>
        <w:t>Integration of sustainability matters into overall risk management process The risks at portfolio level are managed through Intensity based Emission Targets, Risk Appetite Setting, Pricing and Acceptance &amp; Underwriting Criteria.</w:t>
      </w:r>
    </w:p>
    <w:p w14:paraId="48A39B69" w14:textId="77777777" w:rsidR="005C7C50" w:rsidRDefault="00000000">
      <w:r>
        <w:t>Emission Targets, Physical emissions intensity targets have been set for SxR combinations.</w:t>
      </w:r>
    </w:p>
    <w:p w14:paraId="478DF5B1" w14:textId="77777777" w:rsidR="005C7C50" w:rsidRDefault="00000000">
      <w:r>
        <w:t>In the Dutch F&amp;A portfolio we use absolute financed emissions targets which is in alignment with the Dutch Financial Sector Climate Commitment.</w:t>
      </w:r>
    </w:p>
    <w:p w14:paraId="2C176C61" w14:textId="77777777" w:rsidR="005C7C50" w:rsidRDefault="00000000">
      <w:r>
        <w:t>Climate related ESG drivers are assessed to have a material impact on Credit Risk, Business Risk, Operational Risk, Compliance Risk and Funding &amp; Liquidity Risk.</w:t>
      </w:r>
    </w:p>
    <w:p w14:paraId="19A5A05B" w14:textId="77777777" w:rsidR="005C7C50" w:rsidRDefault="00000000">
      <w:r>
        <w:t>By considering these transmission channels and its impact on our Financial and Non Financial Risks, Rabobank takes a holistic approach to ESG risk management, to be prepared for both immediate and longterm challenges.</w:t>
      </w:r>
    </w:p>
    <w:p w14:paraId="020571BE" w14:textId="77777777" w:rsidR="005C7C50" w:rsidRDefault="00000000">
      <w:r>
        <w:t>Damage to offices from extreme climate events, pandemic impacts on bank staff, regulatory compliance cost increases.</w:t>
      </w:r>
    </w:p>
    <w:p w14:paraId="25E93FB8" w14:textId="77777777" w:rsidR="005C7C50" w:rsidRDefault="00000000">
      <w:r>
        <w:lastRenderedPageBreak/>
        <w:t>By considering these transmission channels and its impact on our financial and non-financial Risks, Rabobank takes a holistic approach to ESG risk management, to be prepared for both immediate and long-term challenges.</w:t>
      </w:r>
    </w:p>
    <w:p w14:paraId="003E4A72" w14:textId="77777777" w:rsidR="005C7C50" w:rsidRDefault="00000000">
      <w:r>
        <w:t>In addition Rabobank continuously monitors external developments and integrates ESG into its risk management processes.</w:t>
      </w:r>
    </w:p>
    <w:p w14:paraId="70BA9E4D" w14:textId="77777777" w:rsidR="005C7C50" w:rsidRDefault="00000000">
      <w:r>
        <w:t>When evaluating the significance of sustainability topics for Rabobank, we identified the following risk types as material, credit risk, business risk, funding and liquidity risk, operational risk and compliance risk.</w:t>
      </w:r>
    </w:p>
    <w:p w14:paraId="4257D43A" w14:textId="77777777" w:rsidR="005C7C50" w:rsidRDefault="00000000">
      <w:r>
        <w:t>Our goal is to ensure robust and compliant ESG risk integration, reflecting recent internal, market, and regulatory developments.</w:t>
      </w:r>
    </w:p>
    <w:p w14:paraId="3E759EA5" w14:textId="77777777" w:rsidR="005C7C50" w:rsidRDefault="00000000">
      <w:r>
        <w:t>The focus is on, ESG risk assessment, through environmental risk heatmaps, maturity assessment, scenario analysis and client risk scoring.</w:t>
      </w:r>
    </w:p>
    <w:p w14:paraId="4153F728" w14:textId="77777777" w:rsidR="005C7C50" w:rsidRDefault="00000000">
      <w:r>
        <w:t>The implementation of both the environmental risk roadmap and the roadmap on ESG risk model vision is a continuous journey with a risk-based approach.</w:t>
      </w:r>
    </w:p>
    <w:p w14:paraId="4D3DA3DB" w14:textId="77777777" w:rsidR="005C7C50" w:rsidRDefault="00000000">
      <w:r>
        <w:t>Developed a set of specific environmental Risk Adjustment Factors to capture the expected increase in environmental risks in credit risk provisioning and economic capital.</w:t>
      </w:r>
    </w:p>
    <w:p w14:paraId="50C3D8BB" w14:textId="77777777" w:rsidR="005C7C50" w:rsidRDefault="00000000">
      <w:r>
        <w:t>As decribed in the previous sections our sector x region process translates environmental risks and sustainability ambitions into business level action to support sustainable growth.</w:t>
      </w:r>
    </w:p>
    <w:p w14:paraId="045E656A" w14:textId="77777777" w:rsidR="005C7C50" w:rsidRDefault="00000000">
      <w:r>
        <w:t>From an outside-in risk perspective the plans aim to steer business decisions regarding portfolio choices and policy development to adequately and measurably manage risks in the different sectors and regions where we do business.</w:t>
      </w:r>
    </w:p>
    <w:p w14:paraId="34654111" w14:textId="77777777" w:rsidR="005C7C50" w:rsidRDefault="00000000">
      <w:r>
        <w:t>For social qualitative statements are in place that align with, our commitments to UN and OECD Human Rights Guiding Principles Guidelines, and, the exclusion criteria related to human rights as set out in the Global Standard on Acceptance and Performance.</w:t>
      </w:r>
    </w:p>
    <w:p w14:paraId="2B7DED70" w14:textId="77777777" w:rsidR="005C7C50" w:rsidRDefault="00000000">
      <w:r>
        <w:t>Since 2016, Rabobank has its Sustainable Funding Framework in place to support the banks sustainability efforts.</w:t>
      </w:r>
    </w:p>
    <w:p w14:paraId="190AA760" w14:textId="77777777" w:rsidR="005C7C50" w:rsidRDefault="00000000">
      <w:r>
        <w:t>Internal firm-wide climate scenario analysis The current basis of Rabobank's Road to Paris strategy is the scenario with global warming limited to 1.</w:t>
      </w:r>
    </w:p>
    <w:p w14:paraId="48C3BE81" w14:textId="77777777" w:rsidR="005C7C50" w:rsidRDefault="00000000">
      <w:r>
        <w:t>As such the climate scenario analysis are already broadly used in different part of our strategic risk cycle as indicated in this sustainability management section.</w:t>
      </w:r>
    </w:p>
    <w:p w14:paraId="18703049" w14:textId="77777777" w:rsidR="005C7C50" w:rsidRDefault="00000000">
      <w:r>
        <w:t>Physical emissions intensity targets have been set for SxR combinations in scope.</w:t>
      </w:r>
    </w:p>
    <w:p w14:paraId="22F916B2" w14:textId="77777777" w:rsidR="005C7C50" w:rsidRDefault="00000000">
      <w:r>
        <w:t>Using heatmap analysis, a bottom-up scenario analysis approach was employed, focusing on financial strength and sustainability.</w:t>
      </w:r>
    </w:p>
    <w:p w14:paraId="48E86AA7" w14:textId="77777777" w:rsidR="005C7C50" w:rsidRDefault="00000000">
      <w:r>
        <w:lastRenderedPageBreak/>
        <w:t>These are included in out Group wide Stress test processs, Operational as part of the Advanced Measurement Approach model 'Risk &amp; Compliance Risk' scenario program, but also as part of risk scenario program part of Business Risk capital model.</w:t>
      </w:r>
    </w:p>
    <w:p w14:paraId="17506728" w14:textId="77777777" w:rsidR="005C7C50" w:rsidRDefault="00000000">
      <w:r>
        <w:t>Data sources and estimates Rabobank made progress in establishing a structured approach to sustainability data collection and IT management, particularly regarding GHG emissions and geo-data.</w:t>
      </w:r>
    </w:p>
    <w:p w14:paraId="02921EE2" w14:textId="77777777" w:rsidR="005C7C50" w:rsidRDefault="00000000">
      <w:r>
        <w:t>Pillar 3 Year report 2024 Pillar 3 158 Rabobank managed to improve its Financed emissions data the auditor validated limited assurance, our structual tooling and bottum-up data gathering improvements.</w:t>
      </w:r>
    </w:p>
    <w:p w14:paraId="3AB7842A" w14:textId="77777777" w:rsidR="005C7C50" w:rsidRDefault="00000000">
      <w:r>
        <w:t>Critical and impactful data sources and tools used for assessing our impact are, Nature analysis based on the Bioscope Biodiversity impact model adapted from ReCiPe RIVM.</w:t>
      </w:r>
    </w:p>
    <w:p w14:paraId="2D5624B7" w14:textId="77777777" w:rsidR="005C7C50" w:rsidRDefault="00000000">
      <w:r>
        <w:t>Within our impact assessment we focussed on assessing the drivers of the sustainability related impacts.</w:t>
      </w:r>
    </w:p>
    <w:p w14:paraId="5CCB48B6" w14:textId="77777777" w:rsidR="005C7C50" w:rsidRDefault="00000000">
      <w:r>
        <w:t>For the nature analysis based on the Bioscope Biodiversity impact model, we applied best estimates.</w:t>
      </w:r>
    </w:p>
    <w:p w14:paraId="7DB14BD9" w14:textId="26791D18" w:rsidR="005C7C50" w:rsidRDefault="00000000">
      <w:r>
        <w:t>Disclosure on environmental risks in annual report, Financial Stability Board Task Force on Climate-related Financial Disclosures</w:t>
      </w:r>
      <w:r w:rsidR="00AA5B3A">
        <w:t>.</w:t>
      </w:r>
    </w:p>
    <w:p w14:paraId="15B7CCF4" w14:textId="77777777" w:rsidR="005C7C50" w:rsidRDefault="00000000">
      <w:r>
        <w:t>PCAF is a global partnership of financial institutions that work together to develop and implement a harmonized approach to assess and disclose the GHG emissions associated with their loans and investments.</w:t>
      </w:r>
    </w:p>
    <w:p w14:paraId="473E6F8D" w14:textId="77777777" w:rsidR="005C7C50" w:rsidRDefault="00000000">
      <w:r>
        <w:t>GHG Pathways, The Science-Based Targets initiative SBTi are science-based decarbonization pathways aligned with the maximum 1.</w:t>
      </w:r>
    </w:p>
    <w:p w14:paraId="414A55EE" w14:textId="77777777" w:rsidR="005C7C50" w:rsidRDefault="00000000">
      <w:r>
        <w:t>Pillar 3 Year report 2024 Pillar 3 159 Qualitative Information on Social Risk Business Strategy and Processes Sustainability is increasingly integrated into all of Rabobanks business operations.</w:t>
      </w:r>
    </w:p>
    <w:p w14:paraId="5BCF5FE7" w14:textId="77777777" w:rsidR="005C7C50" w:rsidRDefault="00000000">
      <w:r>
        <w:t>In our business decisions, risk, return and sustainability are assessed as part of our risk management framework.</w:t>
      </w:r>
    </w:p>
    <w:p w14:paraId="3D9F15F5" w14:textId="77777777" w:rsidR="005C7C50" w:rsidRDefault="00000000">
      <w:r>
        <w:t>Hence, we are committed to managing risks stemming from the current or prospective impacts of social factors on clients or invested assets.</w:t>
      </w:r>
    </w:p>
    <w:p w14:paraId="1B1A2735" w14:textId="77777777" w:rsidR="005C7C50" w:rsidRDefault="00000000">
      <w:r>
        <w:t>Rabobank has the responsibility to respect and uphold all international human rights in line with international rules and regulations and our commitment to the UN Guiding Principles on Business and Human Rights, and the OECD Guidelines for Multinational Enterprises on Responsible Business Conduct.</w:t>
      </w:r>
    </w:p>
    <w:p w14:paraId="555ECF81" w14:textId="77777777" w:rsidR="005C7C50" w:rsidRDefault="00000000">
      <w:r>
        <w:t xml:space="preserve">According to our Human Rights policy, we will not do business with customers or business partners that knowingly and structurally violate internationally accepted human rights or </w:t>
      </w:r>
      <w:r>
        <w:lastRenderedPageBreak/>
        <w:t>undertake any transactions that may be in conflict with sanctions imposed by the United Nations, the European Union or any other legislated sanctions that apply to the countries in which the bank operates, including human rights sanctions.</w:t>
      </w:r>
    </w:p>
    <w:p w14:paraId="314B6AFF" w14:textId="77777777" w:rsidR="005C7C50" w:rsidRDefault="00000000">
      <w:r>
        <w:t>We also apply the voluntary risk management framework of the Equator Principles.</w:t>
      </w:r>
    </w:p>
    <w:p w14:paraId="35547807" w14:textId="77777777" w:rsidR="005C7C50" w:rsidRDefault="00000000">
      <w:r>
        <w:t>Specific policies provide additional guidance regarding social risk topics stemming from clients and business partners such as, Corruption, when managing relationships with clients and counterparties, we are committed to fighting corruption and conducting business ethically and transparently, in conformity with the United Nations Convention against Corruption.</w:t>
      </w:r>
    </w:p>
    <w:p w14:paraId="048D71A6" w14:textId="77777777" w:rsidR="005C7C50" w:rsidRDefault="00000000">
      <w:r>
        <w:t>Rabobank employees must always follow these good practices, regardless of the distribution channel or technology which is used to service Rabobank's clients.</w:t>
      </w:r>
    </w:p>
    <w:p w14:paraId="414D9D42" w14:textId="77777777" w:rsidR="005C7C50" w:rsidRDefault="00000000">
      <w:r>
        <w:t>Specifically on sustainability claims, our policies mandate that the information about our products or services, its characteristics, and the associated risks must be fair, clear, and not misleading see also Greenwashing Framework.</w:t>
      </w:r>
    </w:p>
    <w:p w14:paraId="5996D068" w14:textId="77777777" w:rsidR="005C7C50" w:rsidRDefault="00000000">
      <w:r>
        <w:t>Rabobank is also committed to complying with data regulation in relation to the UN Guiding Principles on Business and Human Rights.</w:t>
      </w:r>
    </w:p>
    <w:p w14:paraId="09C6010C" w14:textId="77777777" w:rsidR="005C7C50" w:rsidRDefault="00000000">
      <w:r>
        <w:t>Risk Management Social risk is part of Rabobanks risk taxonomy and is considered material.</w:t>
      </w:r>
    </w:p>
    <w:p w14:paraId="0C22E5FB" w14:textId="77777777" w:rsidR="005C7C50" w:rsidRDefault="00000000">
      <w:r>
        <w:t>For financial crime compliance risk management purposes, within the CDD process, we have processes in place to perform background screening such as PEPs, sanctions and adverse media checks to identify associated risks in relation to our clients and business partners.</w:t>
      </w:r>
    </w:p>
    <w:p w14:paraId="31DD7FA3" w14:textId="77777777" w:rsidR="005C7C50" w:rsidRDefault="00000000">
      <w:r>
        <w:t>It includes activities that have a sizeable negative environmental or social impact and is based on both Rabobank policies and the exclusion list of the International Finance Corporation.</w:t>
      </w:r>
    </w:p>
    <w:p w14:paraId="19766590" w14:textId="77777777" w:rsidR="005C7C50" w:rsidRDefault="00000000">
      <w:r>
        <w:t>Rabobank has a risk and control framework in place to actively manage and control operational and compliance risks, supported by policies, procedures, limits, and control structures.</w:t>
      </w:r>
    </w:p>
    <w:p w14:paraId="6E22F484" w14:textId="77777777" w:rsidR="005C7C50" w:rsidRDefault="00000000">
      <w:r>
        <w:t>It established a consistent approach to risk and control activities based on one overarching risk library set, including for example conduct, financial economic crime, fraud, data management, corporate governance, and sustainability.</w:t>
      </w:r>
    </w:p>
    <w:p w14:paraId="4E0B566D" w14:textId="77777777" w:rsidR="005C7C50" w:rsidRDefault="00000000">
      <w:r>
        <w:t>In addition, they are responsible for correctly and transparently documenting their steps towards sustainability.</w:t>
      </w:r>
    </w:p>
    <w:p w14:paraId="23FF71C9" w14:textId="77777777" w:rsidR="005C7C50" w:rsidRDefault="00000000">
      <w:r>
        <w:t>This concerns client's decision-making, supervision, and management processes regarding economic, environmental, and social topics, including their non-financial reporting including sustainability reporting following EU law.</w:t>
      </w:r>
    </w:p>
    <w:p w14:paraId="19BCEBDC" w14:textId="77777777" w:rsidR="005C7C50" w:rsidRDefault="00000000">
      <w:r>
        <w:lastRenderedPageBreak/>
        <w:t>With regard to transparency, we apply our Tax Policy Statement compliancy with local and international tax laws and regulations in line with international standards and business principles on transparency and tax.</w:t>
      </w:r>
    </w:p>
    <w:p w14:paraId="7FB12777" w14:textId="77777777" w:rsidR="005C7C50" w:rsidRDefault="00000000">
      <w:r>
        <w:t>The following committees discuss the developments in governance risk and may influence the translation thereof into business objectives and the adaptation of processes and assessment criteria, The Ethics Committee reflects on practical situations that may have an underlying ethical issue in the context of Rabobank values.</w:t>
      </w:r>
    </w:p>
    <w:p w14:paraId="4A440A8C" w14:textId="77777777" w:rsidR="005C7C50" w:rsidRDefault="00000000">
      <w:r>
        <w:t>Risk Management Roles and responsibilities are defined within the existing internal governance including risk committees.</w:t>
      </w:r>
    </w:p>
    <w:p w14:paraId="2F55828A" w14:textId="77777777" w:rsidR="005C7C50" w:rsidRDefault="00000000">
      <w:r>
        <w:t>Our risk and compliance policies support our management of governance risks of clients.</w:t>
      </w:r>
    </w:p>
    <w:p w14:paraId="7E7DAE43" w14:textId="77777777" w:rsidR="005C7C50" w:rsidRDefault="00000000">
      <w:r>
        <w:t>Because these policies encompass regulatory required and material topics as well as our commitments regarding governance risk, they are adequately included in our risk acceptance criteria, reporting and risk appetite.</w:t>
      </w:r>
    </w:p>
    <w:p w14:paraId="36934124" w14:textId="77777777" w:rsidR="005C7C50" w:rsidRDefault="00000000">
      <w:r>
        <w:t>As a bank, we focus on supporting our customers in high-emitting sectors to transition to more emission-efficient practices.</w:t>
      </w:r>
    </w:p>
    <w:p w14:paraId="4A36E535" w14:textId="77777777" w:rsidR="005C7C50" w:rsidRDefault="00000000">
      <w:r>
        <w:t>Achieving the targets will also require joint efforts together with customers and other stakeholders to support the transition of our customers, as well as governments following through on their own commitments to ensure that the objectives of the Paris Agreement are met.</w:t>
      </w:r>
    </w:p>
    <w:p w14:paraId="37040802" w14:textId="77777777" w:rsidR="005C7C50" w:rsidRDefault="00000000">
      <w:r>
        <w:t>There is a slight increase in exposures sensitive to chronic climate change, specifically foundation risk, due to updates in the climate risk data that resulted in more objects being flagged as sensitive.</w:t>
      </w:r>
    </w:p>
    <w:p w14:paraId="30B401D4" w14:textId="77777777" w:rsidR="005C7C50" w:rsidRDefault="00000000">
      <w:r>
        <w:t>Those green declarations that align with EU taxonomy activities are considered to contribute to climate change mitigation.</w:t>
      </w:r>
    </w:p>
    <w:p w14:paraId="04B6F856" w14:textId="77777777" w:rsidR="005C7C50" w:rsidRDefault="00000000">
      <w:r>
        <w:t>Those green declarations that align with EU taxonomy activities are considered to contribute to climate change mitigation.</w:t>
      </w:r>
    </w:p>
    <w:p w14:paraId="7A61B84E" w14:textId="77777777" w:rsidR="005C7C50" w:rsidRDefault="00000000">
      <w:r>
        <w:t>Those green declarations that align with EU taxonomy activities are considered to contribute to climate change mitigation.</w:t>
      </w:r>
    </w:p>
    <w:sectPr w:rsidR="005C7C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5103192">
    <w:abstractNumId w:val="8"/>
  </w:num>
  <w:num w:numId="2" w16cid:durableId="759520112">
    <w:abstractNumId w:val="6"/>
  </w:num>
  <w:num w:numId="3" w16cid:durableId="1394890436">
    <w:abstractNumId w:val="5"/>
  </w:num>
  <w:num w:numId="4" w16cid:durableId="270935264">
    <w:abstractNumId w:val="4"/>
  </w:num>
  <w:num w:numId="5" w16cid:durableId="237595728">
    <w:abstractNumId w:val="7"/>
  </w:num>
  <w:num w:numId="6" w16cid:durableId="1907715616">
    <w:abstractNumId w:val="3"/>
  </w:num>
  <w:num w:numId="7" w16cid:durableId="184904024">
    <w:abstractNumId w:val="2"/>
  </w:num>
  <w:num w:numId="8" w16cid:durableId="2057469019">
    <w:abstractNumId w:val="1"/>
  </w:num>
  <w:num w:numId="9" w16cid:durableId="65916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10A"/>
    <w:rsid w:val="0029639D"/>
    <w:rsid w:val="00326F90"/>
    <w:rsid w:val="005235FB"/>
    <w:rsid w:val="005631DE"/>
    <w:rsid w:val="005C7C50"/>
    <w:rsid w:val="00AA1D8D"/>
    <w:rsid w:val="00AA5B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BAA27"/>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5462</Words>
  <Characters>31138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2025-08-12T14:29:00Z</dcterms:modified>
  <cp:category/>
</cp:coreProperties>
</file>