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CBD7" w14:textId="77777777" w:rsidR="00E908FA" w:rsidRDefault="00000000">
      <w:r>
        <w:t>Accordingly, the Group will strive to achieve the following in the short and medium term, to adjust its portfolio of customers and exposures to the Nationally Determined Contributions NDCs of the EU, which requires the reduction of greenhouse gas emissions by 55% relative to 1990 levels by 2030 and Slovenias associated commitments.</w:t>
      </w:r>
    </w:p>
    <w:p w14:paraId="3F0DDA63" w14:textId="77777777" w:rsidR="00E908FA" w:rsidRDefault="00000000">
      <w:r>
        <w:t>The Group will continue to focus on the introduction of ESG factors in internal processes in order to meet the associated regulatory requirements and improve the availability of data that will serve as the basis for future measures and goals.</w:t>
      </w:r>
    </w:p>
    <w:p w14:paraId="7026631A" w14:textId="3BA63F89" w:rsidR="00E908FA" w:rsidRDefault="00000000">
      <w:r>
        <w:t xml:space="preserve">The Groups approach is the gradual inclusion of ESG factors in the risk management framework, short-term, emphasis on the introduction of acute physical risk and transition risk </w:t>
      </w:r>
      <w:r w:rsidR="000402AB">
        <w:t>p</w:t>
      </w:r>
      <w:r>
        <w:t>olicy changes to achieve the target of zero emissions.</w:t>
      </w:r>
    </w:p>
    <w:p w14:paraId="0BB4D9E1" w14:textId="77777777" w:rsidR="00E908FA" w:rsidRDefault="00000000">
      <w:r>
        <w:t>In accordance with the Disclosure Policy, the Group has in place internal controls and procedures for ensuring the accuracy of disclosed information.</w:t>
      </w:r>
    </w:p>
    <w:p w14:paraId="341742C3" w14:textId="77777777" w:rsidR="00E908FA" w:rsidRDefault="00000000">
      <w:r>
        <w:t>The Bank defined the following risk management objectives at the Group level in its risk appetite framework, moderate, sustainable and long-term profitability.</w:t>
      </w:r>
    </w:p>
    <w:p w14:paraId="7B690B40" w14:textId="77777777" w:rsidR="00E908FA" w:rsidRDefault="00000000">
      <w:r>
        <w:t>The Group is introducing climate and environmental risks in its business strategy and business plan, and in its risk management framework.</w:t>
      </w:r>
    </w:p>
    <w:p w14:paraId="07E1A358" w14:textId="77777777" w:rsidR="00E908FA" w:rsidRDefault="00000000">
      <w:r>
        <w:t>The Group is taking a progressive approach to the integration of ESG risksfactors in its business planning and risk management framework, with a clear emphasis on lending activities.</w:t>
      </w:r>
    </w:p>
    <w:p w14:paraId="76441BA4" w14:textId="77777777" w:rsidR="00E908FA" w:rsidRDefault="00000000">
      <w:r>
        <w:t>The Group aims to adjust its investment and loan portfolios over the short and medium terms to ensure that they are in line with Slovenias climate commitments.</w:t>
      </w:r>
    </w:p>
    <w:p w14:paraId="2DE55705" w14:textId="77777777" w:rsidR="00E908FA" w:rsidRDefault="00000000">
      <w:r>
        <w:t>It also aims to increase its commitments to finance the transition to a low-carbon or carbon-neutral economy.</w:t>
      </w:r>
    </w:p>
    <w:p w14:paraId="524818A2" w14:textId="77777777" w:rsidR="00E908FA" w:rsidRDefault="00000000">
      <w:r>
        <w:t>The risk management process reflects the Groups comprehensive approach and includes the following, the identification of the risks to which the Group is exposed in its operations.</w:t>
      </w:r>
    </w:p>
    <w:p w14:paraId="32E5D312" w14:textId="77777777" w:rsidR="00E908FA" w:rsidRDefault="00000000">
      <w:r>
        <w:t>Decisions regarding the risk appetite framework, the establishment of an operational limit system, risk management policies, and methodologies for measuring, monitoring and managing risks within the Nova KBM Group are made by Nova KBM as the largest credit institution in the Group.</w:t>
      </w:r>
    </w:p>
    <w:p w14:paraId="35DF39AC" w14:textId="77777777" w:rsidR="00E908FA" w:rsidRDefault="00000000">
      <w:r>
        <w:t>The Group performs regulatory stress tests taking into account the methodologies prescribed by regulators, while in performing internal stress tests, it uses an internally established policy and methodologies, which define scenarios, input data and a timeframe, assumptions, risk parameters, measurement techniques, thresholds and proposed management measures.</w:t>
      </w:r>
    </w:p>
    <w:p w14:paraId="4FB4570C" w14:textId="77777777" w:rsidR="00E908FA" w:rsidRDefault="00000000">
      <w:r>
        <w:lastRenderedPageBreak/>
        <w:t>Performance of stress tests linked to ESG, with a special emphasis on climate risks The Bank included the performance of climate-related stress tests in its internal policy and methodology on the performance of stress tests with the primary aim of the short-term and long-term integration of stress tests and analyses in this area.</w:t>
      </w:r>
    </w:p>
    <w:p w14:paraId="547C3FD9" w14:textId="77777777" w:rsidR="00E908FA" w:rsidRDefault="00000000">
      <w:r>
        <w:t>To ensure the systematic control of exposure to material risks, the Group has established a system of internal controls at all levels of the organisational structure.</w:t>
      </w:r>
    </w:p>
    <w:p w14:paraId="3DAA5587" w14:textId="77777777" w:rsidR="00E908FA" w:rsidRDefault="00000000">
      <w:r>
        <w:t>Responsibility for establishing and implementing internal controls lays with persons responsible for individual areas at the Bank.</w:t>
      </w:r>
    </w:p>
    <w:p w14:paraId="4A9FF2E2" w14:textId="77777777" w:rsidR="00E908FA" w:rsidRDefault="00000000">
      <w:r>
        <w:t>Control functions represent three lines of defence that comprise the risk function, compliance function and internal audit function.</w:t>
      </w:r>
    </w:p>
    <w:p w14:paraId="7535B5F2" w14:textId="740FE05C" w:rsidR="00E908FA" w:rsidRDefault="00000000">
      <w:r>
        <w:t>The task of the Compliance Department is to ensure the proper management of compliance risk</w:t>
      </w:r>
      <w:r w:rsidR="0006060F">
        <w:t>.</w:t>
      </w:r>
    </w:p>
    <w:p w14:paraId="2891E9B2" w14:textId="77777777" w:rsidR="00E908FA" w:rsidRDefault="00000000">
      <w:r>
        <w:t>To ensure the proper operations of the Bank in accordance with the applicable regulations, legislation and standards of good practice.</w:t>
      </w:r>
    </w:p>
    <w:p w14:paraId="00BF10FC" w14:textId="77777777" w:rsidR="00E908FA" w:rsidRDefault="00000000">
      <w:r>
        <w:t>In terms of internal governance, the Bank thus has several governance levels in place to ensure the effective management of risks, as illustrated by Figures 3 and 4.</w:t>
      </w:r>
    </w:p>
    <w:p w14:paraId="3CFB3351" w14:textId="77777777" w:rsidR="00E908FA" w:rsidRDefault="00000000">
      <w:r>
        <w:t>The committees mission is to ensure the comprehensive implementation of the ESG strategy across the organisation, to define, assess, manage and mitigate climate-related risks, and to exploit to the greatest extent possible the business opportunities presented by the ESG transformation.</w:t>
      </w:r>
    </w:p>
    <w:p w14:paraId="0BEC84DE" w14:textId="77777777" w:rsidR="00E908FA" w:rsidRDefault="00000000">
      <w:r>
        <w:t>Internal control mechanisms according to the model of three lines of defence The Bank has defined the organisational structure of internal control mechanisms according to the model of three lines of defence, in the scope of the Internal Control System Policy at Nova KBM.</w:t>
      </w:r>
    </w:p>
    <w:p w14:paraId="0BB200CF" w14:textId="77777777" w:rsidR="00E908FA" w:rsidRDefault="00000000">
      <w:r>
        <w:t>The primary objective of internal controls is to reduce risks to an acceptable level risk mitigation, and to prevent intentional and unintentional errors and irregularities.</w:t>
      </w:r>
    </w:p>
    <w:p w14:paraId="46D5B59A" w14:textId="77777777" w:rsidR="00E908FA" w:rsidRDefault="00000000">
      <w:r>
        <w:t>The Bank has internal controls in place at all organisational levels, including business, control, and support functions, and at the level of each product and service of the Bank, with a clear and documented decision-making process, a clear segregation of responsibilities and powers, and a clear work process defined by internal instructions.</w:t>
      </w:r>
    </w:p>
    <w:p w14:paraId="0FA4BBD3" w14:textId="77777777" w:rsidR="00E908FA" w:rsidRDefault="00000000">
      <w:r>
        <w:t>Nova KBMs risk management function is responsible for ensuring effective processes are in place, to define the risks to which the Bank is exposed.</w:t>
      </w:r>
    </w:p>
    <w:p w14:paraId="3DC65030" w14:textId="77777777" w:rsidR="00E908FA" w:rsidRDefault="00000000">
      <w:r>
        <w:t>In addition, the risk management function has an early warning system in place for detecting increased risks in order to capture potential risks in the Banks portfolio and to take appropriate action to mitigate such risks in a timely manner.</w:t>
      </w:r>
    </w:p>
    <w:p w14:paraId="7BFF26AA" w14:textId="77777777" w:rsidR="00E908FA" w:rsidRDefault="00000000">
      <w:r>
        <w:lastRenderedPageBreak/>
        <w:t>The main area of work is the continuous inclusion of risk models in the Banks risk management processes.</w:t>
      </w:r>
    </w:p>
    <w:p w14:paraId="067B30D0" w14:textId="77777777" w:rsidR="00E908FA" w:rsidRDefault="00000000">
      <w:r>
        <w:t>The preventive management of compliance risk includes the regular monitoring of all changes to valid legislation on the one hand and ensuring the implementation of those changes in the Banks bylaws and processes on the other, as well as the establishment, propagation and actual implementation of a culture of compliance and integrity across the Bank and Group.</w:t>
      </w:r>
    </w:p>
    <w:p w14:paraId="3F0C4200" w14:textId="77777777" w:rsidR="00E908FA" w:rsidRDefault="00000000">
      <w:r>
        <w:t>To that end, the compliance function, informs and educates employees with regard to the values, policies and processes that help ensure that the Bank acts responsibly and fulfils all valid obligations.</w:t>
      </w:r>
    </w:p>
    <w:p w14:paraId="544CDACE" w14:textId="77777777" w:rsidR="00E908FA" w:rsidRDefault="00000000">
      <w:r>
        <w:t>That assessment also sets out the planned management of identified risks, taking into account previously envisaged or planned measures and activities to managemitigate compliance risks.</w:t>
      </w:r>
    </w:p>
    <w:p w14:paraId="237304C1" w14:textId="77777777" w:rsidR="00E908FA" w:rsidRDefault="00000000">
      <w:r>
        <w:t>The compliance function reports regularly to the management body and relevant organisational unit with respect to the aforementioned assessment, together with proposed measures for improvement of internal controls in the event of increased compliance risk.</w:t>
      </w:r>
    </w:p>
    <w:p w14:paraId="0E8A1384" w14:textId="77777777" w:rsidR="00E908FA" w:rsidRDefault="00000000">
      <w:r>
        <w:t>Given the specific nature of the tasks and activities of the Banks compliance function, the employees who perform the compliance function require a high level of professional competences in the area of law and the appropriate work experience.</w:t>
      </w:r>
    </w:p>
    <w:p w14:paraId="621B79A8" w14:textId="77777777" w:rsidR="00E908FA" w:rsidRDefault="00000000">
      <w:r>
        <w:t>For that purpose, employees who perform the compliance function attend regular training in the area of compliance.</w:t>
      </w:r>
    </w:p>
    <w:p w14:paraId="5316FF8A" w14:textId="77777777" w:rsidR="00E908FA" w:rsidRDefault="00000000">
      <w:r>
        <w:t>Internal audit function The Bank has in place a three-line system in order to ensure effective governance, risk management and internal control systems.</w:t>
      </w:r>
    </w:p>
    <w:p w14:paraId="34564559" w14:textId="77777777" w:rsidR="00E908FA" w:rsidRDefault="00000000">
      <w:r>
        <w:t>Nova KBMs Internal Audit Department is responsible for the internal audit function of Nova KBM and the Nova KBM Group.</w:t>
      </w:r>
    </w:p>
    <w:p w14:paraId="6CAF369B" w14:textId="77777777" w:rsidR="00E908FA" w:rsidRDefault="00000000">
      <w:r>
        <w:t>Nova KBMs Internal Audit Department is responsible for internal auditing at all subsidiaries as part of the performance of its control activities.</w:t>
      </w:r>
    </w:p>
    <w:p w14:paraId="18CEB8E5" w14:textId="77777777" w:rsidR="00E908FA" w:rsidRDefault="00000000">
      <w:r>
        <w:t>If other activities are performed, it must be ensured that an auditors impartiality is not impaired as a result.</w:t>
      </w:r>
    </w:p>
    <w:p w14:paraId="4D97E1E9" w14:textId="77777777" w:rsidR="00E908FA" w:rsidRDefault="00000000">
      <w:r>
        <w:t>Appropriately qualified staff must be in place to ensure the quality of internal auditing.</w:t>
      </w:r>
    </w:p>
    <w:p w14:paraId="56C294BD" w14:textId="77777777" w:rsidR="00E908FA" w:rsidRDefault="00000000">
      <w:r>
        <w:t>The Group takes a systematic approach to measuring and reporting exposure to individual types of risk from a normative Pillar 1 and economic Pillar 2 perspective, and from both a regulatory and internal perspective.</w:t>
      </w:r>
    </w:p>
    <w:p w14:paraId="01D1027C" w14:textId="77777777" w:rsidR="00E908FA" w:rsidRDefault="00000000">
      <w:r>
        <w:t>The risk management system is appropriate with respect to the Banks risk profile and strategy, and its capacity to take-up risks.</w:t>
      </w:r>
    </w:p>
    <w:p w14:paraId="4A591122" w14:textId="77777777" w:rsidR="00E908FA" w:rsidRDefault="00000000">
      <w:r>
        <w:lastRenderedPageBreak/>
        <w:t>Within the framework of its Governance Policy and its Internal Control System Policy, the Group has put in place an effective internal governance system based on the concept of three lines of defence, where the risk management function represents the second line of defence.</w:t>
      </w:r>
    </w:p>
    <w:p w14:paraId="55F32722" w14:textId="77777777" w:rsidR="00E908FA" w:rsidRDefault="00000000">
      <w:r>
        <w:t>This approach provides for the proper implementation of the Groups risk management strategy.</w:t>
      </w:r>
    </w:p>
    <w:p w14:paraId="6C3135C4" w14:textId="77777777" w:rsidR="00E908FA" w:rsidRDefault="00000000">
      <w:r>
        <w:t>The Bank includes environmental, social and governance risks in risk management and other internal processes, with an emphasis on environmental and climate risks.</w:t>
      </w:r>
    </w:p>
    <w:p w14:paraId="36E8880E" w14:textId="77777777" w:rsidR="00E908FA" w:rsidRDefault="00000000">
      <w:r>
        <w:t>That process is continuously updated with the aim of achieving its objectives and commitments to sustainable development and the transition to a low-carbon economy.</w:t>
      </w:r>
    </w:p>
    <w:p w14:paraId="11B8517D" w14:textId="77777777" w:rsidR="00E908FA" w:rsidRDefault="00000000">
      <w:r>
        <w:t>An effective risk management system, which is based on the business model put in place at the Group level, and also effective corporate governance, have made a comprehensive contribution to reducing SREP requirements in recent years.</w:t>
      </w:r>
    </w:p>
    <w:p w14:paraId="671AD810" w14:textId="77777777" w:rsidR="00E908FA" w:rsidRDefault="00000000">
      <w:r>
        <w:t>The objective of the strategic business plan is to establish a comprehensive planning process that includes regulatory own fundsown funds requirementscapital adequacy, funding and profitability plans.</w:t>
      </w:r>
    </w:p>
    <w:p w14:paraId="0BDFCBBC" w14:textId="77777777" w:rsidR="00E908FA" w:rsidRDefault="00000000">
      <w:r>
        <w:t>Credit risk management includes the identification, measurement and reduction of risks to an acceptable level that is in line with the established business strategy, risk appetite framework and risk appetite statement.</w:t>
      </w:r>
    </w:p>
    <w:p w14:paraId="2397B0AF" w14:textId="77777777" w:rsidR="00E908FA" w:rsidRDefault="00000000">
      <w:r>
        <w:t>The required knowledge, skills and experience of each member, individually and in connection with other members as a complementary whole, ensure a level of understanding of the Banks transactions, the risks to which it is exposed and the structure of governance required for the adoption of professional, sound and competent decisions for managing and supervising the Bank.</w:t>
      </w:r>
    </w:p>
    <w:p w14:paraId="0D61E4B2" w14:textId="77777777" w:rsidR="00E908FA" w:rsidRDefault="00000000">
      <w:r>
        <w:t>In accordance with the revised EBA Guidelines on the assessment of suitability, the policy was supplemented with a provision that requires the Bank to take into account additional requirements andor introduce additional measures to ensure diversity in terms of gender, and to respect the principle of equal opportunities with the aim of enhancing the positive impact on the decision-making process at individual levels of management.</w:t>
      </w:r>
    </w:p>
    <w:p w14:paraId="7F8F4033" w14:textId="77777777" w:rsidR="00E908FA" w:rsidRDefault="00000000">
      <w:r>
        <w:t>In connection with ensuring diversity, the Bank also adopted the new Diversity, Equality, Inclusion and Commitment Policy at the beginning of 2023 Diversity Policy.</w:t>
      </w:r>
    </w:p>
    <w:p w14:paraId="359EE5EE" w14:textId="77777777" w:rsidR="00E908FA" w:rsidRDefault="00000000">
      <w:r>
        <w:t>In accordance with the Diversity Policy and the Employee Development Strategy objectives relating to the representation of the underrepresented gender were defined, which promotes diversity in the Banks two-tier system of governance.</w:t>
      </w:r>
    </w:p>
    <w:p w14:paraId="2BE7A99D" w14:textId="77777777" w:rsidR="00E908FA" w:rsidRDefault="00000000">
      <w:r>
        <w:t>In order to ensure a diverse and inclusive environment, Nova KBM implements a number of programmes and practices to promote diversity, equality, inclusion and commitment.</w:t>
      </w:r>
    </w:p>
    <w:p w14:paraId="7162B0D1" w14:textId="77777777" w:rsidR="00E908FA" w:rsidRDefault="00000000">
      <w:r>
        <w:lastRenderedPageBreak/>
        <w:t>Diversity is ensured in practice through procedures used to nominate and appoint members of the management and supervisory bodies.</w:t>
      </w:r>
    </w:p>
    <w:p w14:paraId="72263862" w14:textId="77777777" w:rsidR="00E908FA" w:rsidRDefault="00000000">
      <w:r>
        <w:t>The Bank sets out the frequency of reporting and the person responsible for reporting in its individual risk management policies.</w:t>
      </w:r>
    </w:p>
    <w:p w14:paraId="3F4E0E8C" w14:textId="77777777" w:rsidR="00E908FA" w:rsidRDefault="00000000">
      <w:r>
        <w:t>The committee will provide resources and monitor the development of the quality of data for internal data sources required for the management of credit risk in connection with retail banking.</w:t>
      </w:r>
    </w:p>
    <w:p w14:paraId="3090EFF2" w14:textId="77777777" w:rsidR="00E908FA" w:rsidRDefault="00000000">
      <w:r>
        <w:t>The annual report includes a summary of annual activities in the area of AMLCFT statistical data, risk analysis, amendments to internal rules and application systems, the implementation of internal control activities, participation in training, etc.</w:t>
      </w:r>
    </w:p>
    <w:p w14:paraId="4351DDA6" w14:textId="77777777" w:rsidR="00E908FA" w:rsidRDefault="00000000">
      <w:r>
        <w:t>The AMLCFT officer heads the Committee for Treatment of High-Risk Clients, which discusses and adopts measures when transacting with clients where the Bank identifies certain conduct that poses a compliance risk or other practices that, by their nature, pose increased risk to the Bank.</w:t>
      </w:r>
    </w:p>
    <w:p w14:paraId="3CC4974A" w14:textId="3BE4D91A" w:rsidR="00E908FA" w:rsidRDefault="00000000">
      <w:r>
        <w:t>The company through which those shares were purchased was managed by certain investment funds, as branches of Apollo Global Management, Inc</w:t>
      </w:r>
      <w:r w:rsidR="0006060F">
        <w:t xml:space="preserve"> </w:t>
      </w:r>
      <w:r>
        <w:t>and the European Bank for Reconstruction and Development.</w:t>
      </w:r>
    </w:p>
    <w:p w14:paraId="5CECD3AA" w14:textId="77777777" w:rsidR="00E908FA" w:rsidRDefault="00000000">
      <w:r>
        <w:t>According to the situation on 31 December 2023, the OTP Luxembourg Groups regulatory own funds were up by €71 million relative to 31 December 2022, primarily as the result of the inclusion of a portion of net profit for the 2023 financial year in the amount of €87.</w:t>
      </w:r>
    </w:p>
    <w:p w14:paraId="0480FC2D" w14:textId="77777777" w:rsidR="00E908FA" w:rsidRDefault="00000000">
      <w:r>
        <w:t>Implementing documents for both policies comprise methodologies that define the approach for identifying and measuring risks, for calculating Pillar 1 and Pillar 2 own funds requirements, and regulatory and internal own funds, and for performing stress tests.</w:t>
      </w:r>
    </w:p>
    <w:p w14:paraId="6356EE89" w14:textId="77777777" w:rsidR="00E908FA" w:rsidRDefault="00000000">
      <w:r>
        <w:t>The Group has identified risk factors that affect risk management within the Group, primarily through internally developed models, and assesses their impact and materiality with the help of sensitivity analyses.</w:t>
      </w:r>
    </w:p>
    <w:p w14:paraId="1909F3B6" w14:textId="77777777" w:rsidR="00E908FA" w:rsidRDefault="00000000">
      <w:r>
        <w:t>The assessment of the materiality of climate-related and environmental risk factors is described in more detail in Chapter 24.</w:t>
      </w:r>
    </w:p>
    <w:p w14:paraId="2DD73CD9" w14:textId="77777777" w:rsidR="00E908FA" w:rsidRDefault="00000000">
      <w:r>
        <w:t>The TC ratio and CET1 ratio were 277 and 284 basis points higher, respectively, relative to the situation as of 31 December 2022 due to a decrease in the total risk exposure amount of €407 million the main reason for that reduction was the sale of the subsidiary Summit Leasing Slovenija and its Croatian subsidiary Mobil Leasing, and the resulting exclusion of their portfolios and an increase in regulatory own funds by €71 million primarily due to the inclusion of a portion of net profit from the 2023 financial year.</w:t>
      </w:r>
    </w:p>
    <w:p w14:paraId="35461F5C" w14:textId="77777777" w:rsidR="00E908FA" w:rsidRDefault="00000000">
      <w:r>
        <w:t xml:space="preserve">Besides taking into account regulatory criteria such as 30 days past due, the Group acts in accordance with the Customer Classification Methodology of the Nova KBM Group when </w:t>
      </w:r>
      <w:r>
        <w:lastRenderedPageBreak/>
        <w:t>determining whether there has been a significant increase in credit risk in connection with an individual asset since initial recognition.</w:t>
      </w:r>
    </w:p>
    <w:p w14:paraId="5E2DCDAF" w14:textId="77777777" w:rsidR="00E908FA" w:rsidRDefault="00000000">
      <w:r>
        <w:t>Stage 3 exposures set out in IFRS 9, where total exposure to a small group of connected clients exceeds €300,000, are impaired individually based on an assessment of the sustainability of the Banks business plan and strategy vis-à-vis a customer and thus on all expected cash flows from both operations and the redemption of collateral.</w:t>
      </w:r>
    </w:p>
    <w:p w14:paraId="1E38946F" w14:textId="77777777" w:rsidR="00E908FA" w:rsidRDefault="00000000">
      <w:r>
        <w:t>The Nova KBM Group thus addresses the following risks in the scope of general operational risk, reputation risk, model risk, risks in connection with employee conduct, systemIT risk, project risk, compliance risk, the risk of fraud external and internal, the risk of cybercrime, human resource risk, legal risk, outsourcing risk and risk associated with data quality.</w:t>
      </w:r>
    </w:p>
    <w:p w14:paraId="7BA32257" w14:textId="668F90AA" w:rsidR="00E908FA" w:rsidRDefault="00000000">
      <w:r>
        <w:t>To ensure improved risk management, the Bank also has in place an operational risk appetite system and the monitoring of key risk indicators</w:t>
      </w:r>
      <w:r w:rsidR="0006060F">
        <w:t>.</w:t>
      </w:r>
    </w:p>
    <w:p w14:paraId="3C695067" w14:textId="77777777" w:rsidR="00E908FA" w:rsidRDefault="00000000">
      <w:r>
        <w:t>To prevent a significant increase in interest rate risk, and to prevent the breach of regulatory limits and the interest rate risk appetite limit, the Group has in place a limit system that is defined in the Operational Limits Handbook of the Nova KBM Group.</w:t>
      </w:r>
    </w:p>
    <w:p w14:paraId="2F3E4F5E" w14:textId="77777777" w:rsidR="00E908FA" w:rsidRDefault="00000000">
      <w:r>
        <w:t>The Remuneration Policy, including information regarding the criteria used for the measurement of performance and risk adjustment, are presented at the Nova KBM Group level.</w:t>
      </w:r>
    </w:p>
    <w:p w14:paraId="04779BB9" w14:textId="77777777" w:rsidR="00E908FA" w:rsidRDefault="00000000">
      <w:r>
        <w:t>The Remuneration Policy applies to all employees, is gender-neutral and takes into account the principle of equal pay for equal work, or work of equal value, regardless of gender.</w:t>
      </w:r>
    </w:p>
    <w:p w14:paraId="7B9DC220" w14:textId="77777777" w:rsidR="00E908FA" w:rsidRDefault="00000000">
      <w:r>
        <w:t>The Remuneration Policy is based on the link between remuneration and the prudent acceptance of risks, and is designed so as not to encourage the increased willingness to accept risks or to act in contravention of the Banks interests.</w:t>
      </w:r>
    </w:p>
    <w:p w14:paraId="6E2D2F1F" w14:textId="77777777" w:rsidR="00E908FA" w:rsidRDefault="00000000">
      <w:r>
        <w:t>This is ensured by defining appropriate ratios between the fixed and variable components of remuneration of staff whose activities have a material impact on the Banks risk profile, taking into account the fact that the total remuneration of those employees may not be highly dependent on the variable component of remuneration.</w:t>
      </w:r>
    </w:p>
    <w:p w14:paraId="5675AEDF" w14:textId="77777777" w:rsidR="00E908FA" w:rsidRDefault="00000000">
      <w:r>
        <w:t>The remuneration of identified staff is set on the basis of the annual assessment of employee performance, and comprises the objectives of the Bank and organisational unit and, to a lesser degree, the personal objectives of an employee.</w:t>
      </w:r>
    </w:p>
    <w:p w14:paraId="7BC28F87" w14:textId="77777777" w:rsidR="00E908FA" w:rsidRDefault="00000000">
      <w:r>
        <w:t>Qualitative objectives competences are also taken into account in the setting of remuneration.</w:t>
      </w:r>
    </w:p>
    <w:p w14:paraId="72092B2C" w14:textId="77777777" w:rsidR="00E908FA" w:rsidRDefault="00000000">
      <w:r>
        <w:t>The payment of remuneration to employees who are not deemed identified staff under the Remuneration Policy may be carried out at any time in accordance with valid regulations and the bylaws of the Bank.</w:t>
      </w:r>
    </w:p>
    <w:p w14:paraId="64CA1DDC" w14:textId="77777777" w:rsidR="00E908FA" w:rsidRDefault="00000000">
      <w:r>
        <w:lastRenderedPageBreak/>
        <w:t>In the scope of their competences, the Remuneration Committee and the Banks Supervisory Board regularly verify the appropriateness of adopted remuneration policies and practices, and control the implementation thereof.</w:t>
      </w:r>
    </w:p>
    <w:p w14:paraId="38E869E6" w14:textId="77777777" w:rsidR="00E908FA" w:rsidRDefault="00000000">
      <w:r>
        <w:t>They also approve material exemptions for individual employees and changes to the Remuneration Policy, and carefully study and monitor their effects.</w:t>
      </w:r>
    </w:p>
    <w:p w14:paraId="47336263" w14:textId="77777777" w:rsidR="00E908FA" w:rsidRDefault="00000000">
      <w:r>
        <w:t>Role of independent control functions In accordance with their competences, the Banks individual expert departments are involved in the creation, supervision and review of the appropriateness of the Remuneration Policy.</w:t>
      </w:r>
    </w:p>
    <w:p w14:paraId="195254E5" w14:textId="77777777" w:rsidR="00E908FA" w:rsidRDefault="00000000">
      <w:r>
        <w:t>The findings of the Compliance Office are considered by the Supervisory Board in the approval, review and supervision of the Remuneration Policy.</w:t>
      </w:r>
    </w:p>
    <w:p w14:paraId="068FA25F" w14:textId="77777777" w:rsidR="00E908FA" w:rsidRDefault="00000000">
      <w:r>
        <w:t>At least once a year, the Internal Audit Department carries out an independent review of the bases, implementation and effects of the Banks Remuneration Policy on its risk profile and the treatment of those effects, in accordance with the Guidelines on sound remuneration policies under Articles 74, and 75, of Directive 201336EU and disclosures under Article 450 of Regulation No 5752013.</w:t>
      </w:r>
    </w:p>
    <w:p w14:paraId="4F54CD6F" w14:textId="77777777" w:rsidR="00E908FA" w:rsidRDefault="00000000">
      <w:r>
        <w:t>In the scope of its competences, the Remuneration Committee ensures that a centralised and independent review of the Remuneration Policy and practices is carried out at least once a year, in accordance with regulations, policies, procedures and internal rules, by the Internal Audit Department in cooperation with the Banks expert departments, taking into account the latters competences.</w:t>
      </w:r>
    </w:p>
    <w:p w14:paraId="0359FAA3" w14:textId="77777777" w:rsidR="00E908FA" w:rsidRDefault="00000000">
      <w:r>
        <w:t>The list of staff whose professional activities have a material impact on the Banks risk profile is an integral part as an enclosure of Nova KBM d.</w:t>
      </w:r>
    </w:p>
    <w:p w14:paraId="2DF0F47E" w14:textId="77777777" w:rsidR="00E908FA" w:rsidRDefault="00000000">
      <w:r>
        <w:t>The Remuneration Policy relates to all forms of employee remuneration at the Bank fixed and variable, with an emphasis on staff whose professional activities have a material impact on the Banks risk profile.</w:t>
      </w:r>
    </w:p>
    <w:p w14:paraId="0FE03EDF" w14:textId="77777777" w:rsidR="00E908FA" w:rsidRDefault="00000000">
      <w:r>
        <w:t>To that end, the objective is to ensure at the Bank a structure and payment of remuneration that provides for the appropriate motivation of employees, while not encouraging employees to irresponsibly take disproportionately large risks in the course of their work, or risks that exceed the Banks risk absorption capacity.</w:t>
      </w:r>
    </w:p>
    <w:p w14:paraId="28D8B439" w14:textId="77777777" w:rsidR="00E908FA" w:rsidRDefault="00000000">
      <w:r>
        <w:t>Variable remuneration is based on the performance of the Bank, business units and employees, and takes account of the take-up of risks.</w:t>
      </w:r>
    </w:p>
    <w:p w14:paraId="1C86C5ED" w14:textId="77777777" w:rsidR="00E908FA" w:rsidRDefault="00000000">
      <w:r>
        <w:t>The Remuneration Policy in connection with variable remuneration and the appraisal of performance clearly distinguishes between the effects of the work of business units and the corporate and control functions.</w:t>
      </w:r>
    </w:p>
    <w:p w14:paraId="7963D90E" w14:textId="77777777" w:rsidR="00E908FA" w:rsidRDefault="00000000">
      <w:r>
        <w:t>The Remuneration Policy helps the Bank achieve and maintain the target level of own funds and liquidity.</w:t>
      </w:r>
    </w:p>
    <w:p w14:paraId="068AE4A0" w14:textId="77777777" w:rsidR="00E908FA" w:rsidRDefault="00000000">
      <w:r>
        <w:lastRenderedPageBreak/>
        <w:t>The total variable remuneration apportioned by the Bank may not limit its ability to maintain or re-establish the target level of own funds and liquidity in accordance with the Groups Risk Appetite Strategy, and must take into account the interests of shareholders, owners, depositors, investors and other stakeholders.</w:t>
      </w:r>
    </w:p>
    <w:p w14:paraId="19718F3E" w14:textId="77777777" w:rsidR="00E908FA" w:rsidRDefault="00000000">
      <w:r>
        <w:t>If the Bank does not have a sound capital and liquidity base or that soundness is at risk, it must adapt and implement the appropriate measures in connection with variable remuneration in accordance with the Remuneration Policy.</w:t>
      </w:r>
    </w:p>
    <w:p w14:paraId="3490EB15" w14:textId="77777777" w:rsidR="00E908FA" w:rsidRDefault="00000000">
      <w:r>
        <w:t>The objectives of employees at managerial levels B-1 and B-2 are set and assessed annually, while the personal objectives of other employees are amended quarterly.</w:t>
      </w:r>
    </w:p>
    <w:p w14:paraId="369748E4" w14:textId="77777777" w:rsidR="00E908FA" w:rsidRDefault="00000000">
      <w:r>
        <w:t>Those policies and mechanisms are defined by the performance assessment criteria for the payment of variable remuneration, which serve as an enclosure to the Remuneration Policy.</w:t>
      </w:r>
    </w:p>
    <w:p w14:paraId="64D41882" w14:textId="77777777" w:rsidR="00E908FA" w:rsidRDefault="00000000">
      <w:r>
        <w:t>The amount of apportioned variable remuneration is adjusted to changes in the performance of an employee, organisational unit and the Bank.</w:t>
      </w:r>
    </w:p>
    <w:p w14:paraId="37BD3095" w14:textId="77777777" w:rsidR="00E908FA" w:rsidRDefault="00000000">
      <w:r>
        <w:t>When apportioning the variable element of remuneration to identified staff, the Bank takes appropriate account of the need to maintain or re-establish the target level of own funds and liquidity, the potential influences of external and internal stakeholders, and the regulatory bodys recommendations and guidelines.</w:t>
      </w:r>
    </w:p>
    <w:p w14:paraId="6FFD998B" w14:textId="77777777" w:rsidR="00E908FA" w:rsidRDefault="00000000">
      <w:r>
        <w:t>In special circumstances, the amount of apportioned variable remuneration can be lower than defined for a specific assessment in the Remuneration Policy.</w:t>
      </w:r>
    </w:p>
    <w:p w14:paraId="6EF86C65" w14:textId="77777777" w:rsidR="00E908FA" w:rsidRDefault="00000000">
      <w:r>
        <w:t>Depending on achieved objectives, the amount of variable remuneration of identified staff under this point is given below percentage of gross annual wages of the employee to which the criteria relate, 2 ESG is an acronym that describes the way a company operates and manages its impacts in three areas, environmental, social and governance.</w:t>
      </w:r>
    </w:p>
    <w:p w14:paraId="4B63451E" w14:textId="77777777" w:rsidR="00E908FA" w:rsidRDefault="00000000">
      <w:r>
        <w:t>Identified staff in control functions have the appropriate powers and receive remuneration with respect to the achievement of objectives linked to their functions, independent of the performance of the business areas they control.</w:t>
      </w:r>
    </w:p>
    <w:p w14:paraId="3A5F756D" w14:textId="77777777" w:rsidR="00E908FA" w:rsidRDefault="00000000">
      <w:r>
        <w:t>Deferral of payment and payment in the form of ordinary or preference shares of the Bank or in the form of share-linked instruments or equivalent non-cash instruments deferral scheme Nova KBMs Remuneration Policy includes provisions regarding the required deferral of payment, and required payment in the form of financial or non-cash instruments as variable remuneration for identified staff.</w:t>
      </w:r>
    </w:p>
    <w:p w14:paraId="7B28B527" w14:textId="77777777" w:rsidR="00E908FA" w:rsidRDefault="00000000">
      <w:r>
        <w:t>Performance must be reassessed prior to payment of the deferred portion of cash or the maturity of deferred instruments for payment, and a preliminary risk adjustment made to variable remuneration, as required, to ensure that variable remuneration is in line with newly identified risks or risks that were realised following apportionment.</w:t>
      </w:r>
    </w:p>
    <w:p w14:paraId="63BAA236" w14:textId="77777777" w:rsidR="00E908FA" w:rsidRDefault="00000000">
      <w:r>
        <w:lastRenderedPageBreak/>
        <w:t>An appropriate combination of quantitative and qualitative criteria, in the form of absolute and relative criteria, is applied in the process of adjusting variable remuneration to risks in order to ensure that all risks, performance and the necessary risk adjustments are taken into account.</w:t>
      </w:r>
    </w:p>
    <w:p w14:paraId="09EDD400" w14:textId="77777777" w:rsidR="00E908FA" w:rsidRDefault="00000000">
      <w:r>
        <w:t>This means that the Remuneration Policy and the implementation thereof are in line with the Banks risk profile, risk appetite and strategy.</w:t>
      </w:r>
    </w:p>
    <w:p w14:paraId="03EACA70" w14:textId="77777777" w:rsidR="00E908FA" w:rsidRDefault="00000000">
      <w:r>
        <w:t>The Remuneration Policy is a reflection of the close link between remuneration and the prudent take-up of risks, and is not designed to encourage the increased willingness to take-up risks or to act in contravention of interests.</w:t>
      </w:r>
    </w:p>
    <w:p w14:paraId="6164D445" w14:textId="77777777" w:rsidR="00E908FA" w:rsidRDefault="00000000">
      <w:r>
        <w:t>The fixed component of remuneration represents the contractually defined base wage, which is based on the complexity and scope of work, and correlates with assumed responsibilities, set objectives and risks.</w:t>
      </w:r>
    </w:p>
    <w:p w14:paraId="743053FF" w14:textId="77777777" w:rsidR="00E908FA" w:rsidRDefault="00000000">
      <w:r>
        <w:t>The Bank defines the entire variable component of remuneration on the basis of the performance of an employee, an employee's organisational unit and the general operating results of the bank.</w:t>
      </w:r>
    </w:p>
    <w:p w14:paraId="7D136448" w14:textId="77777777" w:rsidR="00E908FA" w:rsidRDefault="00000000">
      <w:r>
        <w:t>The total variable remuneration apportioned by the Bank may not limit its ability to maintain or re-establish a sound level of own funds and liquidity, and must take into account the interests of shareholders, owners, depositors, investors and other stakeholders.</w:t>
      </w:r>
    </w:p>
    <w:p w14:paraId="6BFB07BA" w14:textId="77777777" w:rsidR="00E908FA" w:rsidRDefault="00000000">
      <w:r>
        <w:t>A range of non-cash benefits is part of a typical employment package, and depends on the standard package for senior management, key function holders, identified staff and directors with respect to the scope of employees responsibilities.</w:t>
      </w:r>
    </w:p>
    <w:p w14:paraId="1864683A" w14:textId="77777777" w:rsidR="00E908FA" w:rsidRDefault="00000000">
      <w:r>
        <w:t>Subject to assessment is the impact of climate change, which includes physical risk the financial impact of climate change, which includes more frequent extreme weather events, gradual climate change and environmental degradation and transitional risk financial loss incurred directly or indirectly by the Bank as the result of adaption to a low-carbon or more sustainable economy.</w:t>
      </w:r>
    </w:p>
    <w:p w14:paraId="01E35FED" w14:textId="44C05074" w:rsidR="00E908FA" w:rsidRDefault="00000000">
      <w:r>
        <w:t xml:space="preserve">The following are deemed eligible issuers of guarantees, central governments and central banks, regional governments or local authorities, multilateral development banks, international organisations, exposures to which are assigned a risk weight of 0% under the Standardised Approach, public sector entities, claims against which are treated as claims against central governments, export agencies and insurance companies, credit institutions and investment firms, and financial institutions, whose exposures to the financial institution </w:t>
      </w:r>
      <w:r w:rsidR="0006060F">
        <w:t>t</w:t>
      </w:r>
      <w:r>
        <w:t>he Bank are treated as exposures to institutions in accordance with Article 119, CRR, other companies, including those that are in control of the institution, or subordinated to or associated with the institution in another way, and central counterparties.</w:t>
      </w:r>
    </w:p>
    <w:p w14:paraId="0AE3C478" w14:textId="77777777" w:rsidR="00E908FA" w:rsidRDefault="00000000">
      <w:r>
        <w:lastRenderedPageBreak/>
        <w:t>Harmonisation in the scope of the OTP Group The Bank began harmonising and implementing common standards and rules for credit risk management with the OTP Group in mid- 2023.</w:t>
      </w:r>
    </w:p>
    <w:p w14:paraId="5EF4DA01" w14:textId="77777777" w:rsidR="00E908FA" w:rsidRDefault="00000000">
      <w:r>
        <w:t>As part of the integration of Nova KBM in the OTP Group, the Bank began harmonising and implementing common standards and rules for credit risk management with the OTP Group in mid-2023.</w:t>
      </w:r>
    </w:p>
    <w:p w14:paraId="725C41DA" w14:textId="77777777" w:rsidR="00E908FA" w:rsidRDefault="00000000">
      <w:r>
        <w:t>The committees mission is to ensure the comprehensive implementation of the ESG strategy across the organisation, to define, assess, manage and mitigate climate-related risks, and to exploit to the greatest extent possible the business opportunities presented by the ESG transformation.</w:t>
      </w:r>
    </w:p>
    <w:p w14:paraId="58572F85" w14:textId="77777777" w:rsidR="00E908FA" w:rsidRDefault="00000000">
      <w:r>
        <w:t>It monitored key ESG-related performance indicators for 2023, and approved those proposed for 2024, as well as medium-term objectives, and the expectations and recommendations of the regulator relating to the management of climate-related and environmental risks.</w:t>
      </w:r>
    </w:p>
    <w:p w14:paraId="23C6EDBD" w14:textId="77777777" w:rsidR="00E908FA" w:rsidRDefault="00000000">
      <w:r>
        <w:t>All employees are responsible for the professional, high-quality, prudent and timely performance of the tasks set out in the relevant rulebooks, in accordance with their powers.</w:t>
      </w:r>
    </w:p>
    <w:p w14:paraId="219B3F22" w14:textId="77777777" w:rsidR="00E908FA" w:rsidRDefault="00000000">
      <w:r>
        <w:t>Having regard for their powers, all divisions, departments and other organisational units at the Bank and within the Group are responsible for verifying the adequacy, the reliability and, above all, the effectiveness of the implementation of the internal processes and procedures of the Bank and Group, including potential changes, amendments and updates proposed by individual organisational units for the purpose of ESG risk management, and for general compliance with external and internal regulations on the part of all stakeholders at the Bank and within the Group.</w:t>
      </w:r>
    </w:p>
    <w:p w14:paraId="5BD1BC2A" w14:textId="77777777" w:rsidR="00E908FA" w:rsidRDefault="00000000">
      <w:r>
        <w:t>Climate change will also impact the physical and macroeconomic environment in which the Group operates.</w:t>
      </w:r>
    </w:p>
    <w:p w14:paraId="182C75AC" w14:textId="77777777" w:rsidR="00E908FA" w:rsidRDefault="00000000">
      <w:r>
        <w:t>We will continue acting with full transparency and the highest level of integrity, and will maintain a zero-tolerance policy towards any kind of corruption in all our business relationships and transactions.</w:t>
      </w:r>
    </w:p>
    <w:p w14:paraId="7CAAF5DD" w14:textId="77777777" w:rsidR="00E908FA" w:rsidRDefault="00000000">
      <w:r>
        <w:t>With the upgrading of the ESG strategy, we defined goals for 2024 and beyond, building on the lessons learned in previous years, taking account of supervisory expectations and the expectations of the OTP Group, and our ambition to contribute to the sustainable development of Slovenia.</w:t>
      </w:r>
    </w:p>
    <w:p w14:paraId="45A709D5" w14:textId="77777777" w:rsidR="00E908FA" w:rsidRDefault="00000000">
      <w:r>
        <w:t>We kept the structure of the initiatives covered by the ESG strategy from 2023, but slightly updated it to now cover eight key areas adding corporate culture, employee wellbeing and diversity as a separate initiative under the social pillar.</w:t>
      </w:r>
    </w:p>
    <w:p w14:paraId="34311575" w14:textId="77777777" w:rsidR="00E908FA" w:rsidRDefault="00000000">
      <w:r>
        <w:lastRenderedPageBreak/>
        <w:t>These KPIs are monitored, and are reported to and discussed by the Climate Change and Sustainability Committee, which ensures that appropriate measures can be taken should the indicators fail to meet the required levels.</w:t>
      </w:r>
    </w:p>
    <w:p w14:paraId="5A11049E" w14:textId="77777777" w:rsidR="00E908FA" w:rsidRDefault="00000000">
      <w:r>
        <w:t>For the first time we set and hit targets in financing the sustainability transition of our customers.</w:t>
      </w:r>
    </w:p>
    <w:p w14:paraId="59EAF671" w14:textId="77777777" w:rsidR="00E908FA" w:rsidRDefault="00000000">
      <w:r>
        <w:t>While the volume of green loans is yet to catch up with the transition of the whole economy and with customer demand, our main achievements in 2023 were the development of our green lending framework in line with the OTP Group framework, and the development of green and transition-enabling products for our corporate customers, tracking the retail products available since late 2022.</w:t>
      </w:r>
    </w:p>
    <w:p w14:paraId="25FD2D1C" w14:textId="77777777" w:rsidR="00E908FA" w:rsidRDefault="00000000">
      <w:r>
        <w:t>In updating the strategy for 2024 we defined long-term to 2030 portfolio decarbonisation KPIs for the first time, while one of our most important priorities for 2024 will be defining sectoral decarbonisation targets as part of a group-wide project led by OTP Banks Green Programme Directorate.</w:t>
      </w:r>
    </w:p>
    <w:p w14:paraId="7CB85FC3" w14:textId="77777777" w:rsidR="00E908FA" w:rsidRDefault="00000000">
      <w:r>
        <w:t>We further reduced emissions from our own operations in 2023, by optimising the use of real estate, investing in real estate introducing energy management systems, replacing lights with LED technology, replacing heating, ventilation and air conditioning systems, etc.</w:t>
      </w:r>
    </w:p>
    <w:p w14:paraId="483EBED0" w14:textId="77777777" w:rsidR="00E908FA" w:rsidRDefault="00000000">
      <w:r>
        <w:t>We also hit our targets in connection with employee satisfaction and diversity, and employee training on ESG issues.</w:t>
      </w:r>
    </w:p>
    <w:p w14:paraId="2A2B1EE2" w14:textId="77777777" w:rsidR="00E908FA" w:rsidRDefault="00000000">
      <w:r>
        <w:t>Sustainable product offering The Bank is committed to supporting the transition to a low-carbon or carbon-neutral economy, to helping to make Europe a climateneutral continent by 2050, and to acting in line with the OTP Groups strategic objective of becoming the most important financial partner in financing the green transition in the region where it operates, including Slovenia.</w:t>
      </w:r>
    </w:p>
    <w:p w14:paraId="534C9E77" w14:textId="77777777" w:rsidR="00E908FA" w:rsidRDefault="00000000">
      <w:r>
        <w:t>The frameworks aim is to identify projects that enhance positive and reduce negative environmental impacts, and help businesses and societies adapt to the impact of climate change.</w:t>
      </w:r>
    </w:p>
    <w:p w14:paraId="3D681751" w14:textId="77777777" w:rsidR="00E908FA" w:rsidRDefault="00000000">
      <w:r>
        <w:t>All colleagues in the corporate banking division attended a major training programme in the summer of 2023 on the green loan framework and, in particular, the green alignment assessment tool which supports technical screening against green lending criteria.</w:t>
      </w:r>
    </w:p>
    <w:p w14:paraId="5D536154" w14:textId="77777777" w:rsidR="00E908FA" w:rsidRDefault="00000000">
      <w:r>
        <w:t>The training was delivered partly by OTP Banks green experts, and partly by external consultants who helped to localise the framework for Slovenia.</w:t>
      </w:r>
    </w:p>
    <w:p w14:paraId="62C9CABA" w14:textId="77777777" w:rsidR="00E908FA" w:rsidRDefault="00000000">
      <w:r>
        <w:t>Alongside the green loan framework, the other guiding document of the OTP Group in this regard is its sustainable finance framework, which extends the definition of eligible green lending activities in three financing categories, , green buildings,, renewable energy, and, clean transport.</w:t>
      </w:r>
    </w:p>
    <w:p w14:paraId="72731B08" w14:textId="77777777" w:rsidR="00E908FA" w:rsidRDefault="00000000">
      <w:r>
        <w:lastRenderedPageBreak/>
        <w:t>Following a thorough product development process and alignment with the OTP Group in 2023, the Bank introduced new business loans in early 2024 to support customers in their transition to sustainable activities.</w:t>
      </w:r>
    </w:p>
    <w:p w14:paraId="44E0FD77" w14:textId="77777777" w:rsidR="00E908FA" w:rsidRDefault="00000000">
      <w:r>
        <w:t>We provided EUR 81 million of financing to customers in 2023 to support the sustainability transition, particularly in manufacturing and real estate development.</w:t>
      </w:r>
    </w:p>
    <w:p w14:paraId="066885F1" w14:textId="77777777" w:rsidR="00E908FA" w:rsidRDefault="00000000">
      <w:r>
        <w:t>Nevertheless we are continually seeking ways to promote the importance of the sustainability transition with our customers, and to provide financial solutions to support them on this path.</w:t>
      </w:r>
    </w:p>
    <w:p w14:paraId="72E71B81" w14:textId="77777777" w:rsidR="00E908FA" w:rsidRDefault="00000000">
      <w:r>
        <w:t>The Group continues to focus on the introduction of ESG factors in internal processes to meet the regulatory requirements in connection with ESG and to improve the availability of data.</w:t>
      </w:r>
    </w:p>
    <w:p w14:paraId="27172378" w14:textId="77777777" w:rsidR="00E908FA" w:rsidRDefault="00000000">
      <w:r>
        <w:t>The purpose of the ESG strategy is to ensure the inclusion of ESG factors first and foremost in the Groups business strategy and risk management strategy, and then in all its activities and processes.</w:t>
      </w:r>
    </w:p>
    <w:p w14:paraId="3DB872F5" w14:textId="77777777" w:rsidR="00E908FA" w:rsidRDefault="00000000">
      <w:r>
        <w:t>With the aim of identifying and mitigating the ESG risks inherent in climate and environmental factors, social factors and governance factors in connection with customer financing, the Bank prepared a methodology for assessing ESG risks in the process of investment approval in the NKBM Group, which represents a comprehensive framework for effective ESG risk management identification, assessmentmeasurement, monitoring and control in the Banks credit process.</w:t>
      </w:r>
    </w:p>
    <w:p w14:paraId="681EFBF7" w14:textId="77777777" w:rsidR="00E908FA" w:rsidRDefault="00000000">
      <w:r>
        <w:t>In determining the risk assessment of E and S factors and then the final ESG risk assessment of a particular industry, in addition to its own assessments in first place, which are based on its familiarity with and understanding of the specifics of Slovenian market, the Bank also took account of externally sourced assessments EBRD Environmental and Social Risk Categorisation List Revised 2014, Paris Agreement Capital Transition Assessment, ING Environmental and Social Risk Framework, etc.</w:t>
      </w:r>
    </w:p>
    <w:p w14:paraId="07B52034" w14:textId="165272EE" w:rsidR="00E908FA" w:rsidRDefault="00000000">
      <w:r>
        <w:t>A list of SKD industries with the corresponding ESG risk assessment</w:t>
      </w:r>
      <w:r w:rsidR="0006060F">
        <w:t>.</w:t>
      </w:r>
    </w:p>
    <w:p w14:paraId="4AA12CD4" w14:textId="77777777" w:rsidR="00E908FA" w:rsidRDefault="00000000">
      <w:r>
        <w:t>The ESG NACE Industry Classification is the subject of discussion and final approval by the Climate Change and Sustainability Committee.</w:t>
      </w:r>
    </w:p>
    <w:p w14:paraId="02F89F95" w14:textId="76FA7152" w:rsidR="00E908FA" w:rsidRDefault="00000000">
      <w:r>
        <w:t xml:space="preserve">Customer-level assessment of ESG risks based on the Scoring tool The Bank assesses the ESG risk of customers on the domestic market </w:t>
      </w:r>
      <w:proofErr w:type="gramStart"/>
      <w:r>
        <w:t>on the basis of</w:t>
      </w:r>
      <w:proofErr w:type="gramEnd"/>
      <w:r>
        <w:t xml:space="preserve"> its internally developed Scoring tool, which was developed on an expert basis, having regard for external resources ESG questionnaires of other organisations and associations, sustainability reports, information published on Bloomberg.</w:t>
      </w:r>
    </w:p>
    <w:p w14:paraId="170EBA93" w14:textId="77777777" w:rsidR="00E908FA" w:rsidRDefault="00000000">
      <w:r>
        <w:t>Governance risks G, the questions address themes such as the customers transparency of business and credibility, the ethics and integrity of business practices, compliance with legislation, corruption, taxation, protectionrestriction of competition.</w:t>
      </w:r>
    </w:p>
    <w:p w14:paraId="2B1849A9" w14:textId="77777777" w:rsidR="00E908FA" w:rsidRDefault="00000000">
      <w:r>
        <w:lastRenderedPageBreak/>
        <w:t>The Bank is currently focusing its attention primarily on the risk of climate-related and environmental factors E at customers active in carbon-intensive industries, for which reason the policy sets out detailed rules and guidance for customers in these industries.</w:t>
      </w:r>
    </w:p>
    <w:p w14:paraId="5DCEA1F9" w14:textId="77777777" w:rsidR="00E908FA" w:rsidRDefault="00000000">
      <w:r>
        <w:t>Banks exposure to high-ESG-risk sectors The Group has begun to identify the broader ESG risks that it faces, in particular the climate-related and environmental risks inherent in ordinary investment and loan operations, and has put in place the first measures to mitigate those risks.</w:t>
      </w:r>
    </w:p>
    <w:p w14:paraId="5B28B588" w14:textId="77777777" w:rsidR="00E908FA" w:rsidRDefault="00000000">
      <w:r>
        <w:t>Operational risk By making the use of the ESG questionnaire for assessing risks in connection with ESG factors mandatory in the area of outsourcing in the purchasing process, Nova KBM continued to upgrade the operational risk and outsourcing risk management frameworks in 2023.</w:t>
      </w:r>
    </w:p>
    <w:p w14:paraId="43C907B6" w14:textId="77777777" w:rsidR="00E908FA" w:rsidRDefault="00000000">
      <w:r>
        <w:t>The answers to the ESG questionnaire provide the Bank with important information in the area of environmental factors ESG strategy and policy, carbon emissions, waste management, social factors occupational health and safety, HR, and corporate governance factors code of conduct, anti-corruption policy, breaches and sanctions.</w:t>
      </w:r>
    </w:p>
    <w:p w14:paraId="12399AC6" w14:textId="77777777" w:rsidR="00E908FA" w:rsidRDefault="00000000">
      <w:r>
        <w:t>Methodological approaches to operational risk assessment were upgraded and the operational risk register updated to include threats and controls related to ESG risks physical, climate-related and transition risks of climaterelated and environmental events.</w:t>
      </w:r>
    </w:p>
    <w:p w14:paraId="46F3669C" w14:textId="77777777" w:rsidR="00E908FA" w:rsidRDefault="00000000">
      <w:r>
        <w:t>The Bank organised several training courses on operational risk and outsourcing, while activities were implemented to improve the risk management culture.</w:t>
      </w:r>
    </w:p>
    <w:p w14:paraId="02B44FDC" w14:textId="77777777" w:rsidR="00E908FA" w:rsidRDefault="00000000">
      <w:r>
        <w:t>The Bank has put two scenarios in place within the framework of its internal climate and environmental stress tests as part of the ICAAP, the flood scenario physical risk.</w:t>
      </w:r>
    </w:p>
    <w:p w14:paraId="5A684E96" w14:textId="77777777" w:rsidR="00E908FA" w:rsidRDefault="00000000">
      <w:r>
        <w:t>The results of the climate tests revealed the following, The probability of a major impact on the Groups portfolio from floods physical risk under the assumptions of the scenario is relatively small, given the high level of portfolio collateral coverage, which ensures a sufficient buffer to absorb any loss in value of real estate collateral.</w:t>
      </w:r>
    </w:p>
    <w:p w14:paraId="6E9BBC04" w14:textId="77777777" w:rsidR="00E908FA" w:rsidRDefault="00000000">
      <w:r>
        <w:t>Two sub-categories of risk are defined within the framework of climate risk, transition risk and physical risk.</w:t>
      </w:r>
    </w:p>
    <w:p w14:paraId="6788C908" w14:textId="77777777" w:rsidR="00E908FA" w:rsidRDefault="00000000">
      <w:r>
        <w:t>If a clients actual GHG emissions are not available, the GHG emissions are estimated using the internal top-down approach, using industry emission intensity factors.</w:t>
      </w:r>
    </w:p>
    <w:p w14:paraId="0595212F" w14:textId="77777777" w:rsidR="00E908FA" w:rsidRDefault="00000000">
      <w:r>
        <w:t>A subset of all ESG KPIs included in scorecards is on the level of shared objectives meaning they are the same for all employees.</w:t>
      </w:r>
    </w:p>
    <w:p w14:paraId="4526C36B" w14:textId="77777777" w:rsidR="00E908FA" w:rsidRDefault="00000000">
      <w:r>
        <w:t>Other ESG KPIs are included in the scorecards of dedicated unitssectors or individual employees either as team or individual goals depending on the unitsemployees who are responsible for delivering these KPIs.</w:t>
      </w:r>
    </w:p>
    <w:p w14:paraId="7B23B450" w14:textId="77777777" w:rsidR="00E908FA" w:rsidRDefault="00000000">
      <w:r>
        <w:lastRenderedPageBreak/>
        <w:t>In 2023, we provided EUR 81 million of financing to clients to support the sustainable transition, particularly in the manufacturing and real estate development sectors.</w:t>
      </w:r>
    </w:p>
    <w:p w14:paraId="23C9561A" w14:textId="77777777" w:rsidR="00E908FA" w:rsidRDefault="00000000">
      <w:r>
        <w:t>Risk management and compliance GHG emission intensity of the financed portfolio Scope 1 and Scope 2 financed emissions 2024, Reduce the emission intensity of the financed portfolio targets set for 2025 and 2030, which will be aligned with the OTP Groups decarbonisation plans in 2024 and disclosed subsequently The Bank started to regularly monitor the GHG intensity of its business loans portfolio in 2023, and has already made progress in reducing the intensity.</w:t>
      </w:r>
    </w:p>
    <w:p w14:paraId="7DF8F2A4" w14:textId="77777777" w:rsidR="00E908FA" w:rsidRDefault="00000000">
      <w:r>
        <w:t>Operational efficiency Optimisation of the Banks own carbon footprint 2024, own GHG emissions Scope 1+2, reduced by at least 11% on a 2022 baseline In 2023, a reduction of 4% on Scope 1 and 2 emissions relative to 2022 was achieved due to the energy efficiency measures that were implemented.</w:t>
      </w:r>
    </w:p>
    <w:p w14:paraId="52817D8E" w14:textId="77777777" w:rsidR="00E908FA" w:rsidRDefault="00000000">
      <w:r>
        <w:t>Culture and talent development ESG training for all employees 2024, more than 95% of employees must complete online training In 2023 dedicated training was delivered to the management of the Bank, covering all aspects of ESG in the OTP Group.</w:t>
      </w:r>
    </w:p>
    <w:p w14:paraId="4CBA93B7" w14:textId="77777777" w:rsidR="00E908FA" w:rsidRDefault="00000000">
      <w:r>
        <w:t>The bank has selected KRIs that are linked to the different key areas of ESG risk management in the bank and are presented in the table below, ESG KPI Future target 2024 and onwards Performance assessment, Gender diversity rate B-1 directors and identified staff excl.</w:t>
      </w:r>
    </w:p>
    <w:p w14:paraId="2CC1B93C" w14:textId="77777777" w:rsidR="00E908FA" w:rsidRDefault="00000000">
      <w:r>
        <w:t>Additionally, it has developed an internal approach for assessing the energy efficiency of pledged real estates, which enables it to classify the entire portfolio of pledged real estate according to energy class except for real estate where an energy efficiency certificate is not required and thereby manage the ESG transition risk accordingly.</w:t>
      </w:r>
    </w:p>
    <w:p w14:paraId="1EEBFFE7" w14:textId="77777777" w:rsidR="00E908FA" w:rsidRDefault="00000000">
      <w:r>
        <w:t>On this basis, an ESG risk assessment is determined, which includes Environmental, Social and Governance criteria.</w:t>
      </w:r>
    </w:p>
    <w:p w14:paraId="5EC4F0DF" w14:textId="77777777" w:rsidR="00E908FA" w:rsidRDefault="00000000">
      <w:r>
        <w:t>ESG risk industries classificationCarbon intensive industries, the bank carried out a classification of industries according to the ESG risk assessment and identified carbon intensive industries, for which more stricter approval rules are valid, which are defined in the bank's Credit policy and are linked to the client credit rating, the customer's ESG risk in connection with the type and maturity of the product.</w:t>
      </w:r>
    </w:p>
    <w:sectPr w:rsidR="00E908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70127037">
    <w:abstractNumId w:val="8"/>
  </w:num>
  <w:num w:numId="2" w16cid:durableId="1879123419">
    <w:abstractNumId w:val="6"/>
  </w:num>
  <w:num w:numId="3" w16cid:durableId="1608005761">
    <w:abstractNumId w:val="5"/>
  </w:num>
  <w:num w:numId="4" w16cid:durableId="2036227172">
    <w:abstractNumId w:val="4"/>
  </w:num>
  <w:num w:numId="5" w16cid:durableId="232934460">
    <w:abstractNumId w:val="7"/>
  </w:num>
  <w:num w:numId="6" w16cid:durableId="634482359">
    <w:abstractNumId w:val="3"/>
  </w:num>
  <w:num w:numId="7" w16cid:durableId="916019173">
    <w:abstractNumId w:val="2"/>
  </w:num>
  <w:num w:numId="8" w16cid:durableId="465662429">
    <w:abstractNumId w:val="1"/>
  </w:num>
  <w:num w:numId="9" w16cid:durableId="39644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AB"/>
    <w:rsid w:val="0006060F"/>
    <w:rsid w:val="0006063C"/>
    <w:rsid w:val="0015074B"/>
    <w:rsid w:val="0029639D"/>
    <w:rsid w:val="00326F90"/>
    <w:rsid w:val="00672963"/>
    <w:rsid w:val="00AA1D8D"/>
    <w:rsid w:val="00B47730"/>
    <w:rsid w:val="00CB0664"/>
    <w:rsid w:val="00E90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CEDD0"/>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5505</Words>
  <Characters>31380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2025-08-02T16:11:00Z</dcterms:modified>
  <cp:category/>
</cp:coreProperties>
</file>