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addition, Implementing Regulations 2021637 and 20222453 set out the technical implementing standards with regard to the disclosure of environmental, social and governance risks.</w:t>
      </w:r>
    </w:p>
    <w:p>
      <w:r>
        <w:t>Further information on sustainability can also be found in our comprehensive sustainability reporting in accordance with international standards including TCFD, GRI and in Commerzbanks ESG framework on the sustainability portal of our website at Commerzbank.</w:t>
      </w:r>
    </w:p>
    <w:p>
      <w:r>
        <w:t>Strategy and goals At the beginning of 2022, we identified the sustainability issues most relevant to us via a materiality analysis.</w:t>
      </w:r>
    </w:p>
    <w:p>
      <w:r>
        <w:t>The business perspective i.</w:t>
      </w:r>
    </w:p>
    <w:p>
      <w:r>
        <w:t>The question of how high the opportunities and risks of these sustainability issues are for business success was established in a management workshop.</w:t>
      </w:r>
    </w:p>
    <w:p>
      <w:r>
        <w:t>They relate to all three sustainability dimensions environmental, social and governance and currently form the focus of our sustainability management activities.</w:t>
      </w:r>
    </w:p>
    <w:p>
      <w:r>
        <w:t>At the same time, topics such as biodiversity and circular solutions have shifted into greater focus than in previous materiality analyses.</w:t>
      </w:r>
    </w:p>
    <w:p>
      <w:r>
        <w:t>To apply the materiality analysis in the Banks operations, the results were incorporated into the Bank-wide strategy process and discussed at the level of the Board of Managing Directors.</w:t>
      </w:r>
    </w:p>
    <w:p>
      <w:r>
        <w:t>Sustainability has therefore been an integral part of our corporate strategy since 2020.</w:t>
      </w:r>
    </w:p>
    <w:p>
      <w:r>
        <w:t>To achieve this goal, we provide our customers with innovative product solutions and actively support them in their transformation towards sustainability.</w:t>
      </w:r>
    </w:p>
    <w:p>
      <w:r>
        <w:t>We are pursuing this by means of three specific targets, By 2050 we are aiming for net zero CO2 emissions from our entire lending and investment portfolio.</w:t>
      </w:r>
    </w:p>
    <w:p>
      <w:r>
        <w:t>We want to reduce the CO2 emissions of our own banking operations to net zero as early as 2040.</w:t>
      </w:r>
    </w:p>
    <w:p>
      <w:r>
        <w:t>Our sustainability strategy is implemented within the Group programme Sustainability 360°.</w:t>
      </w:r>
    </w:p>
    <w:p>
      <w:r>
        <w:t>The programme represents an overarching framework for all sustainability activities and ensures that crosscutting issues are closely joined up, a coordinated approach is taken, and tracking is strict.</w:t>
      </w:r>
    </w:p>
    <w:p>
      <w:r>
        <w:t>Our main subsidiaries have also established sustainability as part of their strategy.</w:t>
      </w:r>
    </w:p>
    <w:p>
      <w:r>
        <w:t>Commerz Real has been pursuing its Sustainable4Life sustainability strategy since 2020 and has embedded it within the companys business strategy, in the four impact areas of Portfolio &amp; Investments, Directives &amp; Processes, Team &amp; Stakeholders and Innovation &amp; Digitalisation.</w:t>
      </w:r>
    </w:p>
    <w:p>
      <w:r>
        <w:t>It is guided by the United Nations Sustainable Development Goals that are relevant for it, and by the UNEP FI Principles for Responsible Banking.</w:t>
      </w:r>
    </w:p>
    <w:p>
      <w:r>
        <w:t>The strategy sets out how mBank assumes responsibility for issues such as climate change, for the financial situation of its customers, and for society and investors.</w:t>
      </w:r>
    </w:p>
    <w:p>
      <w:r>
        <w:t>Compliance with human rights in our own business activities as well as on the part of our business partners and customers plays a central role in this.</w:t>
      </w:r>
    </w:p>
    <w:p>
      <w:r>
        <w:t>In terms of social criteria we are guided by the Sustainable Development Goals and the principles of the UN Global Compact.</w:t>
      </w:r>
    </w:p>
    <w:p>
      <w:r>
        <w:t>Through our ESG framework we have made our understanding of and commitment to sustainability transparent for all stakeholders.</w:t>
      </w:r>
    </w:p>
    <w:p>
      <w:r>
        <w:t>The ESG framework provides an overview of our sustainability directives and exclusion criteria.</w:t>
      </w:r>
    </w:p>
    <w:p>
      <w:r>
        <w:t>For years now, environmental and biodiversity aspects have been integrated into the core business by means of minimum environmental standards and corresponding exclusion criteria, and compliance with these standards has been monitored for details see chapter 2 Social risks.</w:t>
      </w:r>
    </w:p>
    <w:p>
      <w:r>
        <w:t>As a result, ESG targets have been explicitly embedded in the variable remuneration system since the 2023 financial year for all members of the Board of Managing Directors via the Group target.</w:t>
      </w:r>
    </w:p>
    <w:p>
      <w:r>
        <w:t>Alongside other ESG criteria, the Banks sustainability targets are also embedded in the remuneration system for our employees as target criteria.</w:t>
      </w:r>
    </w:p>
    <w:p>
      <w:r>
        <w:t>As an integral component of the qualitative targets, these criteria together with target achievement in the quantitative element determine the amount of variable remuneration in the non-pay-scale remuneration model.</w:t>
      </w:r>
    </w:p>
    <w:p>
      <w:r>
        <w:t>Sustainability issues are included in the annual strategy process for the overall bank strategy and are discussed as required in meetings of the Board of Managing Directors.</w:t>
      </w:r>
    </w:p>
    <w:p>
      <w:r>
        <w:t>Each member of the Board of Managing Directors is responsible for implementing sustainability measures within their own divisional remit.</w:t>
      </w:r>
    </w:p>
    <w:p>
      <w:r>
        <w:t>In addition, the divisions and segments report regularly on the progress of their 5 Commerzbank- Pillar 3 Report as of 31 December 2023 Environmental, social and Annex 4 governance risks sustainability activities and the implementation of regulatory sustainability requirements.</w:t>
      </w:r>
    </w:p>
    <w:p>
      <w:r>
        <w:t>By making Group Sustainability Management the overarching sustainability area within the strategy unit, Commerzbank is underlining the strategic priority of this topic.</w:t>
      </w:r>
    </w:p>
    <w:p>
      <w:r>
        <w:t>It is responsible for the ongoing development of the sustainability strategy and comprehensive governance.</w:t>
      </w:r>
    </w:p>
    <w:p>
      <w:r>
        <w:t>It also ensures the implementation of strategic sustainability initiatives such as the Principles for Responsible Banking of the United Nations Environment Programme Finance Initiative UNEP FI.</w:t>
      </w:r>
    </w:p>
    <w:p>
      <w:r>
        <w:t>The input from the Sustainability Advisory Board supports us in the further development of our sustainability strategy.</w:t>
      </w:r>
    </w:p>
    <w:p>
      <w:r>
        <w:t>The following diagram summarises the roles and responsibilities for the sustainability topics at Commerzbank, Under the three lines of defence approach, ESG risks are viewed as a horizontal type of risk and are therefore managed across various control units at the Bank.</w:t>
      </w:r>
    </w:p>
    <w:p>
      <w:r>
        <w:t>For social S and governance G risks, the Group Sustainability Management additionally has the central oversight function of the second line of defence.</w:t>
      </w:r>
    </w:p>
    <w:p>
      <w:r>
        <w:t>The department is responsible for devising the sustainability strategy of Commerz Real and its subsidiaries, and also supports and monitors the operational implementation of this strategy.</w:t>
      </w:r>
    </w:p>
    <w:p>
      <w:r>
        <w:t>At mBank, the Sustainable Development Committee, chaired by the Chief Risk Officer, is responsible for managing sustainability.</w:t>
      </w:r>
    </w:p>
    <w:p>
      <w:r>
        <w:t>We manage environmental risks in our portfolio according to the principle of double materiality, using the following two dimensions, a the impact of Commerzbank on the environment save the world and b the impact of the environment on Commerzbank save the bank.</w:t>
      </w:r>
    </w:p>
    <w:p>
      <w:r>
        <w:t>We adhere methodically to the SBTi, which advocates for the reduction of greenhouse gases based on scientifically calculated targets.</w:t>
      </w:r>
    </w:p>
    <w:p>
      <w:r>
        <w:t>This methodology allows companies to align their climate policies with the goals of the Paris Climate Agreement and effectively combat climate change.</w:t>
      </w:r>
    </w:p>
    <w:p>
      <w:r>
        <w:t>Using the SBTi method, we have set specific sector-specific targets to reduce the physical CO2 emission intensity associated with our credit and investment portfolio driver of the so-called financed emissions and thereby achieve our net zero commitment by 2050.</w:t>
      </w:r>
    </w:p>
    <w:p>
      <w:r>
        <w:t>We aim to manage all portfolios according to the SBTi method with a particular focus on the emissions-intensive sectors.</w:t>
      </w:r>
    </w:p>
    <w:p>
      <w:r>
        <w:t>In 2022, respective targets for reducing emissions intensities by 2030 were set for all these portfolios and validated by the SBTi in 2023.</w:t>
      </w:r>
    </w:p>
    <w:p>
      <w:r>
        <w:t>Our ambition is to support companies in the real economy in their transition process, to sustainably reduce our financed emissions, and to progress towards our net-zero target for the entire product and investment portfolio by 2050.</w:t>
      </w:r>
    </w:p>
    <w:p>
      <w:r>
        <w:t>Under the SBTi framework, we apply two different methodologies for target setting, On the one hand, the Sectoral Decarbonization Approach , a method for setting sectorspecific intensity targets, and on the other hand, the Temperature Score approach, which enables financial institutions to determine the current temperature value of their portfolio based on the public emission reduction targets of their borrowers.</w:t>
      </w:r>
    </w:p>
    <w:p>
      <w:r>
        <w:t>In order to reduce sector-specific emission intensities customers in Commerzbank's portfolio must make significant transformation efforts themselves.</w:t>
      </w:r>
    </w:p>
    <w:p>
      <w:r>
        <w:t>This is particularly evident due to the bank's strategic focus on project financing in the renewable energy sector.</w:t>
      </w:r>
    </w:p>
    <w:p>
      <w:r>
        <w:t>Therefore, we have established a process to assess relevant client exposures against our strategic sustainability goals, including the Net Zero SBTi sectoral pathways, for the management of significant single transactions in CO2-intensive sectors.</w:t>
      </w:r>
    </w:p>
    <w:p>
      <w:r>
        <w:t>Consistent implementation of the Fossil Fuels Guideline Another element under the save the world dimension is our certified internal environmental and energy management system.</w:t>
      </w:r>
    </w:p>
    <w:p>
      <w:r>
        <w:t>Operational environmental protection is also closely connected to many other departments to ensure that Commerzbanks environmental guidelines are applicable to all areas of the Bank and to influence the Bank s business activities.</w:t>
      </w:r>
    </w:p>
    <w:p>
      <w:r>
        <w:t>Through its environmental guidelines, Commerzbank has defined and published clear rules for conducting business in an environmentally responsible way.</w:t>
      </w:r>
    </w:p>
    <w:p>
      <w:r>
        <w:t>With the help of Energy Performance Indicators EnPIs, these are used for planning, evaluating and controlling environmental measures.</w:t>
      </w:r>
    </w:p>
    <w:p>
      <w:r>
        <w:t>Building on this, a holistic consideration of the effects of risk categories significantly affected by environmental risks is ensured in Commerzbank's ICAAP Internal Capital Adequacy Assessment Process.</w:t>
      </w:r>
    </w:p>
    <w:p>
      <w:r>
        <w:t>This can include regulatory or legislative changes in energy policy, shifts in market sentiment and preferences, technological innovations, or even Greenwashing Risk.</w:t>
      </w:r>
    </w:p>
    <w:p>
      <w:r>
        <w:t>As a result of the analysis, the influence of climate risks has been confirmed as material for the risk categories of credit risk, market risk, operational risk including compliance and cyber risk, reputation risk, and business risk.</w:t>
      </w:r>
    </w:p>
    <w:p>
      <w:r>
        <w:t>Particularly in the case of risk types materially affected by climate-related risks, environmental risks are managed within the risk function responsible for the respective risk type.</w:t>
      </w:r>
    </w:p>
    <w:p>
      <w:r>
        <w:t>Transition risks arise for companies through the transition to a lower-emission and more sustainable economic system, for example, through regulatory or legislative changes in energy policy, changing market sentiments and preferences, technological innovations, or even Greenwashing Risk.</w:t>
      </w:r>
    </w:p>
    <w:p>
      <w:r>
        <w:t>Owing to the geographical focus of our portfolio in Germany and Europe, we are comparatively less affected by physical climate-related risks, such as hurricanes and rising sea levels.</w:t>
      </w:r>
    </w:p>
    <w:p>
      <w:r>
        <w:t>We must understand and actively manage the associated risks, not least in connection with our strategy, in order to support the transformation of companies to a more environmentally friendly and climateneutral economy.</w:t>
      </w:r>
    </w:p>
    <w:p>
      <w:r>
        <w:t>Portfolio-specific guidelines, embedded in the credit risk strategy, limit the share of elevated climate risks.</w:t>
      </w:r>
    </w:p>
    <w:p>
      <w:r>
        <w:t>With the support of external consultants, academia, and initiatives, we deepen this knowledge, including through sector briefings that analyse the specific impact chains of climate risks for the most affected sectors.</w:t>
      </w:r>
    </w:p>
    <w:p>
      <w:r>
        <w:t>As a result, Commerzbank considers market risks in sectors that may potentially be affected by climate risks and exhibit sensitivity, particularly to credit spreads and equity exposure in affected sectors, as well as interest rates, all of which are expected to increase depending on the adaptability of companies and global economies.</w:t>
      </w:r>
    </w:p>
    <w:p>
      <w:r>
        <w:t>A trigger has been established to ensure that the materiality of climate risk does not exceed the established ICAAP capital buffer on an intra-year basis.</w:t>
      </w:r>
    </w:p>
    <w:p>
      <w:r>
        <w:t>The reputational risk management of Commerzbank AG establishes conditions and limits for business activities and evaluates transactions, products, and customer relationships through careful analysis.</w:t>
      </w:r>
    </w:p>
    <w:p>
      <w:r>
        <w:t>The consideration of reputation risk in the context of environmental risk has been integrated into regular central risk reporting.</w:t>
      </w:r>
    </w:p>
    <w:p>
      <w:r>
        <w:t>Additionally, a Greenwashing Risk Internal Control Framework has been developed as a framework for managing Greenwashing Risk, and the topic has been incorporated into written policies and procedures.</w:t>
      </w:r>
    </w:p>
    <w:p>
      <w:r>
        <w:t>In risk assessment, including scenario analyses, Commerz Real relies on tools such as the Carbon Risk Real Estate Monitor and the PwC Climate Excellence Tool.</w:t>
      </w:r>
    </w:p>
    <w:p>
      <w:r>
        <w:t>The foundation of climate risk management is the reliable collection of consumption and emission data, as well as location data.</w:t>
      </w:r>
    </w:p>
    <w:p>
      <w:r>
        <w:t>To achieve this, Commerz Real has implemented a sustainability data management system and also collaborates with external partners for data collection on a global level.</w:t>
      </w:r>
    </w:p>
    <w:p>
      <w:r>
        <w:t>The analysis and assessment are consistently conducted in the short, medium, and long term for both physical and transition biodiversity risks.</w:t>
      </w:r>
    </w:p>
    <w:p>
      <w:r>
        <w:t>Physical biodiversity risks can arise from the loss or degradation of ecosystem services on which economic activities depend, such as the deterioration of water availability or soil quality.</w:t>
      </w:r>
    </w:p>
    <w:p>
      <w:r>
        <w:t>Additionally, physical risks can also result from natural disasters triggered or exacerbated by biodiversity loss.</w:t>
      </w:r>
    </w:p>
    <w:p>
      <w:r>
        <w:t>The expert-based materiality assessment of biodiversity risks includes a driver and transmission channel analysis and is supported by a qualitative scenario analysis aligned with the narratives of the Task Force on Nature-related Financial Disclosures .</w:t>
      </w:r>
    </w:p>
    <w:p>
      <w:r>
        <w:t>A more detailed description of the approach to assessing biodiversity risks for the bank's credit risk, as well as an explanation of the materiality assessment, will be provided in the next section.</w:t>
      </w:r>
    </w:p>
    <w:p>
      <w:r>
        <w:t>Biodiversity risks in the credit portfolio The core of the physical risk analysis for credit risk is the assessment of the dependence of ecosystem services on sectors in which Commerzbank is represented through credit engagements.</w:t>
      </w:r>
    </w:p>
    <w:p>
      <w:r>
        <w:t>The main driver of physical biodiversity risks is the dependence on water, 14 Commerzbank- Pillar 3 Report as of 31 December 2023 Environmental, social and Annex 4 governance risks To assess the transition biodiversity risks for credit risk, the negative impact of business activities on the environment and potential consequences of anticipated future regulatory changes for biodiversity protection were considered.</w:t>
      </w:r>
    </w:p>
    <w:p>
      <w:r>
        <w:t>For the future, a more in-depth analysis following the approach used for climate risks is planned, supported by relevant scenarios and advanced assessment methods where available.</w:t>
      </w:r>
    </w:p>
    <w:p>
      <w:r>
        <w:t>Furthermore, since March 2022, Commerzbank has been part of the Biodiversity in Good Company BiGCI initiative, where the bank, along with other companies, is committed to the sustainable use of global biodiversity.</w:t>
      </w:r>
    </w:p>
    <w:p>
      <w:r>
        <w:t>The initiative serves as a platform for dialogue to continuously develop biodiversity management.</w:t>
      </w:r>
    </w:p>
    <w:p>
      <w:r>
        <w:t>These products support the sustainable transformation of our customers and at the same time provide incentives for more sustainability in companies and individuals.</w:t>
      </w:r>
    </w:p>
    <w:p>
      <w:r>
        <w:t>The products prioritised for development are determined in equal measure by the requirements of the Banks own sustainability strategy, economic considerations and regulatory requirements.</w:t>
      </w:r>
    </w:p>
    <w:p>
      <w:r>
        <w:t>Political unrest or increased migration pressure, again with negative social effects, may be the result.</w:t>
      </w:r>
    </w:p>
    <w:p>
      <w:r>
        <w:t>Changes in the legal or economic framework may also be indirect drivers of social risk.</w:t>
      </w:r>
    </w:p>
    <w:p>
      <w:r>
        <w:t>Through our strategic orientation, described in the first section, to accompany the sustainable transformation, and through our measures in climate and environmental protection, we thus also contribute indirectly to minimising the emergence of social risks.</w:t>
      </w:r>
    </w:p>
    <w:p>
      <w:r>
        <w:t>Our policy statement on human rights and environmental due diligence has been in place since 2022.</w:t>
      </w:r>
    </w:p>
    <w:p>
      <w:r>
        <w:t>We continuously review and enhance our positions to ensure ongoing development.</w:t>
      </w:r>
    </w:p>
    <w:p>
      <w:r>
        <w:t>In our internal policy on human rights and environmental protection, we have also defined processes to take action if we become aware of actual or imminent socially harmful activities.</w:t>
      </w:r>
    </w:p>
    <w:p>
      <w:r>
        <w:t>In the operational context, social risk factors can impact employee satisfaction and employer attractiveness.</w:t>
      </w:r>
    </w:p>
    <w:p>
      <w:r>
        <w:t>In dealing with our employees, we mitigate social risk factors through following various measures.</w:t>
      </w:r>
    </w:p>
    <w:p>
      <w:r>
        <w:t>Further initiatives for talent acquisition are embedded in the HR strategy, including a comprehensive training program, innovative qualification measures, and the opportunity for various career paths to make the bank attractive to young talents.</w:t>
      </w:r>
    </w:p>
    <w:p>
      <w:r>
        <w:t>Commerzbank Aktiengesellschaft offers optional and mandatory training modules, such as seminars, workshops and e-learning courses, designed to prepare employees for the transformation of the banking sector resulting from digitalisation and develop their skills on an ongoing basis.</w:t>
      </w:r>
    </w:p>
    <w:p>
      <w:r>
        <w:t>In 2023, Commerz Real, in collaboration with the German Society for Sustainable Building , launched its first mandatory basic training on sustainable, ESG-compliant real estate management for all employees.</w:t>
      </w:r>
    </w:p>
    <w:p>
      <w:r>
        <w:t>The training provides up-to-date knowledge on the topic of sustainability and its application in industry standards and practices, making an important contribution to implementing the Sustainable4Life sustainability strategy.</w:t>
      </w:r>
    </w:p>
    <w:p>
      <w:r>
        <w:t>As part of its commitment to its employees health and satisfaction, the company both develops its own concepts and implements measures in cooperation with the parent company.</w:t>
      </w:r>
    </w:p>
    <w:p>
      <w:r>
        <w:t>As part of our mission of promoting an open and honest approach to dealing with the topic of sexual orientation and the gender identity of employees, customers and business contacts, Commerzbank Aktiengesellschaft focused on several transgender initiatives in 2023.</w:t>
      </w:r>
    </w:p>
    <w:p>
      <w:r>
        <w:t>For more than three decades, our Diversity Management unit has been working to achieve an open and fair environment in which everyone feels appreciated.</w:t>
      </w:r>
    </w:p>
    <w:p>
      <w:r>
        <w:t>The central committee for strategic alignment is the Global Diversity Council, which is chaired by the member of the Board of Managing Directors responsible for Human Resources.</w:t>
      </w:r>
    </w:p>
    <w:p>
      <w:r>
        <w:t>Employee awareness of the issues of diversity and inclusion is raised through presentations, and human resources processes are checked to determine whether they ensure equal opportunities and diversity.</w:t>
      </w:r>
    </w:p>
    <w:p>
      <w:r>
        <w:t>Parallel to this, mBank in Poland is further developing its Diversity and Inclusion Policy and is a signatory to the Diversity Charter of the Responsible Business Forum.</w:t>
      </w:r>
    </w:p>
    <w:p>
      <w:r>
        <w:t>All measures to promote diversity at mBank are overseen by the member of the Board of Managing Directors responsible for diversity and inclusion, who is charged with building a diverse work environment and coordinating the initiatives planned in the policy and any measures resulting from this.</w:t>
      </w:r>
    </w:p>
    <w:p>
      <w:r>
        <w:t>This is published by the Responsible Business Forum and recognises the employers in Poland who are setting the bar in their management of diversity and inclusion.</w:t>
      </w:r>
    </w:p>
    <w:p>
      <w:r>
        <w:t>Inclusion The inclusion of people with disabilities is another integral component of our diversity strategy.</w:t>
      </w:r>
    </w:p>
    <w:p>
      <w:r>
        <w:t>With that in mind, we advertise on myAbility, a job platform for people with disabilities that aims to further promote diversity and inclusion.</w:t>
      </w:r>
    </w:p>
    <w:p>
      <w:r>
        <w:t>On top of that, in 2023 we continued to work on implementing appropriate measures and launched a follow-up action plan for Inclusion 2.</w:t>
      </w:r>
    </w:p>
    <w:p>
      <w:r>
        <w:t>In our Code of Conduct see chapter 3 we establish Commerzbank's understanding of human rights for our business partners worldwide, and our commitment with upholding them.</w:t>
      </w:r>
    </w:p>
    <w:p>
      <w:r>
        <w:t>Compliance with human rights standards by our suppliers and service providers is also an integral part of our purchasing and 18 Commerzbank- Pillar 3 Report as of 31 December 2023 Environmental, social and Annex 4 governance risks procurement guidelines.</w:t>
      </w:r>
    </w:p>
    <w:p>
      <w:r>
        <w:t>All suppliers and service providers who do business with us ensure that they comply with the specific human rights and environmental requirements set out in this standard.</w:t>
      </w:r>
    </w:p>
    <w:p>
      <w:r>
        <w:t>Compliance with social standards is the subject of annual supplier meetings.</w:t>
      </w:r>
    </w:p>
    <w:p>
      <w:r>
        <w:t>With the implementation of the LkSG Supply Chain Due Diligence Act, Commerzbank Aktiengesellschaft is subject to regulatory and legal obligations to ensure appropriate internal safeguards and controls for the prevention and remediation of human rights and environmental risks.</w:t>
      </w:r>
    </w:p>
    <w:p>
      <w:r>
        <w:t>In line with the due diligence requirements of the LkSG, Group Compliance conducts an annual risk analysis to identify short-, medium-, and long-term human rights and environmental risks associated with business partners and to identify vulnerable groups along the entire supply chain.</w:t>
      </w:r>
    </w:p>
    <w:p>
      <w:r>
        <w:t>In the event that such risks exist, effective and appropriate remedial measures are taken, in accordance with the guidelines of the Federal Office for Economic Affairs and Export Control , which will contribute in the short, medium, and long term to preventing human rights or environmental risks, as well as ending actual or imminent socially harmful activities.</w:t>
      </w:r>
    </w:p>
    <w:p>
      <w:r>
        <w:t>We also ensure that our customers' business activities do not violate human rights.</w:t>
      </w:r>
    </w:p>
    <w:p>
      <w:r>
        <w:t>In addition to our employees, the compliance department in particular checks whether the relevant national and international laws and guidelines are complied with by us and in our customer relationships.</w:t>
      </w:r>
    </w:p>
    <w:p>
      <w:r>
        <w:t>They ensure compliance with embargoes and sanctions against human rights-violating regimes, as well as the implementation of measures to prevent money laundering and terrorism financing.</w:t>
      </w:r>
    </w:p>
    <w:p>
      <w:r>
        <w:t>Customer due diligence is part of our comprehensive compliance risk management, the structure of which is explained in greater detail in Chapter 3 on governance risks.</w:t>
      </w:r>
    </w:p>
    <w:p>
      <w:r>
        <w:t>In reputation risk management, businesses and business relationships in which human rights play a significant role, such as mining, resource extraction, or the cotton sector, are extensively researched, analysed, and given a differentiated assessment.</w:t>
      </w:r>
    </w:p>
    <w:p>
      <w:r>
        <w:t>The assessment is based on defined environmental and social minimum standards, as well as associated exclusion criteria and assessment criteria, which are set out in detail below.</w:t>
      </w:r>
    </w:p>
    <w:p>
      <w:r>
        <w:t>Assessment criteria, In the subject area of mining, Commerzbank evaluates business and business relationships with reference to the mining of any raw materials outside the countries of the Organization for Economic Cooperation and Development or in conflict and high-risk areas.</w:t>
      </w:r>
    </w:p>
    <w:p>
      <w:r>
        <w:t>When assessing mining-related business and business relationships, we generally take into account, the way in which the company operates the mine e.</w:t>
      </w:r>
    </w:p>
    <w:p>
      <w:r>
        <w:t>Pollution of the environment through discharge of toxic chemicals, reprocessing of overburden, the protection of areas designated as High Conservation Value Areas or UNESCO World Heritage Sites or other protected areas if necessary, with the involvement of local specialists or NGOs, respect for human rights, in particular the rights of local communities and indigenous peoples, compliance with minimum standards of occupational safety and working conditions in accordance with the standards of the International Labour Organization , the implementation of renaturation measures.</w:t>
      </w:r>
    </w:p>
    <w:p>
      <w:r>
        <w:t>Exclusions, The following applies to nuclear power, Commerzbank does not finance new nuclear power plants Assessment criteria, For business and business relationships related to the energy sector, we generally look for the conduction of environmental impact assessments, the protection of areas designated as High Conservation Value Areas or UNESCO World Heritage Sites or other protected areas if necessary, with the involvement of local specialists or NGOs, respect for human rights especially the rights of local communities and indigenous peoples.</w:t>
      </w:r>
    </w:p>
    <w:p>
      <w:r>
        <w:t>For this reason, Reputational Risk Management performs an annual critical case-by-case assessment of customer relationships with regard to environmental and social aspects.</w:t>
      </w:r>
    </w:p>
    <w:p>
      <w:r>
        <w:t>Exclusions, Commerzbank does not support business with shipyards that cannot demonstrate certification to EU standards or internationally recognised environmental and social standards.</w:t>
      </w:r>
    </w:p>
    <w:p>
      <w:r>
        <w:t>The final evaluation of environmental and social risks is then carried out in reputational risk management using a five-point scale none, low, medium, significant, high.</w:t>
      </w:r>
    </w:p>
    <w:p>
      <w:r>
        <w:t>We regularly update our assessment criteria for environmental, social, and reputational risks to reflect dynamic developments in the various areas.</w:t>
      </w:r>
    </w:p>
    <w:p>
      <w:r>
        <w:t>In a central advisory council and various regional advisory councils, selected figures from companies, institutions and public life have the opportunity to enter into direct dialogue with the Board of Managing Directors, find out about the performance of the business and contribute their experience and expectations.</w:t>
      </w:r>
    </w:p>
    <w:p>
      <w:r>
        <w:t>Regarding company pension plans, Commerzbank takes sustainability aspects into account domestically by making it a prerequisite for asset managers to sign the UN Principles for Responsible Investment in the selection process.</w:t>
      </w:r>
    </w:p>
    <w:p>
      <w:r>
        <w:t>For example, Commerz Real makes a financial contribution to selected social organisations that support disadvantaged children.</w:t>
      </w:r>
    </w:p>
    <w:p>
      <w:r>
        <w:t>The aim was to improve networking for residents in places with greater social needs, to reduce prejudices and to improve living situations in the area.</w:t>
      </w:r>
    </w:p>
    <w:p>
      <w:r>
        <w:t>Commerzbank finances the internships, while the umbrella organisation Nationale Naturlandschaften e.</w:t>
      </w:r>
    </w:p>
    <w:p>
      <w:r>
        <w:t>Organises the programme, and the protected areas provide the interns with hands-on training and support.</w:t>
      </w:r>
    </w:p>
    <w:p>
      <w:r>
        <w:t>In its more than 50-year history, it has provided a total of around €40m to support well over 1,000 projects relating to cultural, social and scientific activities.</w:t>
      </w:r>
    </w:p>
    <w:p>
      <w:r>
        <w:t>Its partnership network ranges from museums and theatres to non-profit social organisations and scientific institutions, from national lighthouse projects to exemplary local initiatives.</w:t>
      </w:r>
    </w:p>
    <w:p>
      <w:r>
        <w:t>In addition, seven social foundations have been established to provide financial support to active and retired employees in unforeseeable emergencies.</w:t>
      </w:r>
    </w:p>
    <w:p>
      <w:r>
        <w:t>We maintain close contact with our key stakeholder groups through in-person meetings, discussion events, strategic partnerships, as well as numerous forms of public communication, such as our website and our annual sustainability report that we publish as per established standards.</w:t>
      </w:r>
    </w:p>
    <w:p>
      <w:r>
        <w:t>We use these formats to provide information about our sustainability goals and progress towards achieving them, but also to learn as an organisation from feedback.</w:t>
      </w:r>
    </w:p>
    <w:p>
      <w:r>
        <w:t>In order to act as an advocate for political stakeholders at both German and international level, we maintain liaison offices in Berlin, at the European Union in Brussels, and at the International Institute of Finance in Washing-ton.</w:t>
      </w:r>
    </w:p>
    <w:p>
      <w:r>
        <w:t>After ana-lysing these, we develop our own positions on the relevant issues and discuss them with stakeholders from the political arena.</w:t>
      </w:r>
    </w:p>
    <w:p>
      <w:r>
        <w:t>Governance Risk We understand governance to refer to responsible corporate management in line with the interests of internal and external stakeholders.</w:t>
      </w:r>
    </w:p>
    <w:p>
      <w:r>
        <w:t>Compliance with our code of conduct is ensured through a comprehensive set of internal rules, appropriate audit processes and controls, and corresponding organisational structures.</w:t>
      </w:r>
    </w:p>
    <w:p>
      <w:r>
        <w:t>The identification and management of compliance risks are carried out through an implemented and continuously evolving compliance program that covers all types of compliance risks.</w:t>
      </w:r>
    </w:p>
    <w:p>
      <w:r>
        <w:t>To meet the growing complexity of national and international laws and regulations, the Group continuously develops and adapts its compliance risk management to current developments and challenges.</w:t>
      </w:r>
    </w:p>
    <w:p>
      <w:r>
        <w:t>The focus of compliance activities lies in preventing and detecting money laundering, terrorism financing, compliance with financial sanctions and embargoes, combating market abuse insider trading and market manipulation, fraud, corruption, and other criminal activities related to business operations, conflict of interest management, and investor protection.</w:t>
      </w:r>
    </w:p>
    <w:p>
      <w:r>
        <w:t>We conduct regular training sessions with our employees to ensure competent and consistent implementation of our guidelines.</w:t>
      </w:r>
    </w:p>
    <w:p>
      <w:r>
        <w:t>We have established our Global Policy for Conflicts of Interest to guide how conflicts of interest should be handled in accordance with the binding code of conduct for all employees and management of Commerzbank, in line with the company's values.</w:t>
      </w:r>
    </w:p>
    <w:p>
      <w:r>
        <w:t>It provides a confidential communication channel for reporting potential violations, including human rights and environmental rights.</w:t>
      </w:r>
    </w:p>
    <w:p>
      <w:r>
        <w:t>Our systematic handling of complaints and the insights gained from them enable us to continuously improve our human rights and environmental due diligence processes.</w:t>
      </w:r>
    </w:p>
    <w:p>
      <w:r>
        <w:t>This allows us to determine whether the respective transaction can be considered sustainable according to the EU Taxonomy, meaning it makes a positive contribution to one of the defined environmental objectives, does not significantly harm any of the other objectives, and complies with the minimum social safeguards.</w:t>
      </w:r>
    </w:p>
    <w:p>
      <w:r>
        <w:t>As a result, the proportion of financed GHG emissions determined based on company specific GHG reporting will increase.</w:t>
      </w:r>
    </w:p>
    <w:p>
      <w:r>
        <w:t>The energy-intensive generation and production processes in these industrial sectors typically result in high GHG emissions, which is reflected in the level of financed Scope 1 and 2 GHG emissions accordingly.</w:t>
      </w:r>
    </w:p>
    <w:p>
      <w:r>
        <w:t>We have set a strategic goal to reduce the CO2 emissions of our entire credit and investment portfolio referred to as financed emissions to net zero by 2050.</w:t>
      </w:r>
    </w:p>
    <w:p>
      <w:r>
        <w:t>As of this reporting date, positions that are classified as environmentally sustainable according to the Climate Change Mitigation classification are separately disclosed.</w:t>
      </w:r>
    </w:p>
    <w:p>
      <w:r>
        <w:t>To identify companies with the highest carbon emissions, we refer to the current available list of the top 20 polluters from the Carbon Majors Database of the Carbon Disclosure Project Carbon Majors 2018 Data Set released December 2020.</w:t>
      </w:r>
    </w:p>
    <w:p>
      <w:r>
        <w:t>For this reason, Reputational Risk Management subjects client relationships to an annual critical case-by-case assessment of environmental and social aspects.</w:t>
      </w:r>
    </w:p>
    <w:p>
      <w:r>
        <w:t>The GAR indicates the portion of assets that contribute to climate change mitigation and adaptation goals.</w:t>
      </w:r>
    </w:p>
    <w:p>
      <w:r>
        <w:t>It measures the volume of financial assets in the bank's portfolio loans and advances, debt securities, and equity instruments that significantly contribute to mitigating climate-related risks, relative to the total assets.</w:t>
      </w:r>
    </w:p>
    <w:p>
      <w:r>
        <w:t>Additionally, information is disclosed regarding the taxonomy eligibility and taxonomy alignment of positions with respect to the environmental objectives of climate change mitigation and climate change adaptation, in accordance with Article 9, and, of Taxonomy Regulation 2020852.</w:t>
      </w:r>
    </w:p>
    <w:p>
      <w:r>
        <w:t>Total assets in the denominator 372 436 Other assets excluded from both the numerator and denominator for GAR calculation 46 Sovereigns Central banks exposure Trading book Total assets excluded from numerator and denominator Total assets 2 subject to the disclosure requirements of the Directive on the disclosure of non-financial information 3 not subject to the disclosure requirements of the Directive on the disclosure of non-financial information 49 Commerzbank- Pillar 3 Report as of 31 December 2023 Environmental, social and Annex 4 governance risks The EU taxonomy only covers certain parts of our business.</w:t>
      </w:r>
    </w:p>
    <w:p>
      <w:r>
        <w:t>A check is also carried out to determine that none of the other objectives are significantly harmed and that the criteria for social minimum safeguards are met.</w:t>
      </w:r>
    </w:p>
    <w:p>
      <w:r>
        <w:t>This includes exposures of the institutions that are not taxonomy-aligned as referred to in Regulation 2020852 according to templates 7 and 8 but that still support counterparties in the transition and adaptation process for the objectives of climate change mitigation and climate change adaptation.</w:t>
      </w:r>
    </w:p>
    <w:p>
      <w:r>
        <w:t>This template encompasses all risk exposures as of the reporting date that, due to their specific features, support climate change mitigation and adaptation goals but are not already accounted for in the GAR templates 6-8.</w:t>
      </w:r>
    </w:p>
    <w:p>
      <w:r>
        <w:t>These include, for example, those investments that reduce the consumption of resources such as petrol, electricity or water by at least 30% or that have a positive effect on CO2 emissions.</w:t>
      </w:r>
    </w:p>
    <w:p>
      <w:r>
        <w:t>Sustainability linked bonds Sustainable-linked bonds include only bonds with interest rate structures that relate to demonstrable sustainability performance targets SPTs or KPIs in connection with climate change mitigation and which comply with the ICMAs Green Bond Principles.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