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With the Implementing Regulation 20222453 by the Commission from 30 November 2022 amending the implementing technical standards laid down in Implementing Regulation 2021637 with regard to the disclosure of environmental, social and governance risks, EBA has specified the requirements.</w:t>
      </w:r>
    </w:p>
    <w:p>
      <w:r>
        <w:t>A further CET1 increase is due to lower regulatory deductions or adjustments and an improvement in other comprehensive income.</w:t>
      </w:r>
    </w:p>
    <w:p>
      <w:r>
        <w:t>Commerzbank seeks to achieve the following objectives in managing its capital, adherence to the statutory minimum capital requirements at Group level and in all companies included in the regulatory Group, ensuring that the planned capital ratios are met, including the ECBEBA requirements, provision of sufficient reserves to guarantee the Banks freedom of action at all times, strategic allocation of Tier 1 capital to business segments and divisions in order to exploit growth opportunities.</w:t>
      </w:r>
    </w:p>
    <w:p>
      <w:r>
        <w:t>Table EU LI2 shows the main reasons for the differences between the carrying values for financial reporting in the balance sheet and the regulatory risk exposure amounts exposure in the standard approach and EaD in the IRB approach.</w:t>
      </w:r>
    </w:p>
    <w:p>
      <w:r>
        <w:t>Group Finance is responsible for quantifying the leverage ratio based on regulatory requirements and provides regulators with quarterly reports.</w:t>
      </w:r>
    </w:p>
    <w:p>
      <w:r>
        <w:t>The leverage ratio remained stable because of the increase in both leverage ratio exposure as well as regulatory Tier 1 capital.</w:t>
      </w:r>
    </w:p>
    <w:p>
      <w:r>
        <w:t>Quantifiable risks are those to which a value can normally be attached in financial statements or in regulatory capital requirements, while non-quantifiable risks, for example, include compliance and reputational risk.</w:t>
      </w:r>
    </w:p>
    <w:p>
      <w:r>
        <w:t>The approval by the Board of Managing Directors was given together with the approval of the Disclosure Report.</w:t>
      </w:r>
    </w:p>
    <w:p>
      <w:r>
        <w:t>With acceptance from its business model arising inherent existential threats the Group Risk Strategy takes into account exogenous factors, such as risks from the macroeconomic environment, as well as new regulatory requirements and endogenous factors.</w:t>
      </w:r>
    </w:p>
    <w:p>
      <w:r>
        <w:t>The guiding principle regarding risk appetite is to ensure that the Commerzbank Group has sufficient economic and regulatory capital and liquidity resources on a sustained basis.</w:t>
      </w:r>
    </w:p>
    <w:p>
      <w:r>
        <w:t>To ensure an adequate capital backing, compliance with economic risk-bearing capacity requirements and the regulatory capital ratios is reviewed by means of an early warning system in both a forecast scenario and an adverse stress scenario.</w:t>
      </w:r>
    </w:p>
    <w:p>
      <w:r>
        <w:t>In addition, the CRO is responsible for Group Compliance.</w:t>
      </w:r>
    </w:p>
    <w:p>
      <w:r>
        <w:t>It is Group Compliances responsibility to establish appropriate governance, procedures and systems to allow the Bank to avoid unintentional endangerment as a consequence of compliance risks.</w:t>
      </w:r>
    </w:p>
    <w:p>
      <w:r>
        <w:t>The Risk Committees tasks include monitoring the risk management system and dealing with risks such as market, credit and operational risk, reputational risk and cyber risks including information security at the Bank.</w:t>
      </w:r>
    </w:p>
    <w:p>
      <w:r>
        <w:t>The CRISCo addresses all regulatory aspects relevant to cyber and information security issues and has the aim of ensuring appropriate risk management in this regard in accordance with internationally recognised standards.</w:t>
      </w:r>
    </w:p>
    <w:p>
      <w:r>
        <w:t>This covers risk measurement, risk transparency and risk management.</w:t>
      </w:r>
    </w:p>
    <w:p>
      <w:r>
        <w:t>It also ensures that the Group risk strategy and the resolutions of the Board of Managing Directors are implemented in the risk function.</w:t>
      </w:r>
    </w:p>
    <w:p>
      <w:r>
        <w:t>Compliance topics are dealt with in the Global Compliance Board .</w:t>
      </w:r>
    </w:p>
    <w:p>
      <w:r>
        <w:t>The GCB has been established as a forum to share updates on major compliance topics and supervisory actions regarding compliance in the Bank.</w:t>
      </w:r>
    </w:p>
    <w:p>
      <w:r>
        <w:t>Risk strategy and risk management The overall risk strategy, in line with the business strategy, governs the strategic risk focus of the Commerzbank Group.</w:t>
      </w:r>
    </w:p>
    <w:p>
      <w:r>
        <w:t>That also includes ensuring that the Moving forward business strategy can be implemented through a risk profile that is commensurate with the leeway determined by regulatory and capital market factors.</w:t>
      </w:r>
    </w:p>
    <w:p>
      <w:r>
        <w:t>The strategy 2027 systematically focuses on the key stakeholders customers, employees and investors and their expectations in what continues to be a very volatile and challenging environment.</w:t>
      </w:r>
    </w:p>
    <w:p>
      <w:r>
        <w:t>In the event of a sustained change in the assessment of the inherent and existential threats to Commerzbank, the Board of Managing Directors may have to adjust the business model and thus the business and risk strategy in the medium and long term.</w:t>
      </w:r>
    </w:p>
    <w:p>
      <w:r>
        <w:t>In this case, rescuing Commerzbank would hardly be feasible without state measures or significant regulatory support measures e.</w:t>
      </w:r>
    </w:p>
    <w:p>
      <w:r>
        <w:t>Protective guarantees, tolerance of significant deviations from regulatory capital requirements, rescue merger or activation of the Single Resolution Mechanism .</w:t>
      </w:r>
    </w:p>
    <w:p>
      <w:r>
        <w:t>However, the observed effects on value chains and commodity prices also show that the impact is still ongoing and remains difficult to assess given the additional uncertainty surrounding further developments in the Middle East.</w:t>
      </w:r>
    </w:p>
    <w:p>
      <w:r>
        <w:t>The need to record and manage the environmental risks was already established as a fundamental part of the assessment of riskbearing capacity.</w:t>
      </w:r>
    </w:p>
    <w:p>
      <w:r>
        <w:t>Furthermore, the carbon emissions intensities of the customer portfolio continued to be reported within Commerzbanks environmental, social and governance framework on the basis of explicit and externally communicated sector targets SBTi, and an initial control system has been set up.</w:t>
      </w:r>
    </w:p>
    <w:p>
      <w:r>
        <w:t>On this basis, the management of climate-related risk in connection with the sustainability strategy being pursued will be further expanded and operationalised, including the ongoing improvement of data and methods.</w:t>
      </w:r>
    </w:p>
    <w:p>
      <w:r>
        <w:t>Compliance with limits and guidelines is monitored during the year, and management measures are put in place where required.</w:t>
      </w:r>
    </w:p>
    <w:p>
      <w:r>
        <w:t>This ensures that all Commerzbank-specific risk concentrations are taken into account in its risk management.</w:t>
      </w:r>
    </w:p>
    <w:p>
      <w:r>
        <w:t>Scenario analyses are regularly used to ensure transparency regarding risk concentrations.</w:t>
      </w:r>
    </w:p>
    <w:p>
      <w:r>
        <w:t>Responsibility for approving the overall risk strategy and the Group Risk &amp; Capital Monitor lies with the Board of Managing Directors.</w:t>
      </w:r>
    </w:p>
    <w:p>
      <w:r>
        <w:t>It actively requires employees to behave appropriately, courageously, with integrity and in compliance with rules, and any failure to comply with rules is penalised.</w:t>
      </w:r>
    </w:p>
    <w:p>
      <w:r>
        <w:t>Further information on sustainability can also be found in our comprehensive sustainability reporting in accordance with international standards e.</w:t>
      </w:r>
    </w:p>
    <w:p>
      <w:r>
        <w:t>TCFD, GRI and the ESG framework of Commerzbank in the Sustainability Portal on the Commerzbank internet pages under Commerzbank, Investor Relations, Sustainability.</w:t>
      </w:r>
    </w:p>
    <w:p>
      <w:r>
        <w:t>In addition to the remuneration policy in general, the disclosure includes, in particular, explanations of the remuneration systems, remuneration governance, and quantitative information on the total amount of all remuneration, in particular the remuneration for so-called risk takers.</w:t>
      </w:r>
    </w:p>
    <w:p>
      <w:r>
        <w:t>The economic risk approach therefore also comprises risk types that are not included in the regulatory requirements for banks capital adequacy.</w:t>
      </w:r>
    </w:p>
    <w:p>
      <w:r>
        <w:t>The annual materiality assessment of environmental risks provides a comprehensive overview of the impact on existing material risk types identified in the risk inventory.</w:t>
      </w:r>
    </w:p>
    <w:p>
      <w:r>
        <w:t>The aim of the analysis process in the reverse stress test is to improve the transparency of Bank-specific risk potential and interactions of risk by identifying and assessing extreme scenarios and events.</w:t>
      </w:r>
    </w:p>
    <w:p>
      <w:r>
        <w:t>On this basis, for instance, action fields in risk management including the regular stress tests can be identified and taken into account in the ongoing development efforts.</w:t>
      </w:r>
    </w:p>
    <w:p>
      <w:r>
        <w:t>Risk management Strategy and organisation The credit risk strategy is the sub-risk strategy for default risks and is derived from the overall risk strategy.</w:t>
      </w:r>
    </w:p>
    <w:p>
      <w:r>
        <w:t>To this end, the credit risk strategy defines the credit risk tolerance, specifies risk strategy priorities, provides an overview of the material credit risk management concepts and thereby plays an integral part in maintaining the Groups risk-bearing capacity.</w:t>
      </w:r>
    </w:p>
    <w:p>
      <w:r>
        <w:t>Impeccable moral and ethical conduct in compliance with the law and regulations is a key element of a culture of integrity and core to the credit risk culture.</w:t>
      </w:r>
    </w:p>
    <w:p>
      <w:r>
        <w:t>It takes decisions in line with the competencies delegated to it by the Board of Managing Directors and is responsible for managing all credit risks.</w:t>
      </w:r>
    </w:p>
    <w:p>
      <w:r>
        <w:t>Reporting to the Group Credit Committee are sub-credit committees, which operate on the basis of their respective rules of procedure and within the competencies approved by the Board of Managing Directors.</w:t>
      </w:r>
    </w:p>
    <w:p>
      <w:r>
        <w:t>Discrete back-office areas are responsible for operational credit risk management at portfolio level and on a case-by-case basis.</w:t>
      </w:r>
    </w:p>
    <w:p>
      <w:r>
        <w:t>The risk management system ensures that the entire portfolio and the sub-portfolios, right down to individual exposure level, are managed consistently and thoroughly on a top-down basis.</w:t>
      </w:r>
    </w:p>
    <w:p>
      <w:r>
        <w:t>The ratios and measures required for the operational process of risk management are based on the overarching Group objectives.</w:t>
      </w:r>
    </w:p>
    <w:p>
      <w:r>
        <w:t>Quantitative credit risk strategy guidelines limit risks with regard to poorer credit ratings and exposures with high loss-at-default contributions concentration management and for selected subportfolios with a high risk weight or regulatory importance, and, as applicable, for individual products with a high portfolio share.</w:t>
      </w:r>
    </w:p>
    <w:p>
      <w:r>
        <w:t>Group-wide guiding principles are based on risk-oriented analyses of trends e.</w:t>
      </w:r>
    </w:p>
    <w:p>
      <w:r>
        <w:t>Of the development of weaker credit ratings over time combined with an assessment of external framework conditions and internal rules.</w:t>
      </w:r>
    </w:p>
    <w:p>
      <w:r>
        <w:t>The avoidance of risk concentrations is a core strategy of risk management.</w:t>
      </w:r>
    </w:p>
    <w:p>
      <w:r>
        <w:t>Management and the Supervisory Boards Risk Committee are regularly informed about the results of the analyses.</w:t>
      </w:r>
    </w:p>
    <w:p>
      <w:r>
        <w:t>This uniform process architecture not only facilitates risk management and monitoring but also supports consistent rating assignments within the Commerzbank Group.</w:t>
      </w:r>
    </w:p>
    <w:p>
      <w:r>
        <w:t>Overruling should particularly be used when there are strongly fluctuating developments e.</w:t>
      </w:r>
    </w:p>
    <w:p>
      <w:r>
        <w:t>Market changes such that an adequate assessment of a companys situation based on the analysis of statistical information e.</w:t>
      </w:r>
    </w:p>
    <w:p>
      <w:r>
        <w:t>Annual financial statements is not sufficient to give a future-oriented probability of default.</w:t>
      </w:r>
    </w:p>
    <w:p>
      <w:r>
        <w:t>The credit decision, which is based, among other things, on the rating result, includes the credit competencies of individual employees as well as the competencies of the committees Board of Managing Directors, credit committee, credit sub-committees are graduated by a range of factors including size of exposure and rating class.</w:t>
      </w:r>
    </w:p>
    <w:p>
      <w:r>
        <w:t>While this alone, aat the time of development, was not sufficient to develop a defaultnon-default model, the available data history is yet being incorporated for validation or development purposes.</w:t>
      </w:r>
    </w:p>
    <w:p>
      <w:r>
        <w:t>Asset Quality Reviews established in credit risk management also guarantee a continuously reliable data quality and the implementation of the model true to the process.</w:t>
      </w:r>
    </w:p>
    <w:p>
      <w:r>
        <w:t>Monthly reporting of rating coverage to the Board of Managing Directors ensures that the portfolios are valued using up-todate and valid rating analyses.</w:t>
      </w:r>
    </w:p>
    <w:p>
      <w:r>
        <w:t>In order to ensure that the LECL for these products is determined in an empirically sound manner in compliance with IFRS 9 requirements, Commerzbank calculates the LECL directly for these products based on realised historical losses.</w:t>
      </w:r>
    </w:p>
    <w:p>
      <w:r>
        <w:t>This assessment primarily involves reviewing the effects which the Banks macro-economic forecasts will have regarding the amount of the ECL, and including these effects in the determination of the ECL This is based on an expert estimate derived from the macroeconomic scenario, which takes account of factors such as GDP growth, inflation, long-term interest rate developments and the unemployment rate.</w:t>
      </w:r>
    </w:p>
    <w:p>
      <w:r>
        <w:t>Transactions which allow reliefs in capital for regulatory purposes are subject to a monitoring process that ensures the continuous compliance with the regulations on significant risk transfer according to Articles 244 and 245 Regulation 20172401.</w:t>
      </w:r>
    </w:p>
    <w:p>
      <w:r>
        <w:t>Valuation methods and quantitative information Regulatory valuation of securitisations The EU securitisation regulation comprises of two regulations, the securitisation regulation Regulation 20172402 that for the first time creates a European framework for simple, transparent and standardised securitisations as well as regulation 20172401 where the necessary amendments regarding regulation No 5752013 Capital Requirements Regulation, CRR are adapted.</w:t>
      </w:r>
    </w:p>
    <w:p>
      <w:r>
        <w:t>Companies which are consolidated within the Commerzbank Group for regulatory purposes may, as part of the Group-wide business and risk strategy, act as investors in securitisation transactions in which the Bank is acting as sponsor or originator.</w:t>
      </w:r>
    </w:p>
    <w:p>
      <w:r>
        <w:t>Risk management Strategy and organisation Commerzbanks market risk strategy is derived from its Group Risk Strategy and the business strategies of the individual segments.</w:t>
      </w:r>
    </w:p>
    <w:p>
      <w:r>
        <w:t>It sets targets for market risk management in relation to Commerzbanks main business activities.</w:t>
      </w:r>
    </w:p>
    <w:p>
      <w:r>
        <w:t>Specific levels of authority and responsibility in relation to market risk management have been assigned to the appropriate market risk committees.</w:t>
      </w:r>
    </w:p>
    <w:p>
      <w:r>
        <w:t>Our comprehensive rulebook, in the form of market risk policies and guidelines as well as restrictions on portfolio structure, new products, maturities and minimum ratings, establishes the qualitative framework for market risk management.</w:t>
      </w:r>
    </w:p>
    <w:p>
      <w:r>
        <w:t>A comprehensive internal limit system broken down to portfolio level is implemented and forms a core part of internal market risk management.</w:t>
      </w:r>
    </w:p>
    <w:p>
      <w:r>
        <w:t>The utilisation of these limits, together with the relevant net income figures, is reported daily to the Board of Managing Directors and the responsible heads of the Group divisions.</w:t>
      </w:r>
    </w:p>
    <w:p>
      <w:r>
        <w:t>Voting on the proposed measures or exposures takes place in the above-mentioned market risk committee and is subsequently submitted to the Board of Managing Directors for approval.</w:t>
      </w:r>
    </w:p>
    <w:p>
      <w:r>
        <w:t>The risk management of existing concentrations is also reviewed using situation-driven analyses and, where necessary, supplemented by targeted measures such as limits.</w:t>
      </w:r>
    </w:p>
    <w:p>
      <w:r>
        <w:t>Regulatory risk measures that are not included in economic riskbearing capacity are limited and managed separately.</w:t>
      </w:r>
    </w:p>
    <w:p>
      <w:r>
        <w:t>Market risk 98 Commerzbank Disclosure Report as of 31 December 2023 Tradability and measurement of financial instruments The criteria applicable within the Bank for the allocation of transactions to the trading book or banking book are set as part of a Groupwide policy which implements the regulatory requirements for the allocation of transactions to the trading book with regard to the bank-specific circumstances, particularly also with regard to organisation and the focus of business policy.</w:t>
      </w:r>
    </w:p>
    <w:p>
      <w:r>
        <w:t>A comprehensive internal limit system broken down to portfolio level is implemented and represents an important part of internal market risk management.</w:t>
      </w:r>
    </w:p>
    <w:p>
      <w:r>
        <w:t>Development of market risk assets in the standard approach The standard approach is essentially used to include the market risk positions of investmentssubsidiaries in the calculation of capital requirements.</w:t>
      </w:r>
    </w:p>
    <w:p>
      <w:r>
        <w:t>The increase is mainly due to changes in regulatory requirements.</w:t>
      </w:r>
    </w:p>
    <w:p>
      <w:r>
        <w:t>This standardised procedure is intended to ensure transparency of interest rate risks in both the trading and banking book.</w:t>
      </w:r>
    </w:p>
    <w:p>
      <w:r>
        <w:t>More information on the current developments triggered by the Ukraine crisis and the coronavirus pandemic can be found in the section Funding and Liquidity of the Commerzbank Group in the Management Report of the Annual Report 2023 on pages197 et seq.</w:t>
      </w:r>
    </w:p>
    <w:p>
      <w:r>
        <w:t>In addition to internal economic considerations, liquidity risk modelling also factors in the binding regulatory requirements under the Capital Requirements Regulation and the requirements of the Minimum Requirements for Risk Management MaRisk.</w:t>
      </w:r>
    </w:p>
    <w:p>
      <w:r>
        <w:t>Commerzbank incorporates this within its liquidity risk framework, thereby quantifying the liquidity risk appetite established by the full Board of Managing Directors.</w:t>
      </w:r>
    </w:p>
    <w:p>
      <w:r>
        <w:t>The liquidity reserve portfolio is funded in line with the liquidity risk appetite in order to ensure that it is kept at the required size throughout the entire reserve period stipulated by the Board of Managing Directors.</w:t>
      </w:r>
    </w:p>
    <w:p>
      <w:r>
        <w:t>In accordance with the regulatory requirements, the Board of Managing Directors and Group Treasury are informed about the liquidity risk status by means of daily and monthly reporting.</w:t>
      </w:r>
    </w:p>
    <w:p>
      <w:r>
        <w:t>In view of their increased economic significance, compliance risk and cyber risk are managed as separate risk types.</w:t>
      </w:r>
    </w:p>
    <w:p>
      <w:r>
        <w:t>Risk management Strategy and organisation Within Commerzbank, OpRisk and governance issues of the Internal Control System are closely connected in terms of both organisational structure and methodology and are continuously being enhanced.</w:t>
      </w:r>
    </w:p>
    <w:p>
      <w:r>
        <w:t>Risk management Commerzbank takes an active approach to managing operational risk, aiming to systematically identify OpRisk profiles and risk concentrations and to define, prioritize and implement risk mitigation measures.</w:t>
      </w:r>
    </w:p>
    <w:p>
      <w:r>
        <w:t>A structured, centralized and decentralized reporting system ensures that the management of the Bank and its segments, members of the Group OpRisk Committee and the supervisory bodies are informed regularly, promptly and fully about operational risk.</w:t>
      </w:r>
    </w:p>
    <w:p>
      <w:r>
        <w:t>Operational risks are also part of the regular risk reporting process to the Board of Managing Directors and to the Supervisory Boards Risk Committee.</w:t>
      </w:r>
    </w:p>
    <w:p>
      <w:r>
        <w:t>The business environment and control system provides incentives to reduce operational risk and improve risk management.</w:t>
      </w:r>
    </w:p>
    <w:p>
      <w:r>
        <w:t>The data cover the four IT security targets, confidentiality, integrity, availability and transparency.</w:t>
      </w:r>
    </w:p>
    <w:p>
      <w:r>
        <w:t>As a basis for the stress methodology, consistently the standard approach is used to determine the regulatory amount and the OpRisk ERC model is used to determine the economic amount.</w:t>
      </w:r>
    </w:p>
    <w:p>
      <w:r>
        <w:t>Outlook The Commerzbank framework for operational risk management is continuously reviewed and further developed.</w:t>
      </w:r>
    </w:p>
    <w:p>
      <w:r>
        <w:t>At present, the focus is on supporting the strategic measures of Commerzbank, the further development of the OpRisk ErC model and the integration of ESG aspects into risk management.</w:t>
      </w:r>
    </w:p>
    <w:p>
      <w:r>
        <w:t>In the regulatory environment, the EU draft to implement the rules of the Basel Committee on Banking supervision further provides for the mandatory introduction of the standardized approach for calculating regulatory OpRisk capital requirements from 1 January 2025.</w:t>
      </w:r>
    </w:p>
    <w:p>
      <w:r>
        <w:t>These rules are based on legal requirements, including the Minimum Requirements for Risk Management of Credit Institutions MaRisk, section AT5 Organisational guidelines, and on Commerzbanks strategy and constitution.</w:t>
      </w:r>
    </w:p>
    <w:p>
      <w:r>
        <w:t>The associated measures and the measures derived from the Information Security Strategy contribute to IT risk management.</w:t>
      </w:r>
    </w:p>
    <w:p>
      <w:r>
        <w:t>Motivation risk, Motivation risk arises when demotivating factors are not eliminated and employees do not adequately perceive motivating factors such as management or remuneration.</w:t>
      </w:r>
    </w:p>
    <w:p>
      <w:r>
        <w:t>Strategy and organisation Employees are a key resource for Commerzbank.</w:t>
      </w:r>
    </w:p>
    <w:p>
      <w:r>
        <w:t>Risk management The strategic guidelines from the overarching Group risk strategy apply without limitation to human resources risk.</w:t>
      </w:r>
    </w:p>
    <w:p>
      <w:r>
        <w:t>The operational risk sub-risk strategy, as part of the overall risk strategy of Commerzbank, sets the risk strategy framework and contains a detailed description of human resources risk management in addition to strategic and organisational elements.</w:t>
      </w:r>
    </w:p>
    <w:p>
      <w:r>
        <w:t>Adjustment risk is countered through selected internal and external training, continuing education and change measures.</w:t>
      </w:r>
    </w:p>
    <w:p>
      <w:r>
        <w:t>Steps are taken to ensure that the qualification levels of our employees keep pace with the current requirements, that guidance is provided for structural changes and that our employees can fulfil their duties and responsibilities.</w:t>
      </w:r>
    </w:p>
    <w:p>
      <w:r>
        <w:t>This includes the development of incentive systems to recognise individual achievements as well as measures for employee development and the reassignment of more demanding tasks to top performers.</w:t>
      </w:r>
    </w:p>
    <w:p>
      <w:r>
        <w:t>Another risk-mitigating measure is agreement on mutual consent for social plan instruments to prevent unwanted departures in the context of downsizing measures.</w:t>
      </w:r>
    </w:p>
    <w:p>
      <w:r>
        <w:t>These steps can help ensure that an appropriate number of employees with the required qualifications are available.</w:t>
      </w:r>
    </w:p>
    <w:p>
      <w:r>
        <w:t>The responsible first line of defence Retained Organisation must establish suitable control measures for every outsourcing arrangement, such as the checking of service quality, satisfaction with the service provider and regular evaluation of internal or external audits.</w:t>
      </w:r>
    </w:p>
    <w:p>
      <w:r>
        <w:t>Compliance risk in this context comprises risks relating to money laundering, terrorist financing, sanctionsembargoes, markets compliance, other punishable actions such as fraud, bribery and corruption, as well as consideration of human rights and environmental risks in accordance with the German Supply Chain Due Diligence Act LkSG.</w:t>
      </w:r>
    </w:p>
    <w:p>
      <w:r>
        <w:t>In order to actively promote a compliance culture in the Bank, the Board of Managing Directors of Commerzbank has laid down and communicated corresponding values in the Code of Conduct.</w:t>
      </w:r>
    </w:p>
    <w:p>
      <w:r>
        <w:t>The five typesareas of compliance risk, 1 anti money laundering fighting terrorist financing 2 sanctions and embargoes 3 combating fraud, bribery and corruption 4 markets compliance 5 consideration of human rights and environmental risks in accordance with the LkSG as well as B.</w:t>
      </w:r>
    </w:p>
    <w:p>
      <w:r>
        <w:t>Risk management To prevent compliance risks, Commerzbank has implemented security systems and controls for its transactions, customers, products and processes.</w:t>
      </w:r>
    </w:p>
    <w:p>
      <w:r>
        <w:t>Commerzbanks compliance management system is based on international market standards and the regulatory requirements in the various countries which are relevant for Commerzbanks business activities.</w:t>
      </w:r>
    </w:p>
    <w:p>
      <w:r>
        <w:t>Commerzbank is constantly developing its compliance management system in order to meet its responsibilities and address the growing complexity and increasing regulatory requirements.</w:t>
      </w:r>
    </w:p>
    <w:p>
      <w:r>
        <w:t>Group Compliance, the second line of defence 2nd LoD, sets standards for appropriate risk management, oversees the appropriateness and effectiveness of the procedures and controls in the first line of defence, and assesses and communicates any deficiencies found.</w:t>
      </w:r>
    </w:p>
    <w:p>
      <w:r>
        <w:t>In addition, Group Compliance carries out analyses and assessments of compliance risks and ensures that the risk management framework is implemented.</w:t>
      </w:r>
    </w:p>
    <w:p>
      <w:r>
        <w:t>Internal Audit, the third line of defence 3rd LoD, uses regular and independent audits to check that compliance in both the 1st LoD and 2nd LoD is appropriate and effective.</w:t>
      </w:r>
    </w:p>
    <w:p>
      <w:r>
        <w:t>Regular internal training measures and consulting services from the compliance function support the effective implementation of these standards in the Group.</w:t>
      </w:r>
    </w:p>
    <w:p>
      <w:r>
        <w:t>Risk analysis compliance risk analysis is one of the core elements of risk management.</w:t>
      </w:r>
    </w:p>
    <w:p>
      <w:r>
        <w:t>The Bank defines measures to further enhance risk management e.</w:t>
      </w:r>
    </w:p>
    <w:p>
      <w:r>
        <w:t>Introducing additional controls as necessary and tracks implementation closely.</w:t>
      </w:r>
    </w:p>
    <w:p>
      <w:r>
        <w:t>The compliance sub-risk strategy, as part of the overall risk strategy of Commerzbank, sets the risk strategy framework for dealing with compliance risks and contains a detailed description of compliance risk management in addition to strategic and organisational elements.</w:t>
      </w:r>
    </w:p>
    <w:p>
      <w:r>
        <w:t>Strategy and organisation All employees and managers have a fundamental duty to protect and reinforce Commerzbanks good reputation as a significant element of its enterprise value.</w:t>
      </w:r>
    </w:p>
    <w:p>
      <w:r>
        <w:t>Reputational Risk Managements tasks include identifying, evaluating and addressing intrinsic reputational risk in systematic processes at an early stage and suggesting or implementing appropriate measures early warning function.</w:t>
      </w:r>
    </w:p>
    <w:p>
      <w:r>
        <w:t>To this end, Commerzbank has created the clear governance structures described in this sub-risk strategy.</w:t>
      </w:r>
    </w:p>
    <w:p>
      <w:r>
        <w:t>Commerzbanks attitude towards these areas is laid down in positions, guidelines and the ESG framework that are binding for all employees.</w:t>
      </w:r>
    </w:p>
    <w:p>
      <w:r>
        <w:t>Developments in the cyber context are observed on an ongoing basis at Commerzbank by an interdisciplinary task force top management and specialists from GRM-CRIS and Group Technology Foundations GS-TF.</w:t>
      </w:r>
    </w:p>
    <w:p>
      <w:r>
        <w:t>Business risk Business risk is the risk of negative effects on the achievement of Commerzbanks projected results with a one-year risk horizon and the Banks medium to long-term strategic goals, for example as a result of changes in the market or competitive environment, capital market requirements, regulatorypolitical factors or the inadequate implementation of the Group strategy primary risk drivers.</w:t>
      </w:r>
    </w:p>
    <w:p>
      <w:r>
        <w:t>Strategy and organisation On the basis of external and internal factors, the Board of Managing Directors sets out a sustainable business strategy describing the major business activities and steps required to meet the targets.</w:t>
      </w:r>
    </w:p>
    <w:p>
      <w:r>
        <w:t>The aim in managing and monitoring ongoing business risk is to make a prediction about possible adverse deviations in the development of the operating results from the planned figures over a 12-month time horizon and thus to take the volatility of the underlying income and expenses into account when planning business activities.</w:t>
      </w:r>
    </w:p>
    <w:p>
      <w:r>
        <w:t>The aim of medium to long-term business strategy risk management, on the other hand, is the appropriate implementation of Group strategy in order to achieve the announced business goals and, if necessary, early adjustment of the business strategy if changes in the environment become apparent.</w:t>
      </w:r>
    </w:p>
    <w:p>
      <w:r>
        <w:t>Risk management To ensure proper implementation of the Group strategy to achieve the business targets, strategic controls are carried out through regular monitoring of quantitative and qualitative targets in the Group and the segments.</w:t>
      </w:r>
    </w:p>
    <w:p>
      <w:r>
        <w:t>Based on ongoing observations of the German and international market and competitive environment as well as the requirements of the regulator and the capital markets, the main changes and developments that are visible in the medium to long term are continuously analysed and the necessary measures are derived from this to ensure the Banks long-term success.</w:t>
      </w:r>
    </w:p>
    <w:p>
      <w:r>
        <w:t>If it becomes necessary to make adjustments to Commerzbanks risk appetite andor initiate capital measures, this is done in line with general risk governance under the overall risk strategy.</w:t>
      </w:r>
    </w:p>
    <w:p>
      <w:r>
        <w:t>Specific business policy decisions acquisition and sale of equity holdings &gt; €300m also require the authorisation of the Supervisory Boards Risk Committee.</w:t>
      </w:r>
    </w:p>
    <w:p>
      <w:r>
        <w:t>In addition, all major initiatives and projects are decided by the Board of Managing Directors.</w:t>
      </w:r>
    </w:p>
    <w:p>
      <w:r>
        <w:t>In line with the focus of the Group risk strategy, namely to ensure that the Bank has adequate capital and liquidity, the models for assessing riskbearing capacity capital requirements under the Basel framework and economic capital requirements, respectively and liquidity resources are central for risk management.</w:t>
      </w:r>
    </w:p>
    <w:p>
      <w:r>
        <w:t>In respect of the governance of model risk management, requirements relating to model validation, model development and model changes are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