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450BC" w14:textId="77777777" w:rsidR="00F10156" w:rsidRDefault="00000000">
      <w:r>
        <w:t>There will be slight increases in regulatory equity due to earnings retention and in the total risk exposure amount due to the changes to operational risks compared with the 2023 annual report, with a corresponding impact on the related ratios.</w:t>
      </w:r>
    </w:p>
    <w:p w14:paraId="2DCA2439" w14:textId="77777777" w:rsidR="00F10156" w:rsidRDefault="00000000">
      <w:r>
        <w:t>There will be slight increases in regulatory equity due to earnings retention and in the total risk exposure amount due to the changes to operational risks compared with the 2023 annual report, with a corresponding impact on the related ratios.</w:t>
      </w:r>
    </w:p>
    <w:p w14:paraId="3EDC7626" w14:textId="5D1ED2C4" w:rsidR="00F10156" w:rsidRDefault="00000000">
      <w:r>
        <w:t>The particularly important interdisciplinary risk area of environmental risk covers climate and environmental risks, which can have a transitory or physical impact.</w:t>
      </w:r>
    </w:p>
    <w:p w14:paraId="2AAD68AC" w14:textId="238EF8A5" w:rsidR="00F10156" w:rsidRDefault="00000000">
      <w:r>
        <w:t>The following material risk types were identified, Financial risks Counterparty default risks Market price risks Liquidity risks Real estate risks Development risks Investment risks Non-financial risks Operational risks in narrower sense Legal risks ICT information and communication technology risks Compliance risks Outsourcing risks Reputation risks Disclosure report 2023 9 Business risks Model risks Tax compliance risks LBBW defines financial risks as risks that are taken deliberately ex ante and that can be priced to generate income.</w:t>
      </w:r>
    </w:p>
    <w:p w14:paraId="5995524B" w14:textId="77777777" w:rsidR="00F10156" w:rsidRDefault="00000000">
      <w:r>
        <w:t>The risk strategies are drawn up by the Board of Managing Directors in line with the business strategy and noted by the Risk Committee.</w:t>
      </w:r>
    </w:p>
    <w:p w14:paraId="5082EFD8" w14:textId="77777777" w:rsidR="00F10156" w:rsidRDefault="00000000">
      <w:r>
        <w:t>Risk strategy guidelines are defined in the group risk strategy, which applies to the entire Group and across all risk types, in accordance with the Minimum Requirements for Risk Management MaRisk and the relevant European standards.</w:t>
      </w:r>
    </w:p>
    <w:p w14:paraId="4A382130" w14:textId="77777777" w:rsidR="00F10156" w:rsidRDefault="00000000">
      <w:r>
        <w:t>They contribute to a uniform risk culture and form the framework for the precise organization of processes and methods of risk management.</w:t>
      </w:r>
    </w:p>
    <w:p w14:paraId="665E019B" w14:textId="77777777" w:rsidR="00F10156" w:rsidRDefault="00000000">
      <w:r>
        <w:t>The sustainability policy of the LBBW Group must be observed.</w:t>
      </w:r>
    </w:p>
    <w:p w14:paraId="3F7088FA" w14:textId="77777777" w:rsidR="00F10156" w:rsidRDefault="00000000">
      <w:r>
        <w:t>In order to implement internal sustainability targets and account for the resulting risks, sustainability aspects are included in the existing risk guidelines.</w:t>
      </w:r>
    </w:p>
    <w:p w14:paraId="5B43A759" w14:textId="77777777" w:rsidR="00F10156" w:rsidRDefault="00000000">
      <w:r>
        <w:t>Capital adequacy that is suitable in the long term Annual medium-term planning comprises the economic and regulatory considerations, brings these together and acts as a link between the strategic framework and integrated bank management throughout the year.</w:t>
      </w:r>
    </w:p>
    <w:p w14:paraId="4D77FAF1" w14:textId="77777777" w:rsidR="00F10156" w:rsidRDefault="00000000">
      <w:r>
        <w:t>In addition, compliance with the internal targets and thus with minimum regulatory requirements is also ensured in the case of adverse economic developments.</w:t>
      </w:r>
    </w:p>
    <w:p w14:paraId="0EE2C1D3" w14:textId="77777777" w:rsidR="00F10156" w:rsidRDefault="00000000">
      <w:r>
        <w:t>Economic considerations complement regulatory considerations To ensure adequate capitalization from an economic point of view, in addition to the regulatory capital view a Group-wide compilation of risks across all material risk types and subsidiaries economic capital, and the comparison of these with the capital calculated from an economic perspective aggregate risk cover.</w:t>
      </w:r>
    </w:p>
    <w:p w14:paraId="2C328010" w14:textId="77777777" w:rsidR="00F10156" w:rsidRDefault="00000000">
      <w:r>
        <w:lastRenderedPageBreak/>
        <w:t>To quantify the potential impact on the portfolio of climate and environmental risks, LBBW regularly performs an internal climate risk stress test, for example.</w:t>
      </w:r>
    </w:p>
    <w:p w14:paraId="2867B96F" w14:textId="77777777" w:rsidR="00F10156" w:rsidRDefault="00000000">
      <w:r>
        <w:t>Within the defined framework, risk management decisions are made by the departments with portfolio responsibilities in the first line of defense, maintaining the separation of functions.</w:t>
      </w:r>
    </w:p>
    <w:p w14:paraId="2E41A613" w14:textId="77777777" w:rsidR="00F10156" w:rsidRDefault="00000000">
      <w:r>
        <w:t>As an advisory committee, it prepares decisions for the Board of Managing Directors and supports it in risk monitoring, risk methodology and risk strategy for the Group as a whole.</w:t>
      </w:r>
    </w:p>
    <w:p w14:paraId="278CFD12" w14:textId="77777777" w:rsidR="00F10156" w:rsidRDefault="00000000">
      <w:r>
        <w:t>It supports the Board of Managing Directors, among other things in structuring the balance sheet, managing capital and liquidity as Disclosure report 2023 13 well as in funding and managing market price risks.</w:t>
      </w:r>
    </w:p>
    <w:p w14:paraId="66D57108" w14:textId="77777777" w:rsidR="00F10156" w:rsidRDefault="00000000">
      <w:r>
        <w:t>This committee is made up of the divisional managers from Legal, Risk Control, Group Compliance, Finance, Group Auditing, the PKS central division, the COO for Risk Management, the COO for Capital Markets, IT Governance, and the managers of the Strategy and Investments departments.</w:t>
      </w:r>
    </w:p>
    <w:p w14:paraId="255E236A" w14:textId="77777777" w:rsidR="00F10156" w:rsidRDefault="00000000">
      <w:r>
        <w:t>The Group Auditing division also monitors the measures taken in response to the audit findings.</w:t>
      </w:r>
    </w:p>
    <w:p w14:paraId="27815561" w14:textId="77777777" w:rsidR="00F10156" w:rsidRDefault="00000000">
      <w:r>
        <w:t>The auditing activities of the Group Auditing division are generally based on an audit schedule, approved annually by the Board of Managing Directors, on the basis of a long-term risk-oriented plan, which records all the activities and processes of the LBBW Group, allowing for risk weighting in a reasonable period, but always within three years.</w:t>
      </w:r>
    </w:p>
    <w:p w14:paraId="27B522BC" w14:textId="77777777" w:rsidR="00F10156" w:rsidRDefault="00000000">
      <w:r>
        <w:t>In the past financial year, there were no changes to the heads of internal audit, the internal control function, the risk management function or the compliance function.</w:t>
      </w:r>
    </w:p>
    <w:p w14:paraId="6B025E7C" w14:textId="77777777" w:rsidR="00F10156" w:rsidRDefault="00000000">
      <w:r>
        <w:t>Methodological developments led to an increase in operational risk and in business and reputation risk.</w:t>
      </w:r>
    </w:p>
    <w:p w14:paraId="54EFB33B" w14:textId="77777777" w:rsidR="00F10156" w:rsidRDefault="00000000">
      <w:r>
        <w:t>Other potential effects of geopolitical conflicts, supply chain bottlenecks, inflation and the development of interest rates on LBBW’s economic and regulatory key performance indicators are regularly analyzed and investigated in stress scenarios.</w:t>
      </w:r>
    </w:p>
    <w:p w14:paraId="0ABBC5C3" w14:textId="77777777" w:rsidR="00F10156" w:rsidRDefault="00000000">
      <w:r>
        <w:t>A resolution approving the reappointment of members of the Board of Managing Directors must be passed no earlier than twelve and no later than six Disclosure report 2023 16 months before the expiry of the previous appointment.</w:t>
      </w:r>
    </w:p>
    <w:p w14:paraId="609E8FD2" w14:textId="77777777" w:rsidR="00F10156" w:rsidRDefault="00000000">
      <w:r>
        <w:t>The various diversity aspects and their relevance to LBBW are reassessed regularly, at least once a year, to ensure they remain up to date.</w:t>
      </w:r>
    </w:p>
    <w:p w14:paraId="3E005E28" w14:textId="77777777" w:rsidR="00F10156" w:rsidRDefault="00000000">
      <w:r>
        <w:t>Information on the diversity strategy is also published in LBBW’s 2023 annual report.</w:t>
      </w:r>
    </w:p>
    <w:p w14:paraId="2F28E977" w14:textId="77777777" w:rsidR="00F10156" w:rsidRDefault="00000000">
      <w:r>
        <w:lastRenderedPageBreak/>
        <w:t>Disclosure report 2023 17 Under these rules, the Executive Committee is responsible for preparing proposals for the election of members of the Supervisory Board who are not appointed by employees.</w:t>
      </w:r>
    </w:p>
    <w:p w14:paraId="4F915844" w14:textId="77777777" w:rsidR="00F10156" w:rsidRDefault="00000000">
      <w:r>
        <w:t>Moreover, the Executive Committee has defined a target for encouraging a greater proportion of women on the Supervisory Board as well as a strategy for reaching this target.</w:t>
      </w:r>
    </w:p>
    <w:p w14:paraId="15F400F9" w14:textId="77777777" w:rsidR="00F10156" w:rsidRDefault="00000000">
      <w:r>
        <w:t>There was also indepth reporting on the development of financed emissions and further developments in the assessment of sustainability risks.</w:t>
      </w:r>
    </w:p>
    <w:p w14:paraId="4CD602E2" w14:textId="77777777" w:rsidR="00F10156" w:rsidRDefault="00000000">
      <w:r>
        <w:t>Equity investments in entities in the financial sector not consolidated under the regulatory framework are taken into account in the threshold method.</w:t>
      </w:r>
    </w:p>
    <w:p w14:paraId="49397B4E" w14:textId="77777777" w:rsidR="00F10156" w:rsidRDefault="00000000">
      <w:r>
        <w:t>There will be slight increases in regulatory equity due to earnings retention and in the total risk exposure amount due to the changes to operational risks compared with the 2023 annual report, with a corresponding impact on the related ratios.</w:t>
      </w:r>
    </w:p>
    <w:p w14:paraId="3D3C4C0F" w14:textId="77777777" w:rsidR="00F10156" w:rsidRDefault="00000000">
      <w:r>
        <w:t>The disclosure of the shareholders’ equity rows in the following templates EU CC2 Reconciliation of regulatory own funds to balance sheet in the audited financial statements is not relevant for LBBW, as LBBW has no shareholders’ equity.</w:t>
      </w:r>
    </w:p>
    <w:p w14:paraId="4D3EA46E" w14:textId="77777777" w:rsidR="00F10156" w:rsidRDefault="00000000">
      <w:r>
        <w:t>The figures will be published by the Supervisory Board in the disclosure report on 8 April 2024 after approval of the annual financial statements, with a slight increase in the total risk exposure amount compared with the 2023 annual report.</w:t>
      </w:r>
    </w:p>
    <w:p w14:paraId="7736E6A6" w14:textId="4B4C551C" w:rsidR="00F10156" w:rsidRDefault="00000000">
      <w:r>
        <w:t>Risk measurement Liquidity risk tolerance is primarily defined by reference to a survival period concept</w:t>
      </w:r>
      <w:r w:rsidR="00190316">
        <w:t>.</w:t>
      </w:r>
    </w:p>
    <w:p w14:paraId="103B7494" w14:textId="77777777" w:rsidR="00F10156" w:rsidRDefault="00000000">
      <w:r>
        <w:t>Time frames are specified by senior management over which LBBW is expected to remain at least solvent, even in the event of severely limited opportunities to borrow on the market, subject to different combinations of assumptions development paths.</w:t>
      </w:r>
    </w:p>
    <w:p w14:paraId="53F4186C" w14:textId="77777777" w:rsidR="00F10156" w:rsidRDefault="00000000">
      <w:r>
        <w:t>If they need to be adjusted due to current developments, this is reported to senior management via the Risk Committee and, if approved, results in timely adjustments.</w:t>
      </w:r>
    </w:p>
    <w:p w14:paraId="5659CC16" w14:textId="77777777" w:rsidR="00F10156" w:rsidRDefault="00000000">
      <w:r>
        <w:t>All key subsidiaries as defined in the risk inventory Risk Management Group and conduits are transferred via the liquidity risk strategy into a single framework for strategic specifications of the activities involving liquidity risks.</w:t>
      </w:r>
    </w:p>
    <w:p w14:paraId="4DF75490" w14:textId="77777777" w:rsidR="00F10156" w:rsidRDefault="00000000">
      <w:r>
        <w:t>The liquidity risks for subsidiaries and affiliates are assessed using a regularly revised risk inventory and transferred to the Risk Management Group’s regulatory framework, which essentially matches the regulatory framework in place at LBBW Bank, according to their materiality.</w:t>
      </w:r>
    </w:p>
    <w:p w14:paraId="2473F9B9" w14:textId="77777777" w:rsidR="00F10156" w:rsidRDefault="00000000">
      <w:r>
        <w:t>Risk monitoring and reporting The regular monitoring of liquidity risks in terms of economic and regulatory aspects is the responsibility of the LBBW Risk Committee.</w:t>
      </w:r>
    </w:p>
    <w:p w14:paraId="103FE6C8" w14:textId="77777777" w:rsidR="00F10156" w:rsidRDefault="00000000">
      <w:r>
        <w:lastRenderedPageBreak/>
        <w:t>All material aspects of liquidity risk are reported in detail in the Risk Committee via the monthly overall risk report, such as liquidity requirements, liquidity buffer and compliance with the specifications on liquidity risk tolerance including the results of the stress tests carried out and the intraday liquidity.</w:t>
      </w:r>
    </w:p>
    <w:p w14:paraId="7E853F73" w14:textId="77777777" w:rsidR="00F10156" w:rsidRDefault="00000000">
      <w:r>
        <w:t>As part of the first line of defense, Treasury implements all the decisions to be made by ALCo with the aim of active income and risk optimization while simultaneously ensuring solvency at all times and compliance with the regulatory requirements and the requirements with respect to liquidity risk tolerance.</w:t>
      </w:r>
    </w:p>
    <w:p w14:paraId="58E012D7" w14:textId="77777777" w:rsidR="00F10156" w:rsidRDefault="00000000">
      <w:r>
        <w:t>This also ensures that in the event of temporary adverse developments an adequate time window is available for adapting the business strategy and considering alternative business policies.</w:t>
      </w:r>
    </w:p>
    <w:p w14:paraId="273FA9E2" w14:textId="77777777" w:rsidR="00F10156" w:rsidRDefault="00000000">
      <w:r>
        <w:t>On the capital market, LBBW obtained funding in 2023 through German covered bonds, senior preferred, senior non- Disclosure report 2023 40 preferred bonds in various currencies, both via private placements and as syndicated high-volume transactions and in some cases as ESG green bonds and social bonds.</w:t>
      </w:r>
    </w:p>
    <w:p w14:paraId="4F9E978B" w14:textId="252F673A" w:rsidR="00F10156" w:rsidRDefault="00000000">
      <w:r>
        <w:t>Stress tests LBBW uses stress tests to evaluate the impact of adverse economic and political developments on key performance indicators in the lending portfolio CVaR, RWA and allowances for losses on loans and advances.</w:t>
      </w:r>
    </w:p>
    <w:p w14:paraId="12289D0B" w14:textId="77777777" w:rsidR="00F10156" w:rsidRDefault="00000000">
      <w:r>
        <w:t>Clear responsibilities and appropriate experience and expertise are ensured in Risk Management by a customer or sector-specific organizational structure.</w:t>
      </w:r>
    </w:p>
    <w:p w14:paraId="3B1D77E7" w14:textId="77777777" w:rsidR="00F10156" w:rsidRDefault="00000000">
      <w:r>
        <w:t>As part of risk monitoring, the risk managers responsible continuously check changes in information of relevance for credit ratings as well as compliance on the basis of systems with the limits granted.</w:t>
      </w:r>
    </w:p>
    <w:p w14:paraId="748DA8A4" w14:textId="77777777" w:rsidR="00F10156" w:rsidRDefault="00000000">
      <w:r>
        <w:t>The most important periodic reports are as follows, The overall risk report presented monthly in the Risk Committee, which includes details about the risk situation at the portfolio level, compliance with the material limits, and size classes, risk concentration and segments.</w:t>
      </w:r>
    </w:p>
    <w:p w14:paraId="798B7F9B" w14:textId="77777777" w:rsidR="00F10156" w:rsidRDefault="00000000">
      <w:r>
        <w:t>Risk management Counterparty risks are managed, in particular, through the requirements of the credit risk strategy, through the economic capital allocation to sub-portfolios with the aid of the CVaR, and by avoiding and reducing concentration risks at the level of sectors, countries and individual counterparties.</w:t>
      </w:r>
    </w:p>
    <w:p w14:paraId="77AB4A07" w14:textId="77777777" w:rsidR="00F10156" w:rsidRDefault="00000000">
      <w:r>
        <w:t>Individual transaction level As a rule, the upper limits on the individual transaction level taking the concentration limit into account are set individually by the respective authorized person responsible for the front office or Risk Management divisions.</w:t>
      </w:r>
    </w:p>
    <w:p w14:paraId="0143DDF7" w14:textId="77777777" w:rsidR="00F10156" w:rsidRDefault="00000000">
      <w:r>
        <w:t>A material part of managing individual transactions involves monitoring compliance with the quantitative and qualitative requirements defined in the credit risk strategy.</w:t>
      </w:r>
    </w:p>
    <w:p w14:paraId="23A7041B" w14:textId="77777777" w:rsidR="00F10156" w:rsidRDefault="00000000">
      <w:r>
        <w:lastRenderedPageBreak/>
        <w:t>In addition, the results of the stress tests may provide indications of potentially critical or even dangerous risk situations, which may require suitable countermeasures or risk management measures to be taken.</w:t>
      </w:r>
    </w:p>
    <w:p w14:paraId="59553C33" w14:textId="77777777" w:rsidR="00F10156" w:rsidRDefault="00000000">
      <w:r>
        <w:t>The credit risk control units are responsible for the design and development of the rating systems, in particular for the design, selection, implementation, oversight and performance of the rating systems Article 190 CRR.</w:t>
      </w:r>
    </w:p>
    <w:p w14:paraId="35F3654E" w14:textId="77777777" w:rsidR="00F10156" w:rsidRDefault="00000000">
      <w:r>
        <w:t>Risk Management at each bank is responsible for the application of the rating procedures, i.</w:t>
      </w:r>
    </w:p>
    <w:p w14:paraId="55822B5D" w14:textId="77777777" w:rsidR="00F10156" w:rsidRDefault="00000000">
      <w:r>
        <w:t>The integrity of assignment in accordance with Article 173 CRR.</w:t>
      </w:r>
    </w:p>
    <w:p w14:paraId="7DC67A4E" w14:textId="77777777" w:rsidR="00F10156" w:rsidRDefault="00000000">
      <w:r>
        <w:t>This includes, among other things, a review of the correct application of the rating procedures, the efficacy of the internal control system and an assessment of the written policy.</w:t>
      </w:r>
    </w:p>
    <w:p w14:paraId="424EF547" w14:textId="3EE586D7" w:rsidR="00F10156" w:rsidRDefault="00000000">
      <w:r>
        <w:t>The Methodology and policy item shows changes caused by adjustments to calculation methods resulting from changes to regulatory policies.</w:t>
      </w:r>
    </w:p>
    <w:p w14:paraId="6A2470B1" w14:textId="77777777" w:rsidR="00F10156" w:rsidRDefault="00000000">
      <w:r>
        <w:t>Risk management includes all measures used for a systematic recognition, analysis, valuation, monitoring, control and avoidance/mitigation of risk.</w:t>
      </w:r>
    </w:p>
    <w:p w14:paraId="13043695" w14:textId="77777777" w:rsidR="00F10156" w:rsidRDefault="00000000">
      <w:r>
        <w:t>Its main Disclosure report 2023 101 task here is to monitor the risk situation and compliance with risk limits on an ongoing basis and to report to the Board of Managing Directors and committees of Berlin Hyp.</w:t>
      </w:r>
    </w:p>
    <w:p w14:paraId="23AEA468" w14:textId="77777777" w:rsidR="00F10156" w:rsidRDefault="00000000">
      <w:r>
        <w:t>Risk controlling in Stuttgart prepares a daily report for the LBBW Group, including Berlin Hyp, that gives an overview of earnings performance and risk development.</w:t>
      </w:r>
    </w:p>
    <w:p w14:paraId="7DE5FF0C" w14:textId="77777777" w:rsidR="00F10156" w:rsidRDefault="00000000">
      <w:r>
        <w:t>An overall risk report is prepared for the LBBW Group each month with detailed information about earnings performance, risk development, economic capital and the monitoring of the economic capital limit.</w:t>
      </w:r>
    </w:p>
    <w:p w14:paraId="7B766452" w14:textId="77777777" w:rsidR="00F10156" w:rsidRDefault="00000000">
      <w:r>
        <w:t>Operational risk management and controlling focuses on identifying operational risks at an early stage, presenting them in a transparent manner and managing them proactively.</w:t>
      </w:r>
    </w:p>
    <w:p w14:paraId="07F38C76" w14:textId="77777777" w:rsidR="00F10156" w:rsidRDefault="00000000">
      <w:r>
        <w:t>Treasury accepts further strategic positions in a framework established by the Board of Managing Directors as a whole on the basis of LBBW’s business strategy.</w:t>
      </w:r>
    </w:p>
    <w:p w14:paraId="25604949" w14:textId="77777777" w:rsidR="00F10156" w:rsidRDefault="00000000">
      <w:r>
        <w:t>The five defined strategic levers sustainable transformation, innovative solutions, more resilience, inspiring employees, and contribution to society contribute to the corporate objectives of growth and relevance on a long-term basis.</w:t>
      </w:r>
    </w:p>
    <w:p w14:paraId="79E834C1" w14:textId="77777777" w:rsidR="00F10156" w:rsidRDefault="00000000">
      <w:r>
        <w:t>LBBW’s long-term environmental, social and governance targets ESG targets include achieving the goals of the Paris Agreement.</w:t>
      </w:r>
    </w:p>
    <w:p w14:paraId="5C3CDC01" w14:textId="77777777" w:rsidR="00F10156" w:rsidRDefault="00000000">
      <w:r>
        <w:lastRenderedPageBreak/>
        <w:t>Specific targets to be met by 2030 were set for selected sectors with high greenhouse gas emissions sector-specific transformation that clarify LBBW’s aspirations in discussions with customers.</w:t>
      </w:r>
    </w:p>
    <w:p w14:paraId="25D0F100" w14:textId="0672C917" w:rsidR="00F10156" w:rsidRDefault="00000000">
      <w:r>
        <w:t>In line with the strategic lever contribution to society, charitable initiatives by employees are also actively supported.</w:t>
      </w:r>
    </w:p>
    <w:p w14:paraId="5BBA5049" w14:textId="77777777" w:rsidR="00F10156" w:rsidRDefault="00000000">
      <w:r>
        <w:t>At the LBBW Group, the corporate remuneration strategy provides the framework for designing and implementing the remuneration systems.</w:t>
      </w:r>
    </w:p>
    <w:p w14:paraId="15A6DEB5" w14:textId="77777777" w:rsidR="00F10156" w:rsidRDefault="00000000">
      <w:r>
        <w:t>The LBBW Group’s strategic objectives form the framework for measuring performance-based variable remuneration.</w:t>
      </w:r>
    </w:p>
    <w:p w14:paraId="3DBA8598" w14:textId="77777777" w:rsidR="00F10156" w:rsidRDefault="00000000">
      <w:r>
        <w:t>LBBW’s remuneration strategy is essentially based on the main objectives of growth and relevance.</w:t>
      </w:r>
    </w:p>
    <w:p w14:paraId="37A3E8C4" w14:textId="7C9928CE" w:rsidR="00F10156" w:rsidRDefault="00000000">
      <w:r>
        <w:t>The defined strategic levers are grouped in the LBBW Strategy House and include ESG-specific key figures that are used for internal management purposes and for measuring success and are therefore relevant to remuneration.</w:t>
      </w:r>
    </w:p>
    <w:p w14:paraId="26258B29" w14:textId="77777777" w:rsidR="00F10156" w:rsidRDefault="00000000">
      <w:r>
        <w:t>The corporate remuneration strategy ensures that the remuneration systems are essentially based on performance, results, and the market, meaning that disadvantages in pay on the basis of gender can be ruled out.</w:t>
      </w:r>
    </w:p>
    <w:p w14:paraId="09586336" w14:textId="77777777" w:rsidR="00F10156" w:rsidRDefault="00000000">
      <w:r>
        <w:t>The business strategy analyzes and presents the impact of sustainability efforts with their regulatory requirements and the climate and environmental risks on the LBBW Group and its individual business areas in close collaboration with the relevant divisions.</w:t>
      </w:r>
    </w:p>
    <w:p w14:paraId="1EE2D4C1" w14:textId="77777777" w:rsidR="00F10156" w:rsidRDefault="00000000">
      <w:r>
        <w:t>The quantitative risk appetite defines long-term ESG goals such as achieving the climate goals of the Paris Agreement and decarbonizing the portfolio.</w:t>
      </w:r>
    </w:p>
    <w:p w14:paraId="7F08A42F" w14:textId="44E72038" w:rsidR="00F10156" w:rsidRDefault="00000000">
      <w:r>
        <w:t>The goal of a sustainable business model necessitates various ESG-related requirements that are described in this excerpt from the Group risk strategy, The LBBW Group acts in the best and long-term interest of its customers and stakeholders and thus intends to make a substantial contribution to society.</w:t>
      </w:r>
    </w:p>
    <w:p w14:paraId="098FA87F" w14:textId="77777777" w:rsidR="00F10156" w:rsidRDefault="00000000">
      <w:r>
        <w:t>The sustainability policy of the LBBW Group must be observed.</w:t>
      </w:r>
    </w:p>
    <w:p w14:paraId="673FC88E" w14:textId="77777777" w:rsidR="00F10156" w:rsidRDefault="00000000">
      <w:r>
        <w:t>We ensure that sustainability criteria are met for customer financing.</w:t>
      </w:r>
    </w:p>
    <w:p w14:paraId="14FDE72D" w14:textId="77777777" w:rsidR="00F10156" w:rsidRDefault="00000000">
      <w:r>
        <w:t>In addition to the quantitative goals, LBBW will do the following to help shape the necessary transformation of the economy for the required climate neutrality, ensure transparency in loan applications for the sector pathways in the case of sectors with high emissions regulate any breach of the credit risk strategy on the basis of the individual ESG score 8.</w:t>
      </w:r>
    </w:p>
    <w:p w14:paraId="6B9A58ED" w14:textId="77777777" w:rsidR="00F10156" w:rsidRDefault="00000000">
      <w:r>
        <w:t>LBBW does not support financing related to pornography, controversial forms of gambling or uranium mining without sufficient environmental and safety standards.</w:t>
      </w:r>
    </w:p>
    <w:p w14:paraId="1B52630D" w14:textId="77777777" w:rsidR="00F10156" w:rsidRDefault="00000000">
      <w:r>
        <w:lastRenderedPageBreak/>
        <w:t>To achieve the goal of climate neutrality of the credit portfolio, LBBW has also set sector-specific and scenario-based climate targets for 2030 for the sectors responsible for the most greenhouse gas emissions.</w:t>
      </w:r>
    </w:p>
    <w:p w14:paraId="42AEB33A" w14:textId="1ABF628C" w:rsidR="00F10156" w:rsidRDefault="00000000">
      <w:r>
        <w:t>Disclosure report 2023 117 The implementation of the EU Taxonomy Regulation throughout the bank is being advanced as part of the Group-wide Sustainability Project launched in 2021.</w:t>
      </w:r>
    </w:p>
    <w:p w14:paraId="431E992D" w14:textId="77777777" w:rsidR="00F10156" w:rsidRDefault="00000000">
      <w:r>
        <w:t>LBBW supports the sustainable transformation and the EU’s climate protection and environmental goals with a wide range of sustainable financial products and services.</w:t>
      </w:r>
    </w:p>
    <w:p w14:paraId="07E73CC7" w14:textId="77777777" w:rsidR="00F10156" w:rsidRDefault="00000000">
      <w:r>
        <w:t>The goal of LBBW Sustainability Advisory is therefore to support corporate customers in particular, as the bank’s main customer group, with the sustainable transformation of their business models.</w:t>
      </w:r>
    </w:p>
    <w:p w14:paraId="4D134136" w14:textId="77777777" w:rsidR="00F10156" w:rsidRDefault="00000000">
      <w:r>
        <w:t>Starting by performing materiality analyses, we advise customers on everything from their strategic focus to the development of individual climate goals in line with existing transformation and decarbonization pathways and the management of their sustainability activities.</w:t>
      </w:r>
    </w:p>
    <w:p w14:paraId="76B980D1" w14:textId="3B344424" w:rsidR="00F10156" w:rsidRDefault="00000000">
      <w:r>
        <w:t>For example, LBBW Sustainability Readiness Checks help corporate customers with setting priorities and targets.</w:t>
      </w:r>
    </w:p>
    <w:p w14:paraId="458FC7B7" w14:textId="77777777" w:rsidR="00F10156" w:rsidRDefault="00000000">
      <w:r>
        <w:t>The Sustainability Advisory units at LBBW offer expertise combined with implementation advice and support not only for companies, but also for financial institutions and institutional customers.</w:t>
      </w:r>
    </w:p>
    <w:p w14:paraId="37ED7FA3" w14:textId="77777777" w:rsidR="00F10156" w:rsidRDefault="00000000">
      <w:r>
        <w:t>The risks are measured in periodic evaluations and analyses and in company-wide comparisons of key staff indicators such as turnover rates, absences, and data on staff development measures.</w:t>
      </w:r>
    </w:p>
    <w:p w14:paraId="2D4666FC" w14:textId="5F26E428" w:rsidR="00F10156" w:rsidRDefault="00000000">
      <w:r>
        <w:t>LBBW has firmly establishing the promotion of gender equality in the guidelines of its HR policy, particularly in the two pillars work-life balance and equal opportunities and diversity.</w:t>
      </w:r>
    </w:p>
    <w:p w14:paraId="00E99210" w14:textId="77777777" w:rsidR="00F10156" w:rsidRDefault="00000000">
      <w:r>
        <w:t>In addition, LBBW signed the Diversity Charter in 2008, thereby undertaking to ensure a nondiscriminatory work environment for all employees.</w:t>
      </w:r>
    </w:p>
    <w:p w14:paraId="1B95325A" w14:textId="77777777" w:rsidR="00F10156" w:rsidRDefault="00000000">
      <w:r>
        <w:t>In order to identify, prevent, and reduce human rights violations, the review of human rights aspects is integrated in the investment and credit processes.</w:t>
      </w:r>
    </w:p>
    <w:p w14:paraId="45B96590" w14:textId="77777777" w:rsidR="00F10156" w:rsidRDefault="00000000">
      <w:r>
        <w:t>The human rights officer’s tasks include monitoring compliance with due diligence requirements, the effectiveness review, preparing and reviewing the policy statement, the annual risk analysis report, and reviewing tip-offs and other information.</w:t>
      </w:r>
    </w:p>
    <w:p w14:paraId="747A137F" w14:textId="720BAC84" w:rsidR="00F10156" w:rsidRDefault="00000000">
      <w:r>
        <w:lastRenderedPageBreak/>
        <w:t>As part of the standard due diligence process, the questionnaires and the Sustainability agreement for LBBW suppliers were examined and adjusted in terms of the content and protection goals of the LkSG.</w:t>
      </w:r>
    </w:p>
    <w:p w14:paraId="0A4AF0FE" w14:textId="77777777" w:rsidR="00F10156" w:rsidRDefault="00000000">
      <w:r>
        <w:t>Governance Rigorously applying these to the existing Group structure guarantees systematic sustainability management at LBBW.</w:t>
      </w:r>
    </w:p>
    <w:p w14:paraId="780BEB81" w14:textId="77777777" w:rsidR="00F10156" w:rsidRDefault="00000000">
      <w:r>
        <w:t>It is also responsible for making decisions on recommendations made by the Sustainability Committee.</w:t>
      </w:r>
    </w:p>
    <w:p w14:paraId="7C56ACA5" w14:textId="77777777" w:rsidR="00F10156" w:rsidRDefault="00000000">
      <w:r>
        <w:t>The LBBW Sustainability Committee is responsible for creating transparency and networks across business units to further reinforce and expand the importance of sustainability.</w:t>
      </w:r>
    </w:p>
    <w:p w14:paraId="242A2EA7" w14:textId="51AEDA3F" w:rsidR="00F10156" w:rsidRDefault="00000000">
      <w:r>
        <w:t>Non-transaction-related risk management within the first LoD is the responsibility of OE 13 Corporate Communication, Marketing and BMD Office and department OE 8550 ESG Group Transformation together with all divisional managers and managing directors of Group subsidiaries.</w:t>
      </w:r>
    </w:p>
    <w:p w14:paraId="014C8820" w14:textId="77777777" w:rsidR="00F10156" w:rsidRDefault="00000000">
      <w:r>
        <w:t>The monitoring function in the second line of defense is split between Risk Control, Group Compliance second line of defense for compliance and reputation risks and COO Risk Management.</w:t>
      </w:r>
    </w:p>
    <w:p w14:paraId="700EE3BA" w14:textId="77777777" w:rsidR="00F10156" w:rsidRDefault="00000000">
      <w:r>
        <w:t>As the third line of defense, Internal Auditing monitors the first and second lines and assesses the appropriateness and effectiveness of risk management.</w:t>
      </w:r>
    </w:p>
    <w:p w14:paraId="064347F1" w14:textId="53711899" w:rsidR="00F10156" w:rsidRDefault="00000000">
      <w:r>
        <w:t xml:space="preserve">LBBW is committed to the United Nation’s Universal Declaration of Human Rights, the UN Guiding Principles on Business and Human Rights, the OECD Guidelines for Multinational Enterprises, the labor standards of the International </w:t>
      </w:r>
      <w:proofErr w:type="spellStart"/>
      <w:r>
        <w:t>Labour</w:t>
      </w:r>
      <w:proofErr w:type="spellEnd"/>
      <w:r>
        <w:t xml:space="preserve"> </w:t>
      </w:r>
      <w:r w:rsidR="00096C3E">
        <w:t>Organization,</w:t>
      </w:r>
      <w:r>
        <w:t xml:space="preserve"> the German General Anti-Discrimination Act </w:t>
      </w:r>
      <w:proofErr w:type="spellStart"/>
      <w:r>
        <w:t>Allgemeines</w:t>
      </w:r>
      <w:proofErr w:type="spellEnd"/>
      <w:r>
        <w:t xml:space="preserve"> </w:t>
      </w:r>
      <w:proofErr w:type="spellStart"/>
      <w:r>
        <w:t>Gleichbehandlungsgesetz</w:t>
      </w:r>
      <w:proofErr w:type="spellEnd"/>
      <w:r>
        <w:t>, the UK Modern Slavery Act and the German Supply Chain Act Lieferkettensorgfaltspflichtengesetz LkSG.</w:t>
      </w:r>
    </w:p>
    <w:p w14:paraId="5E2BA0AC" w14:textId="77777777" w:rsidR="00F10156" w:rsidRDefault="00000000">
      <w:r>
        <w:t>Compliance with these commitments in day-to-day business is ensured through binding guidelines, review processes in the lending business and in supplier management, The ILO’s eight core labor standards on fair working conditions apply for all LBBW Group employees, provided these have been ratified by the country in question.</w:t>
      </w:r>
    </w:p>
    <w:p w14:paraId="4ABFC232" w14:textId="77777777" w:rsidR="00F10156" w:rsidRDefault="00000000">
      <w:r>
        <w:t>LBBW is committed to its responsibility for human rights and the environment in its own supply chains and requires its own suppliers to uphold human rights and protect the environment as required by the German Supply Chain Act Lieferkettensorgfaltspflichtengesetz LkSG.</w:t>
      </w:r>
    </w:p>
    <w:p w14:paraId="3989DE97" w14:textId="6363607D" w:rsidR="00F10156" w:rsidRDefault="00000000">
      <w:r>
        <w:t xml:space="preserve">All employees are required to complete an e-learning tool to implement the German General Anti-Discrimination Act </w:t>
      </w:r>
      <w:proofErr w:type="spellStart"/>
      <w:r>
        <w:t>Allgemeines</w:t>
      </w:r>
      <w:proofErr w:type="spellEnd"/>
      <w:r>
        <w:t xml:space="preserve"> </w:t>
      </w:r>
      <w:proofErr w:type="spellStart"/>
      <w:r>
        <w:t>Gleichbehandlungsgesetz</w:t>
      </w:r>
      <w:proofErr w:type="spellEnd"/>
      <w:r>
        <w:t>.</w:t>
      </w:r>
    </w:p>
    <w:p w14:paraId="792D2C4E" w14:textId="1ED7EFFF" w:rsidR="00F10156" w:rsidRDefault="00000000">
      <w:r>
        <w:t xml:space="preserve">In accordance with the Works Agreement on Protection from Discrimination and a Cooperative Environment in the Workplace, employees who feel discriminated against can </w:t>
      </w:r>
      <w:r>
        <w:lastRenderedPageBreak/>
        <w:t>turn to the staff council, the representatives for disabled employees, the responsible manager, the social services department, or the complaints office.</w:t>
      </w:r>
    </w:p>
    <w:p w14:paraId="5509AA4A" w14:textId="77777777" w:rsidR="00F10156" w:rsidRDefault="00000000">
      <w:r>
        <w:t>LBBW expressly encourages its employees to be transparent about any irregularities and has established a whistleblowing process for this purpose, breaches of statutory regulations or internal guidelines and punishable offenses within LBBW can be anonymously reported to the Compliance department or to an external, independent ombudsman appointed by LBBW.</w:t>
      </w:r>
    </w:p>
    <w:p w14:paraId="473C6E1A" w14:textId="5803E318" w:rsidR="00F10156" w:rsidRDefault="00000000">
      <w:r>
        <w:t>Depending on the risk type, data calculated internally by the bank</w:t>
      </w:r>
      <w:r w:rsidR="00B1626B">
        <w:t xml:space="preserve"> </w:t>
      </w:r>
      <w:r>
        <w:t>Greenhouse gas intensity or publicly available data Human Freedom Index, the World Bank’s hazard maps of physical risks and the Sustainability Accounting Standards Board Materiality Map are used to assess the impact of ESG risk drivers on the portfolio.</w:t>
      </w:r>
    </w:p>
    <w:p w14:paraId="7458C47E" w14:textId="77777777" w:rsidR="00F10156" w:rsidRDefault="00000000">
      <w:r>
        <w:t>LBBW also believes the impact of ESG risk drivers on market risks, liquidity risks and operational risks, as well as on real estate, development, investment and model risks, is less relevant currently.</w:t>
      </w:r>
    </w:p>
    <w:p w14:paraId="0C7708F1" w14:textId="77777777" w:rsidR="00F10156" w:rsidRDefault="00000000">
      <w:r>
        <w:t>Social and governance risks do not have a material impact on risk exposures, as the portfolio is diversified and is focused on Germany and Europe.</w:t>
      </w:r>
    </w:p>
    <w:p w14:paraId="4D9EC012" w14:textId="77777777" w:rsidR="00F10156" w:rsidRDefault="00000000">
      <w:r>
        <w:t>Risk management therefore places particular focus on these channels.</w:t>
      </w:r>
    </w:p>
    <w:p w14:paraId="5E3B470F" w14:textId="77777777" w:rsidR="00F10156" w:rsidRDefault="00000000">
      <w:r>
        <w:t>The calculation methods are currently based on the Partnership for Carbon Accounting Framework standard.</w:t>
      </w:r>
    </w:p>
    <w:p w14:paraId="2321E018" w14:textId="77777777" w:rsidR="00F10156" w:rsidRDefault="00000000">
      <w:r>
        <w:t>Using hazard maps from the World Bank, LBBW developed the physical risk tool to analyze the impact of chronic and acute physical climate risks on credit risk.</w:t>
      </w:r>
    </w:p>
    <w:p w14:paraId="659EC3CC" w14:textId="77777777" w:rsidR="00F10156" w:rsidRDefault="00000000">
      <w:r>
        <w:t>Physical risks at these companies are therefore assessed on a sector basis using the Sustainability Accounting Standard Board Materiality Map and the Intergovernmental Panel on Climate Change Fifth Assessment Report IPCC AR5.</w:t>
      </w:r>
    </w:p>
    <w:p w14:paraId="16CA431A" w14:textId="77777777" w:rsidR="00F10156" w:rsidRDefault="00000000">
      <w:r>
        <w:t>In addition, the half-yearly internal sector reports include a qualitative assessment of ESG risks at portfolio level and present the development of the average greenhouse gas intensity of the most relevant customers in the respective sector.</w:t>
      </w:r>
    </w:p>
    <w:p w14:paraId="687CF5B0" w14:textId="77777777" w:rsidR="00F10156" w:rsidRDefault="00000000">
      <w:r>
        <w:t>In environmental E, social S and governance G risk clusters, it has identified qualitative and quantitative questions that support Sales and Risk Management in identifying and evaluating potential ESG risks.</w:t>
      </w:r>
    </w:p>
    <w:p w14:paraId="1CEA5873" w14:textId="77777777" w:rsidR="00F10156" w:rsidRDefault="00000000">
      <w:r>
        <w:t>Loan applications are also examined in terms of compliance-related and sustainability-related reputation risks based on internal lending rules.</w:t>
      </w:r>
    </w:p>
    <w:p w14:paraId="655002C0" w14:textId="77777777" w:rsidR="00F10156" w:rsidRDefault="00000000">
      <w:r>
        <w:t>All affected divisions including Finance, Risk Controlling, IT, Back Office, Treasury, Compliance, Internal Auditing, Credit Principles, Risk Management, Sustainability, Banking, and Legal are involved in the NPP.</w:t>
      </w:r>
    </w:p>
    <w:p w14:paraId="49866AD3" w14:textId="77777777" w:rsidR="00F10156" w:rsidRDefault="00000000">
      <w:r>
        <w:lastRenderedPageBreak/>
        <w:t>The development of the ESG core began in 2022 with the integration of data for disclosure requirements.</w:t>
      </w:r>
    </w:p>
    <w:p w14:paraId="44BCE9C8" w14:textId="77777777" w:rsidR="00F10156" w:rsidRDefault="00000000">
      <w:r>
        <w:t>LBBW Bank measures and analyzes the alignment of its portfolio in high-carbon sectors with the Paris climate targets.</w:t>
      </w:r>
    </w:p>
    <w:p w14:paraId="1E61824A" w14:textId="77777777" w:rsidR="00F10156" w:rsidRDefault="00000000">
      <w:r>
        <w:t>The basis for assessing individual sectors is the Sustainability Accounting Standards Board ’s Materiality Map and the Intergovernmental Panel on Climate Change IPCC Ar5’s Fifth Assessment Report.</w:t>
      </w:r>
    </w:p>
    <w:p w14:paraId="1DD00230" w14:textId="77777777" w:rsidR="00F10156" w:rsidRDefault="00000000">
      <w:r>
        <w:t>These templates serve to illustrate the form and scope of economic activities that can be classified as environmentally sustainable in terms of the first two environmental objectives – climate change mitigation and climate change adaptation – under the EU Taxonomy Regulation.</w:t>
      </w:r>
    </w:p>
    <w:p w14:paraId="4FF0B2D8" w14:textId="77777777" w:rsidR="00F10156" w:rsidRDefault="00000000">
      <w:r>
        <w:t>The purpose of the mitigating action is to reduce CO2 emissions and, in turn, protect the climate.</w:t>
      </w:r>
    </w:p>
    <w:p w14:paraId="6009E647" w14:textId="77777777" w:rsidR="00F10156" w:rsidRDefault="00000000">
      <w:r>
        <w:t>The purpose of the mitigating action is to reduce CO2 emissions and, in turn, protect the climate.</w:t>
      </w:r>
    </w:p>
    <w:sectPr w:rsidR="00F101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52141034">
    <w:abstractNumId w:val="8"/>
  </w:num>
  <w:num w:numId="2" w16cid:durableId="1896351879">
    <w:abstractNumId w:val="6"/>
  </w:num>
  <w:num w:numId="3" w16cid:durableId="1433820598">
    <w:abstractNumId w:val="5"/>
  </w:num>
  <w:num w:numId="4" w16cid:durableId="1270701487">
    <w:abstractNumId w:val="4"/>
  </w:num>
  <w:num w:numId="5" w16cid:durableId="115100870">
    <w:abstractNumId w:val="7"/>
  </w:num>
  <w:num w:numId="6" w16cid:durableId="1696880413">
    <w:abstractNumId w:val="3"/>
  </w:num>
  <w:num w:numId="7" w16cid:durableId="1622104721">
    <w:abstractNumId w:val="2"/>
  </w:num>
  <w:num w:numId="8" w16cid:durableId="1150251813">
    <w:abstractNumId w:val="1"/>
  </w:num>
  <w:num w:numId="9" w16cid:durableId="643892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C3E"/>
    <w:rsid w:val="0015074B"/>
    <w:rsid w:val="00190316"/>
    <w:rsid w:val="0029639D"/>
    <w:rsid w:val="00326F90"/>
    <w:rsid w:val="005E7043"/>
    <w:rsid w:val="00AA1D8D"/>
    <w:rsid w:val="00B1626B"/>
    <w:rsid w:val="00B47730"/>
    <w:rsid w:val="00CB0664"/>
    <w:rsid w:val="00F10156"/>
    <w:rsid w:val="00F456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2070C0"/>
  <w14:defaultImageDpi w14:val="300"/>
  <w15:docId w15:val="{09875724-9D0E-9A4D-9EA8-55F97D788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3513</Words>
  <Characters>20028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5</cp:revision>
  <dcterms:created xsi:type="dcterms:W3CDTF">2013-12-23T23:15:00Z</dcterms:created>
  <dcterms:modified xsi:type="dcterms:W3CDTF">2025-07-31T19:55:00Z</dcterms:modified>
  <cp:category/>
</cp:coreProperties>
</file>