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F17C7" w14:textId="77777777" w:rsidR="00E65990" w:rsidRDefault="00000000">
      <w:r>
        <w:t>The disclosure of the shareholders’ equity rows in the following templates EU CC2 Reconciliation of regulatory own funds to balance sheet in the audited financial statements is not relevant for LBBW, as LBBW has no shareholders’ equity.</w:t>
      </w:r>
    </w:p>
    <w:p w14:paraId="0AF00184" w14:textId="1915CA01" w:rsidR="00E65990" w:rsidRDefault="00000000">
      <w:r>
        <w:t>The Methodology and policy item shows changes caused by adjustments to calculation methods resulting from changes to regulatory policies.</w:t>
      </w:r>
    </w:p>
    <w:p w14:paraId="3476DEB9" w14:textId="77777777" w:rsidR="00E65990" w:rsidRDefault="00000000">
      <w:r>
        <w:t>Treasury accepts further strategic positions in a framework established by the Board of Managing Directors as a whole on the basis of LBBW’s business strategy.</w:t>
      </w:r>
    </w:p>
    <w:p w14:paraId="4F4B3AC5" w14:textId="77777777" w:rsidR="00E65990" w:rsidRDefault="00000000">
      <w:r>
        <w:t>This entails a clear focus on growth, including consistent growth in income, rigorous risk management and active cost control.</w:t>
      </w:r>
    </w:p>
    <w:p w14:paraId="141A700F" w14:textId="77777777" w:rsidR="00E65990" w:rsidRDefault="00000000">
      <w:r>
        <w:t>At the same time, LBBW is striving to achieve a relevant position among its competitors and stakeholders so that it can support and shape the complex transformation processes in the long term as a reliable partner of industry and society.</w:t>
      </w:r>
    </w:p>
    <w:p w14:paraId="5549B6C8" w14:textId="35523F4A" w:rsidR="00E65990" w:rsidRDefault="00000000">
      <w:r>
        <w:t>Five strategic levers support the implementation of the Group strategy and its operationalization in the individual segments at LBBW sustainable transformation, innovative solutions, enhanced resilience, inspire employees and social contribution.</w:t>
      </w:r>
    </w:p>
    <w:p w14:paraId="07F5ED80" w14:textId="77777777" w:rsidR="00E65990" w:rsidRDefault="00000000">
      <w:r>
        <w:t>Within its Group risk strategy, which is consistent with the business strategy and geared toward expected development, LBBW defines its quantitative and qualitative risk tolerance in the risk appetite statement.</w:t>
      </w:r>
    </w:p>
    <w:p w14:paraId="00A50EFC" w14:textId="77777777" w:rsidR="00E65990" w:rsidRDefault="00000000">
      <w:r>
        <w:t>The quantitative risk appetite defines long-term ESG goals such as achieving the climate goals of the Paris Agreement and decarbonizing the portfolio.</w:t>
      </w:r>
    </w:p>
    <w:p w14:paraId="573C97F6" w14:textId="77777777" w:rsidR="00E65990" w:rsidRDefault="00000000">
      <w:r>
        <w:t>The sustainability policy of the LBBW Group must be observed.</w:t>
      </w:r>
    </w:p>
    <w:p w14:paraId="4A9E9DF9" w14:textId="77777777" w:rsidR="00E65990" w:rsidRDefault="00000000">
      <w:r>
        <w:t>We ensure that sustainability criteria are met for customer financing.</w:t>
      </w:r>
    </w:p>
    <w:p w14:paraId="421F2416" w14:textId="77777777" w:rsidR="00E65990" w:rsidRDefault="00000000">
      <w:r>
        <w:t>LBBW has adopted quantitative goals with a view to shaping the necessary transformation of the economy for the required climate neutrality see passage on Article 449a CRR, row b.</w:t>
      </w:r>
    </w:p>
    <w:p w14:paraId="3FB83689" w14:textId="77777777" w:rsidR="00E65990" w:rsidRDefault="00000000">
      <w:r>
        <w:t>LBBW has also, created transparency in loan applications for the sector pathways in the case of sectors with high emissions regulated any breaches of the credit risk strategy on the basis of the individual ESG score set itself the goal of successively expanding its sustainable business volume established clear principles for the lending business, guidelines and exclusions.</w:t>
      </w:r>
    </w:p>
    <w:p w14:paraId="1910F7BE" w14:textId="77777777" w:rsidR="00E65990" w:rsidRDefault="00000000">
      <w:r>
        <w:t>Integration of social factors / risks into the business and risk strategy Article 449a CRR, row a The analysis of influencing factors as part of the business strategy also encompasses social impacts.</w:t>
      </w:r>
    </w:p>
    <w:p w14:paraId="3AFD02EC" w14:textId="1DAA9D55" w:rsidR="00E65990" w:rsidRDefault="00000000">
      <w:r>
        <w:t>LBBW has firmly established the promotion of gender equality in the guidelines of its HR policy, particularly in the two pillars work-life balance and equal opportunities and diversity.</w:t>
      </w:r>
    </w:p>
    <w:p w14:paraId="1765FBD7" w14:textId="77777777" w:rsidR="00E65990" w:rsidRDefault="00000000">
      <w:r>
        <w:lastRenderedPageBreak/>
        <w:t>In 2022, LBBW became one of the first German banks to sign the UN Women’s Empowerment Principles, which particularly promote an equal management culture and gender equality at companies.</w:t>
      </w:r>
    </w:p>
    <w:p w14:paraId="3E7B345B" w14:textId="77777777" w:rsidR="00E65990" w:rsidRDefault="00000000">
      <w:r>
        <w:t>In addition, LBBW signed the Diversity Charter in 2008, thereby undertaking to ensure a nondiscriminatory work environment for all employees.</w:t>
      </w:r>
    </w:p>
    <w:p w14:paraId="17946B51" w14:textId="1ECD9E9C" w:rsidR="00E65990" w:rsidRDefault="00000000">
      <w:r>
        <w:t>In line with the strategic lever contribution to society, charitable initiatives by employees are also actively supported.</w:t>
      </w:r>
    </w:p>
    <w:p w14:paraId="33E5B740" w14:textId="77777777" w:rsidR="00E65990" w:rsidRDefault="00000000">
      <w:r>
        <w:t>In order to identify, prevent and reduce human rights violations, the review of human rights aspects is integrated in the investment and credit processes.</w:t>
      </w:r>
    </w:p>
    <w:p w14:paraId="0EB3EE44" w14:textId="358CA3D1" w:rsidR="00E65990" w:rsidRDefault="00000000">
      <w:r>
        <w:t>As part of the standard due diligence process, the questionnaires and the Sustainability agreement for LBBW suppliers were examined and adjusted in terms of the content and protection goals of the LkSG.</w:t>
      </w:r>
    </w:p>
    <w:p w14:paraId="27C85C47" w14:textId="77777777" w:rsidR="00E65990" w:rsidRDefault="00000000">
      <w:r>
        <w:t>Objectives, targets and limits to assess and address environmental risk and procedures for their definition Article 449a CRR, row b As described in the passage on Article 449a CRR, row a, LBBW defines its quantitative and qualitative risk tolerance in the risk appetite statement within its Group risk strategy, which is consistent with the business strategy and geared toward expected development.</w:t>
      </w:r>
    </w:p>
    <w:p w14:paraId="4C88E4C3" w14:textId="77777777" w:rsidR="00E65990" w:rsidRDefault="00000000">
      <w:r>
        <w:t>They contribute to a uniform risk culture and form the framework for the precise organization of processes and methods of risk management.</w:t>
      </w:r>
    </w:p>
    <w:p w14:paraId="3ABCE5EE" w14:textId="77777777" w:rsidR="00E65990" w:rsidRDefault="00000000">
      <w:r>
        <w:t>In the case of environmental topics, the principle for sustainable transformation described in the aforementioned passage has been defined in greater detail by the Board of Managing Directors in the risk strategy and supplemented with specific quantitative targets.</w:t>
      </w:r>
    </w:p>
    <w:p w14:paraId="7BCDB42C" w14:textId="77777777" w:rsidR="00E65990" w:rsidRDefault="00000000">
      <w:r>
        <w:t>As part of a voluntary climate commitment, LBBW has agreed with other players in the German financial sector to facilitate the necessary economic transformation to achieve carbon neutrality in accordance with the Paris climate targets by no later than 2050 and to support this with its investment and credit portfolio.</w:t>
      </w:r>
    </w:p>
    <w:p w14:paraId="1D85FE96" w14:textId="223C653D" w:rsidR="00E65990" w:rsidRDefault="00000000">
      <w:r>
        <w:t>LBBW calculates and continuously measures the greenhouse gas emissions resulting from its business activities financed emissions</w:t>
      </w:r>
      <w:r w:rsidR="001112FF">
        <w:t xml:space="preserve"> </w:t>
      </w:r>
      <w:r>
        <w:t>Scope 3.</w:t>
      </w:r>
    </w:p>
    <w:p w14:paraId="38848B0C" w14:textId="77777777" w:rsidR="00E65990" w:rsidRDefault="00000000">
      <w:r>
        <w:t>Specific targets for financed emissions have been defined at Group and segment level.</w:t>
      </w:r>
    </w:p>
    <w:p w14:paraId="4FD71AEF" w14:textId="77777777" w:rsidR="00E65990" w:rsidRDefault="00000000">
      <w:r>
        <w:t>Senior management is informed about their development in detailed quarterly reports.</w:t>
      </w:r>
    </w:p>
    <w:p w14:paraId="0A3118EC" w14:textId="77777777" w:rsidR="00E65990" w:rsidRDefault="00000000">
      <w:r>
        <w:t>LBBW has also defined sector-specific transformation paths and goals for 2030 for selected sectors with high greenhouse gas emissions.</w:t>
      </w:r>
    </w:p>
    <w:p w14:paraId="1895BDE6" w14:textId="77777777" w:rsidR="00E65990" w:rsidRDefault="00000000">
      <w:r>
        <w:t>Their development is reported to senior management on a quarterly basis along with the financed emissions.</w:t>
      </w:r>
    </w:p>
    <w:p w14:paraId="43A2E1D1" w14:textId="224E3777" w:rsidR="00E65990" w:rsidRDefault="00000000">
      <w:r>
        <w:lastRenderedPageBreak/>
        <w:t xml:space="preserve">The lending rules </w:t>
      </w:r>
      <w:proofErr w:type="gramStart"/>
      <w:r>
        <w:t>with regard to</w:t>
      </w:r>
      <w:proofErr w:type="gramEnd"/>
      <w:r>
        <w:t xml:space="preserve"> reputational and sustainability risks set out binding review processes and comprehensive regulations that support the early identification of environmental, societal and ethical reputational and sustainability risks in the lending decision process</w:t>
      </w:r>
      <w:r w:rsidR="005C46F2">
        <w:t>.</w:t>
      </w:r>
    </w:p>
    <w:p w14:paraId="5ABDF0C8" w14:textId="77777777" w:rsidR="00E65990" w:rsidRDefault="00000000">
      <w:r>
        <w:t>Compliance with these commitments in day-to-day business is ensured through binding guidelines and review processes, LBBW does not work with companies or institutions that are known to disregard fundamental human rights.</w:t>
      </w:r>
    </w:p>
    <w:p w14:paraId="43CB0B0A" w14:textId="77777777" w:rsidR="00E65990" w:rsidRDefault="00000000">
      <w:r>
        <w:t>LBBW is committed to its responsibility for human rights and the environment in its own supply chains and requires its own suppliers to uphold human rights and protect the environment as required by the German Supply Chain Act Lieferkettensorgfaltspflichtengesetz LkSG.</w:t>
      </w:r>
    </w:p>
    <w:p w14:paraId="5F734510" w14:textId="487465D5" w:rsidR="00E65990" w:rsidRDefault="00000000">
      <w:r>
        <w:t xml:space="preserve">The LBBW human rights officer appointed as </w:t>
      </w:r>
      <w:proofErr w:type="gramStart"/>
      <w:r>
        <w:t>at</w:t>
      </w:r>
      <w:proofErr w:type="gramEnd"/>
      <w:r>
        <w:t xml:space="preserve"> 1 January 2023 reports directly to the Board of Managing Directors The lending rules </w:t>
      </w:r>
      <w:proofErr w:type="gramStart"/>
      <w:r>
        <w:t>with regard to</w:t>
      </w:r>
      <w:proofErr w:type="gramEnd"/>
      <w:r>
        <w:t xml:space="preserve"> reputational and sustainability risks set out binding review processes and comprehensive regulations that support the early identification of environmental, societal and ethical reputational and sustainability risks in the lending decision process</w:t>
      </w:r>
      <w:r w:rsidR="00D30735">
        <w:t>.</w:t>
      </w:r>
    </w:p>
    <w:p w14:paraId="642D6D1F" w14:textId="70E1B2BB" w:rsidR="00E65990" w:rsidRDefault="00000000">
      <w:r>
        <w:t xml:space="preserve">All employees are required to complete an e-learning tool to implement the German General Anti-Discrimination Act </w:t>
      </w:r>
      <w:proofErr w:type="spellStart"/>
      <w:r>
        <w:t>Allgemeines</w:t>
      </w:r>
      <w:proofErr w:type="spellEnd"/>
      <w:r>
        <w:t xml:space="preserve"> </w:t>
      </w:r>
      <w:proofErr w:type="spellStart"/>
      <w:r>
        <w:t>Gleichbehandlungsgesetz</w:t>
      </w:r>
      <w:proofErr w:type="spellEnd"/>
      <w:r w:rsidR="00D30735">
        <w:t xml:space="preserve">. </w:t>
      </w:r>
    </w:p>
    <w:p w14:paraId="3DC03732" w14:textId="03D99C35" w:rsidR="00E65990" w:rsidRDefault="00000000">
      <w:r>
        <w:t>In accordance with the Works Agreement on Protection from Discrimination and a Cooperative Environment in the Workplace, employees who feel discriminated against can turn to the staff council, the representatives for disabled employees, the responsible manager, the social services department, or the complaints office.</w:t>
      </w:r>
    </w:p>
    <w:p w14:paraId="12125973" w14:textId="77777777" w:rsidR="00E65990" w:rsidRDefault="00000000">
      <w:r>
        <w:t>LBBW expressly encourages its employees to be transparent about any irregularities and has established a whistleblowing process for this purpose, breaches of statutory regulations or internal guidelines and punishable offenses within LBBW can be anonymously reported to the Compliance department or to an external, independent ombudsman appointed by LBBW.</w:t>
      </w:r>
    </w:p>
    <w:p w14:paraId="64FE53E9" w14:textId="77777777" w:rsidR="00E65990" w:rsidRDefault="00000000">
      <w:r>
        <w:t>HR’s primary objectives are to attract qualified candidates to LBBW as an employer and ensure their loyalty for the long term, and to enhance existing employees’ identification with the bank.</w:t>
      </w:r>
    </w:p>
    <w:p w14:paraId="0BE60842" w14:textId="77777777" w:rsidR="00E65990" w:rsidRDefault="00000000">
      <w:r>
        <w:t>To this end, HR creates a work environment that fosters employees’ performance and commitment and makes them passionate about their work, thereby helping LBBW to achieve its goals of growth and relevance.</w:t>
      </w:r>
    </w:p>
    <w:p w14:paraId="12D79410" w14:textId="77777777" w:rsidR="00E65990" w:rsidRDefault="00000000">
      <w:r>
        <w:t>Current and future investments in environmentally sustainable and EU Taxonomy-aligned activities Article 449a CRR, row c LBBW supports the sustainable transformation and the EU’s climate protection and environmental goals with a wide range of sustainable financial products and services.</w:t>
      </w:r>
    </w:p>
    <w:p w14:paraId="7357D33F" w14:textId="77777777" w:rsidR="00E65990" w:rsidRDefault="00000000">
      <w:r>
        <w:lastRenderedPageBreak/>
        <w:t>It also structures financing solutions whose conditions are tied to the achievement of sustainability goals agreed with the respective customer ESG-linked products.</w:t>
      </w:r>
    </w:p>
    <w:p w14:paraId="0B5002E3" w14:textId="77777777" w:rsidR="00E65990" w:rsidRDefault="00000000">
      <w:r>
        <w:t>Strategies and procedures for engagement with business partners on their strategies to mitigate and reduce environmental and social risks Article 449a CRR, row d and row c LBBW sees itself not only as a financing provider but also as an advisor and strategic partner to its customers.</w:t>
      </w:r>
    </w:p>
    <w:p w14:paraId="178B80A1" w14:textId="77777777" w:rsidR="00E65990" w:rsidRDefault="00000000">
      <w:r>
        <w:t>The goal of LBBW Sustainability Advisory is therefore to support corporate customers in particular, as the bank’s main customer group, with the sustainable transformation of their business models.</w:t>
      </w:r>
    </w:p>
    <w:p w14:paraId="5DD262E0" w14:textId="77777777" w:rsidR="00E65990" w:rsidRDefault="00000000">
      <w:r>
        <w:t>Starting by performing materiality analyses, the bank advises customers on everything from their strategic focus to the development of individual climate goals in line with existing transformation and decarbonization pathways and the management of their sustainability activities.</w:t>
      </w:r>
    </w:p>
    <w:p w14:paraId="6B2802AA" w14:textId="163B4E43" w:rsidR="00E65990" w:rsidRDefault="00000000">
      <w:r>
        <w:t>For example, LBBW Sustainability Readiness Checks help corporate customers with setting priorities and targets.</w:t>
      </w:r>
    </w:p>
    <w:p w14:paraId="78FB250C" w14:textId="77777777" w:rsidR="00E65990" w:rsidRDefault="00000000">
      <w:r>
        <w:t>The Sustainability Advisory units at LBBW offer expertise combined with implementation advice and support not only for companies, but also for financial institutions and institutional customers.</w:t>
      </w:r>
    </w:p>
    <w:p w14:paraId="55C92FC6" w14:textId="77777777" w:rsidR="00E65990" w:rsidRDefault="00000000">
      <w:r>
        <w:t>Disclosure Report for the first half of 2024 68 Internal regulations incorporate principles and exclusion criteria for ensuring compliance with human rights and environmental protection that must be taken into account in funding arrangements see row q.</w:t>
      </w:r>
    </w:p>
    <w:p w14:paraId="223AA6DB" w14:textId="77777777" w:rsidR="00E65990" w:rsidRDefault="00000000">
      <w:r>
        <w:t>The lending rules with regard to reputational/sustainability risks set out binding review processes and comprehensive regulations that support the early identification of environmental, societal and ethical reputational and sustainability risks in the lending decision process.</w:t>
      </w:r>
    </w:p>
    <w:p w14:paraId="3F1FF6ED" w14:textId="77777777" w:rsidR="00E65990" w:rsidRDefault="00000000">
      <w:r>
        <w:t>To evaluate social risks, borrowers are evaluated in terms of their compliance with human rights, social and labor standards, and their focus on employees and employee concerns.</w:t>
      </w:r>
    </w:p>
    <w:p w14:paraId="4850B3FE" w14:textId="77777777" w:rsidR="00E65990" w:rsidRDefault="00000000">
      <w:r>
        <w:t>For example, additional specialist departments Group Compliance and/or ESG Group Transformation are required to be consulted in order to assess the reputational risk or the sustainability-related reputational risk in cases where certain limits are exceeded.</w:t>
      </w:r>
    </w:p>
    <w:p w14:paraId="5B160591" w14:textId="77777777" w:rsidR="00E65990" w:rsidRDefault="00000000">
      <w:r>
        <w:t>The risk strategy is discussed in detail with the Risk Committee of the Supervisory Board.</w:t>
      </w:r>
    </w:p>
    <w:p w14:paraId="76E073E6" w14:textId="77777777" w:rsidR="00E65990" w:rsidRDefault="00000000">
      <w:r>
        <w:t>It is also responsible for making decisions on recommendations made by the Sustainability Committee.</w:t>
      </w:r>
    </w:p>
    <w:p w14:paraId="1BCB31CC" w14:textId="77777777" w:rsidR="00E65990" w:rsidRDefault="00000000">
      <w:r>
        <w:t>LBBW aims to actively drive sustainable change in society and promote social cohesion.</w:t>
      </w:r>
    </w:p>
    <w:p w14:paraId="5D422085" w14:textId="77777777" w:rsidR="00E65990" w:rsidRDefault="00000000">
      <w:r>
        <w:lastRenderedPageBreak/>
        <w:t>It therefore participates in social projects and various educational initiatives through donations, sponsorships and philanthropy.</w:t>
      </w:r>
    </w:p>
    <w:p w14:paraId="4CE67E1C" w14:textId="77777777" w:rsidR="00E65990" w:rsidRDefault="00000000">
      <w:r>
        <w:t>Social, non-financial staff risks are regularly analyzed and evaluated by HR and corresponding preventive measures are initiated.</w:t>
      </w:r>
    </w:p>
    <w:p w14:paraId="4180D250" w14:textId="77777777" w:rsidR="00E65990" w:rsidRDefault="00000000">
      <w:r>
        <w:t>Disclosure Report for the first half of 2024 69 Link between social/environmental risks and credit risk, liquidity and funding risk, market risk, operational risk and reputational risk in the risk management framework Article 449a CRR, row r and row m The risk inventory already identified ESG risk as a significant interdisciplinary risk in 2021 and employees were made aware of its impact on other risk types at the bank.</w:t>
      </w:r>
    </w:p>
    <w:p w14:paraId="06110E40" w14:textId="77777777" w:rsidR="00E65990" w:rsidRDefault="00000000">
      <w:r>
        <w:t>LBBW also believes the impact of ESG risk drivers on market risks, liquidity risks and operational risks, as well as on development, investment and model risks, is currently less relevant.</w:t>
      </w:r>
    </w:p>
    <w:p w14:paraId="575C4FCA" w14:textId="77777777" w:rsidR="00E65990" w:rsidRDefault="00000000">
      <w:r>
        <w:t>Social and governance risks do not have a material impact on risk exposures, as the portfolio is diversified and is focused on Germany and Europe.</w:t>
      </w:r>
    </w:p>
    <w:p w14:paraId="136255A0" w14:textId="1CE3B101" w:rsidR="00E65990" w:rsidRDefault="00000000">
      <w:r>
        <w:t>Events in our customers’ environment</w:t>
      </w:r>
      <w:r w:rsidR="005C74E4">
        <w:t xml:space="preserve">, </w:t>
      </w:r>
      <w:r>
        <w:t>Labor conditions, compliance violations, breaches of applicable laws, environmental standards can also affect LBBW’s reputation.</w:t>
      </w:r>
    </w:p>
    <w:p w14:paraId="3E7BA168" w14:textId="77777777" w:rsidR="00E65990" w:rsidRDefault="00000000">
      <w:r>
        <w:t>Risk management therefore additionally places a particular focus on these channels.</w:t>
      </w:r>
    </w:p>
    <w:p w14:paraId="27EBFB28" w14:textId="77777777" w:rsidR="00E65990" w:rsidRDefault="00000000">
      <w:r>
        <w:t>Integration of short, medium and long-term environmental factors/risks at the level of the management body and within internal control functions Article 449a CRR, row f The impacts of environmental, social and governance risks on the traditional risk types are investigated as part of the annual risk inventory as described above.</w:t>
      </w:r>
    </w:p>
    <w:p w14:paraId="230F0859" w14:textId="77777777" w:rsidR="00E65990" w:rsidRDefault="00000000">
      <w:r>
        <w:t>The materiality assessment is provided to the Risk Committee and the full Board of Managing Directors for their information.</w:t>
      </w:r>
    </w:p>
    <w:p w14:paraId="12BFF781" w14:textId="77777777" w:rsidR="00E65990" w:rsidRDefault="00000000">
      <w:r>
        <w:t>Integration of measures to manage environmental and social risks in internal governance arrangements, including the role of committees Article 449a CRR, row g and row e ESG risks are playing an increasingly important role in risk management in light of the necessary sustainable transformation of the economy and changing environmental factors.</w:t>
      </w:r>
    </w:p>
    <w:p w14:paraId="6986DA0A" w14:textId="77777777" w:rsidR="00E65990" w:rsidRDefault="00000000">
      <w:r>
        <w:t>LBBW’s portfolio is exposed to risks due to the expected increase in carbon pricing and other regulatory measures, as well as the growing incidence of extreme weather events.</w:t>
      </w:r>
    </w:p>
    <w:p w14:paraId="7567AB17" w14:textId="77777777" w:rsidR="00E65990" w:rsidRDefault="00000000">
      <w:r>
        <w:t>Social and governance risks do not have a material impact on risk exposures.</w:t>
      </w:r>
    </w:p>
    <w:p w14:paraId="251B7C0E" w14:textId="41414EFF" w:rsidR="00E65990" w:rsidRDefault="00000000">
      <w:r>
        <w:t>Non-transaction-related risk management within the first LoD is the responsibility of the ESG Group Transformation department together with all divisional managers and managing directors of Group subsidiaries.</w:t>
      </w:r>
    </w:p>
    <w:p w14:paraId="2A72F1BD" w14:textId="77777777" w:rsidR="00E65990" w:rsidRDefault="00000000">
      <w:r>
        <w:lastRenderedPageBreak/>
        <w:t>The monitoring function in the second line of defense is split between Risk Control portfolio monitoring of ESG risks, Group Compliance second line of defense for compliance and reputational risks and COO Risk Management ESG-related lending process guidelines.</w:t>
      </w:r>
    </w:p>
    <w:p w14:paraId="16B0B289" w14:textId="77777777" w:rsidR="00E65990" w:rsidRDefault="00000000">
      <w:r>
        <w:t>As the third line of defense, Internal Auditing monitors the first and second lines and assesses the appropriateness and effectiveness of risk management.</w:t>
      </w:r>
    </w:p>
    <w:p w14:paraId="13BDE134" w14:textId="77777777" w:rsidR="00E65990" w:rsidRDefault="00000000">
      <w:r>
        <w:t>Finally, Internal Audit regularly reviews the risk management system presented in its role as the third line of defense.</w:t>
      </w:r>
    </w:p>
    <w:p w14:paraId="76753A8A" w14:textId="77777777" w:rsidR="00E65990" w:rsidRDefault="00000000">
      <w:r>
        <w:t>The CRO is responsible for the risk strategy and risk assessment including environmental risks, takes charge of ongoing risk management, and chairs the Credit Committee.</w:t>
      </w:r>
    </w:p>
    <w:p w14:paraId="0A53B83F" w14:textId="77777777" w:rsidR="00E65990" w:rsidRDefault="00000000">
      <w:r>
        <w:t>The Risk Committee acknowledges and discusses reports and presentations on risk monitoring, the risk strategy, explanations of the risk appetite and the risk methodology, including climate-related risks.</w:t>
      </w:r>
    </w:p>
    <w:p w14:paraId="48D002F5" w14:textId="77777777" w:rsidR="00E65990" w:rsidRDefault="00000000">
      <w:r>
        <w:t>Disclosure Report for the first half of 2024 71 LBBW’s risk management process, Environmental risks in internal reporting Article 449a CRR, row h Environmental risks are integrated into ongoing monitoring.</w:t>
      </w:r>
    </w:p>
    <w:p w14:paraId="6F0E4213" w14:textId="77777777" w:rsidR="00E65990" w:rsidRDefault="00000000">
      <w:r>
        <w:t>The development of the transformation paths is also reported to senior management in detail on a quarterly basis.</w:t>
      </w:r>
    </w:p>
    <w:p w14:paraId="1109C146" w14:textId="77777777" w:rsidR="00E65990" w:rsidRDefault="00000000">
      <w:r>
        <w:t>In addition, the half-yearly internal sector reports include a qualitative assessment of ESG risks at portfolio level and present the development of average greenhouse gas intensities and the most relevant customers in the respective sector.</w:t>
      </w:r>
    </w:p>
    <w:p w14:paraId="3E486356" w14:textId="77777777" w:rsidR="00E65990" w:rsidRDefault="00000000">
      <w:r>
        <w:t>Remuneration policy in connection with social and environmental risks Article 449a CRR, row i and row g The strategic levers are monitored at operational unit level using incentive systems.</w:t>
      </w:r>
    </w:p>
    <w:p w14:paraId="7A17A9F6" w14:textId="77777777" w:rsidR="00E65990" w:rsidRDefault="00000000">
      <w:r>
        <w:t>At the LBBW Group, the corporate remuneration strategy provides the framework for designing and implementing the remuneration systems.</w:t>
      </w:r>
    </w:p>
    <w:p w14:paraId="78E04CC2" w14:textId="77777777" w:rsidR="00E65990" w:rsidRDefault="00000000">
      <w:r>
        <w:t>Disclosure Report for the first half of 2024 72 The LBBW Group’s strategic objectives form the framework for measuring performance-based variable remuneration.</w:t>
      </w:r>
    </w:p>
    <w:p w14:paraId="4FED9B32" w14:textId="77777777" w:rsidR="00E65990" w:rsidRDefault="00000000">
      <w:r>
        <w:t>LBBW’s remuneration strategy is essentially based on the main objectives of growth and relevance.</w:t>
      </w:r>
    </w:p>
    <w:p w14:paraId="6967BC95" w14:textId="33D73FCA" w:rsidR="00E65990" w:rsidRDefault="00000000">
      <w:r>
        <w:t>The defined strategic levers are grouped in the LBBW Strategy House and include ESG-specific key figures that are used for internal management purposes and for measuring success and are therefore relevant to remuneration.</w:t>
      </w:r>
    </w:p>
    <w:p w14:paraId="4BBA7DCA" w14:textId="77777777" w:rsidR="00E65990" w:rsidRDefault="00000000">
      <w:r>
        <w:t>In addition, LBBW expressly supports the principle of gender-neutral remuneration for the same or equivalent work and performance, and endeavors to grant fair, non-discriminatory remuneration for each employee.</w:t>
      </w:r>
    </w:p>
    <w:p w14:paraId="4C788A2B" w14:textId="77777777" w:rsidR="00E65990" w:rsidRDefault="00000000">
      <w:r>
        <w:lastRenderedPageBreak/>
        <w:t>The corporate remuneration strategy ensures that the remuneration systems are essentially based on performance, results and the market, meaning that disadvantages in pay on the basis of gender can be ruled out.</w:t>
      </w:r>
    </w:p>
    <w:p w14:paraId="47598104" w14:textId="77777777" w:rsidR="00E65990" w:rsidRDefault="00000000">
      <w:r>
        <w:t>Integration of business partner governance in own corporate governance and risk management Article 449a CRR, rows a, b, c, d We do not enter into business relations with partners that are known to violate laws or international conventions, that conceal their true identity or ownership structure, or that engage in money laundering or fund terrorism.</w:t>
      </w:r>
    </w:p>
    <w:p w14:paraId="4FB757C9" w14:textId="77777777" w:rsidR="00E65990" w:rsidRDefault="00000000">
      <w:r>
        <w:t>Specific borrower-related governance risks are identified through an ESG checklist tailored to the respective portfolio see row l.</w:t>
      </w:r>
    </w:p>
    <w:p w14:paraId="47AF91FC" w14:textId="77777777" w:rsidR="00E65990" w:rsidRDefault="00000000">
      <w:r>
        <w:t>This checklist is used to examine whether there are any violations of the company’s external or internal guidelines concerning compliance with statutory requirements in the areas of tax, corruption, competition and approval.</w:t>
      </w:r>
    </w:p>
    <w:p w14:paraId="358053D4" w14:textId="77777777" w:rsidR="00E65990" w:rsidRDefault="00000000">
      <w:r>
        <w:t>The extent to which the business partner’s governance already engages with sustainability aspects and integrates ESG targets into its guidelines is also evaluated.</w:t>
      </w:r>
    </w:p>
    <w:p w14:paraId="171CB958" w14:textId="77777777" w:rsidR="00E65990" w:rsidRDefault="00000000">
      <w:r>
        <w:t>To facilitate this, Compliance has established a standardized technical system that identifies negative news on money laundering and other relevant criminal acts concerning new and existing customers and their economic beneficiaries using World-Check lists.</w:t>
      </w:r>
    </w:p>
    <w:p w14:paraId="43FF29D4" w14:textId="77777777" w:rsidR="00E65990" w:rsidRDefault="00000000">
      <w:r>
        <w:t>Material ESG risks are subsequently measured to the greatest possible extent, evaluated and reported on with regard to their short-term implications, incorporated into the risk management process as described, and underpinned by a risk strategy.</w:t>
      </w:r>
    </w:p>
    <w:p w14:paraId="706074DE" w14:textId="34C8589E" w:rsidR="00E65990" w:rsidRDefault="00000000">
      <w:r>
        <w:t>Depending on the risk type, data calculated internally by the bank Greenhouse gas intensity or publicly available data Human Freedom Index, the World Bank’s hazard maps of physical risks and the Sustainability Accounting Standards Board Materiality Map are used to assess the impact of ESG risk drivers on the respective counterparty’s portfolio across different time frames.</w:t>
      </w:r>
    </w:p>
    <w:p w14:paraId="3F704F60" w14:textId="77777777" w:rsidR="00E65990" w:rsidRDefault="00000000">
      <w:r>
        <w:t>Social and governance risks do not have a material impact on risk exposures.</w:t>
      </w:r>
    </w:p>
    <w:p w14:paraId="52A1F0E9" w14:textId="77777777" w:rsidR="00E65990" w:rsidRDefault="00000000">
      <w:r>
        <w:t>Methodologies and international standards on which the environmental and social risk management framework is based Article 449a CRR, row k, row h As discussed in the risk inventory section, LBBW treats ESG risks as interdisciplinary risks that can affect the bank’s risk types.</w:t>
      </w:r>
    </w:p>
    <w:p w14:paraId="29A40F16" w14:textId="7D72F22C" w:rsidR="00E65990" w:rsidRDefault="00000000">
      <w:r>
        <w:t xml:space="preserve">The detailed guidance set out in the ECB’s Guide on climate-related and environmental risks is also </w:t>
      </w:r>
      <w:proofErr w:type="gramStart"/>
      <w:r>
        <w:t>taken into account</w:t>
      </w:r>
      <w:proofErr w:type="gramEnd"/>
      <w:r>
        <w:t xml:space="preserve"> in ESG risk management.</w:t>
      </w:r>
    </w:p>
    <w:p w14:paraId="5337E56B" w14:textId="77777777" w:rsidR="00E65990" w:rsidRDefault="00000000">
      <w:r>
        <w:t>Human Freedom Index, the World Bank’s hazard maps of physical risks and the Sustainability Accounting Standards Board Materiality Map to assess the impact of ESG risk drivers on the respective counterparty’s portfolio across different time frames.</w:t>
      </w:r>
    </w:p>
    <w:p w14:paraId="22691A02" w14:textId="77777777" w:rsidR="00E65990" w:rsidRDefault="00000000">
      <w:r>
        <w:lastRenderedPageBreak/>
        <w:t>Processes for identifying, measuring and managing risk exposures/activities and environmental risks Article 449a CRR, row l As discussed in the section on Article 449a CRR, row l, the risk inventory initially identifies the risk drivers with a material impact on LBBW’s risk situation.</w:t>
      </w:r>
    </w:p>
    <w:p w14:paraId="351773ED" w14:textId="77777777" w:rsidR="00E65990" w:rsidRDefault="00000000">
      <w:r>
        <w:t>In environmental E, social S and governance G risk clusters, questions have been identified that support Sales and Risk Management in identifying and evaluating potential ESG risks.</w:t>
      </w:r>
    </w:p>
    <w:p w14:paraId="5FC72396" w14:textId="77777777" w:rsidR="00E65990" w:rsidRDefault="00000000">
      <w:r>
        <w:t>Loan applications are also examined in terms of compliance-related and sustainability-related reputational risks based on internal lending rules see row q.</w:t>
      </w:r>
    </w:p>
    <w:p w14:paraId="75AD1F2F" w14:textId="77777777" w:rsidR="00E65990" w:rsidRDefault="00000000">
      <w:r>
        <w:t>Disclosure Report for the first half of 2024 74 The calculation of the market value and mortgage lending value of real estate collateral takes account of various location-related and property-related indicators e.</w:t>
      </w:r>
    </w:p>
    <w:p w14:paraId="0D924B48" w14:textId="77777777" w:rsidR="00E65990" w:rsidRDefault="00000000">
      <w:r>
        <w:t>Building carbon intensity, site contamination, location-related emissions and immisions, etc.</w:t>
      </w:r>
    </w:p>
    <w:p w14:paraId="405ED0B7" w14:textId="77777777" w:rsidR="00E65990" w:rsidRDefault="00000000">
      <w:r>
        <w:t>Activities and commitments contributing to the mitigation of social and environmental risk Article 449a CRR, row m and row j LBBW applies clear guidelines, exclusion criteria see row q and uniform credit risk assessment see row I to ensure that social risks and environmental risks are identified at an early stage.</w:t>
      </w:r>
    </w:p>
    <w:p w14:paraId="1079C1DE" w14:textId="60C2347E" w:rsidR="00E65990" w:rsidRDefault="00000000">
      <w:r>
        <w:t>If increased risks are identified in the credit risk assessment based on ESG checklists, additional reviews by the Compliance and ESG Group Transformation departments are triggered</w:t>
      </w:r>
      <w:r w:rsidR="00035AC6">
        <w:t>.</w:t>
      </w:r>
    </w:p>
    <w:p w14:paraId="2A0F1CC5" w14:textId="77777777" w:rsidR="00E65990" w:rsidRDefault="00000000">
      <w:r>
        <w:t>LBBW’s internal guidelines and instructions are based on statutory requirements and provisions as well as internationally recognized standards and voluntary commitments.</w:t>
      </w:r>
    </w:p>
    <w:p w14:paraId="20CF711C" w14:textId="77777777" w:rsidR="00E65990" w:rsidRDefault="00000000">
      <w:r>
        <w:t>The human rights officer’s tasks include monitoring compliance with due diligence requirements, the effectiveness review, preparing and reviewing the policy statement, the annual risk analysis report, and reviewing tip-offs and other information.</w:t>
      </w:r>
    </w:p>
    <w:p w14:paraId="5132F3D9" w14:textId="77777777" w:rsidR="00E65990" w:rsidRDefault="00000000">
      <w:r>
        <w:t>LBBW’s divisions and subsidiaries also define specific measures based on the sustainability targets every year.</w:t>
      </w:r>
    </w:p>
    <w:p w14:paraId="2AC199E9" w14:textId="77777777" w:rsidR="00E65990" w:rsidRDefault="00000000">
      <w:r>
        <w:t>The respective measures are allocated to the following aspects, Strategy and management Customers Employees Business operations Community involvement and communication The defined measures and the associated timelines are regularly reviewed and updated as required.</w:t>
      </w:r>
    </w:p>
    <w:p w14:paraId="603A3D75" w14:textId="77777777" w:rsidR="00E65990" w:rsidRDefault="00000000">
      <w:r>
        <w:t>Additional measures to improve LBBW’s sustainability performance may also be implemented during the year.</w:t>
      </w:r>
    </w:p>
    <w:p w14:paraId="3554AC16" w14:textId="77777777" w:rsidR="00E65990" w:rsidRDefault="00000000">
      <w:r>
        <w:t>In 2023, the sustainability program comprised a total of 62 measures, of which 46 were implemented in full.</w:t>
      </w:r>
    </w:p>
    <w:p w14:paraId="0C5AA821" w14:textId="77777777" w:rsidR="00E65990" w:rsidRDefault="00000000">
      <w:r>
        <w:lastRenderedPageBreak/>
        <w:t>The calculation methods are based on the Partnership for Carbon Accounting Framework standard.</w:t>
      </w:r>
    </w:p>
    <w:p w14:paraId="0CF0AF31" w14:textId="77777777" w:rsidR="00E65990" w:rsidRDefault="00000000">
      <w:r>
        <w:t>The financed emissions calculated and their development compared with the targets are monitored in detail in the reports described in the section on Article 449a CRR, row h.</w:t>
      </w:r>
    </w:p>
    <w:p w14:paraId="087D9CEE" w14:textId="77777777" w:rsidR="00E65990" w:rsidRDefault="00000000">
      <w:r>
        <w:t>The figures calculated are also regularly published by LBBW.</w:t>
      </w:r>
    </w:p>
    <w:p w14:paraId="55FA1DCB" w14:textId="77777777" w:rsidR="00E65990" w:rsidRDefault="00000000">
      <w:r>
        <w:t>Using hazard maps from the World Bank, LBBW developed the physical risk tool to analyze the impact of chronic and acute physical climate risks on credit risk.</w:t>
      </w:r>
    </w:p>
    <w:p w14:paraId="7755CB96" w14:textId="77777777" w:rsidR="00E65990" w:rsidRDefault="00000000">
      <w:r>
        <w:t>Physical risks at these companies are therefore assessed on a sector basis using the Sustainability Accounting Standard Board Materiality Map and the Intergovernmental Panel on Climate Change Fifth Assessment Report IPCC AR5.</w:t>
      </w:r>
    </w:p>
    <w:p w14:paraId="36A1F306" w14:textId="079ED449" w:rsidR="00E65990" w:rsidRDefault="00000000">
      <w:r>
        <w:t xml:space="preserve">LBBW employs climate risk stress testing as the central tool for quantifying the potential impact of climate and environmental risk on the Bank’s portfolio and examining the possible consequences in terms of capital adequacy, </w:t>
      </w:r>
      <w:r w:rsidR="00200E19">
        <w:t>t</w:t>
      </w:r>
      <w:r>
        <w:t>he appropriateness of the available equity compared with risks.</w:t>
      </w:r>
    </w:p>
    <w:p w14:paraId="7DF4EC6A" w14:textId="77777777" w:rsidR="00E65990" w:rsidRDefault="00000000">
      <w:r>
        <w:t>LBBW’s climate risk stress tests are bottom-up stress tests with a particular focus on credit risks in the bank’s corporate customer and real estate portfolio.</w:t>
      </w:r>
    </w:p>
    <w:p w14:paraId="381EAA66" w14:textId="77777777" w:rsidR="00E65990" w:rsidRDefault="00000000">
      <w:r>
        <w:t>Transition risk, which is modeled in climate risk stress testing via an increase in carbon prices, affects companies’ operating costs and operating results and real estate market values.</w:t>
      </w:r>
    </w:p>
    <w:p w14:paraId="0B7BE9B1" w14:textId="77777777" w:rsidR="00E65990" w:rsidRDefault="00000000">
      <w:r>
        <w:t>The risks are measured in periodic evaluations and analyses and in company-wide comparisons of key staff indicators such as turnover rates, absences, and data on staff development measures.</w:t>
      </w:r>
    </w:p>
    <w:p w14:paraId="2BC0EE97" w14:textId="77777777" w:rsidR="00E65990" w:rsidRDefault="00000000">
      <w:r>
        <w:t>Results of the risk tools implemented and the estimated impact of environmental risk on the capital and liquidity risk profile Article 449a CRR, row j, o As described in the section on article 449a CRR, row j, the starting point for risk management is the risk inventory, which determines the material risks for the Group.</w:t>
      </w:r>
    </w:p>
    <w:p w14:paraId="238DCEAE" w14:textId="77777777" w:rsidR="00E65990" w:rsidRDefault="00000000">
      <w:r>
        <w:t>In the long-term perspective, climate risk stress testing also shows that the bank’s support for its customers’ transformation can help to protect it from carbon pricing risks in the long run.</w:t>
      </w:r>
    </w:p>
    <w:p w14:paraId="123EA90E" w14:textId="77777777" w:rsidR="00E65990" w:rsidRDefault="00000000">
      <w:r>
        <w:t>Availability and quality of data for environmental risk management Article 449a CRR, row p Data availability and quality, as well as the fact that there is still not a fully developed market standard for all aspects of ESG risk and measurement, continue to pose challenges.</w:t>
      </w:r>
    </w:p>
    <w:p w14:paraId="08E82846" w14:textId="77777777" w:rsidR="00E65990" w:rsidRDefault="00000000">
      <w:r>
        <w:t>In view of the increased use of information about sustainability aspects within the bank and to facilitate efficient data management in accordance with established standards, LBBW has developed a centralized ESG database, known as the ESG core, as a single point of truth.</w:t>
      </w:r>
    </w:p>
    <w:p w14:paraId="4D5DC305" w14:textId="77777777" w:rsidR="00E65990" w:rsidRDefault="00000000">
      <w:r>
        <w:lastRenderedPageBreak/>
        <w:t>The development of the ESG core began in 2022 with the integration of data for disclosure requirements.</w:t>
      </w:r>
    </w:p>
    <w:p w14:paraId="15ED6382" w14:textId="77777777" w:rsidR="00E65990" w:rsidRDefault="00000000">
      <w:r>
        <w:t>LBBW does not support financing related to pornography, controversial forms of gambling or uranium mining without sufficient environmental and safety standards.</w:t>
      </w:r>
    </w:p>
    <w:p w14:paraId="4F0F2EEB" w14:textId="77777777" w:rsidR="00E65990" w:rsidRDefault="00000000">
      <w:r>
        <w:t>The first-time recognition of Scope 3 emissions also means the figures in column i have increased significantly compared with the previous disclosure period.</w:t>
      </w:r>
    </w:p>
    <w:p w14:paraId="1487CC29" w14:textId="77777777" w:rsidR="00E65990" w:rsidRDefault="00000000">
      <w:r>
        <w:t>LBBW’s strategic objective is to decarbonize its credit and investment portfolio in terms of the financed emissions and to achieve net zero by 2050 at the latest.</w:t>
      </w:r>
    </w:p>
    <w:p w14:paraId="38AFEBC1" w14:textId="77777777" w:rsidR="00E65990" w:rsidRDefault="00000000">
      <w:r>
        <w:t>To this end, it has identified particularly greenhouse gas-intensive sectors within its portfolio and defined specific reduction targets for them to be achieved by 2030.</w:t>
      </w:r>
    </w:p>
    <w:p w14:paraId="4FF4210E" w14:textId="77777777" w:rsidR="00E65990" w:rsidRDefault="00000000">
      <w:r>
        <w:t>The basis for assessing individual sectors is the Materiality Map of the Sustainability Accounting Standards Board and the Fifth Assessment Report of the Intergovernmental Panel on Climate Change IPCC Ar5.</w:t>
      </w:r>
    </w:p>
    <w:p w14:paraId="63A4FD09" w14:textId="77777777" w:rsidR="00E65990" w:rsidRDefault="00000000">
      <w:r>
        <w:t>These templates serve to illustrate the form and scope of economic activities that can be classified as environmentally sustainable in terms of the first two environmental objectives – climate change mitigation and climate change adaptation – under the EU Taxonomy Regulation.</w:t>
      </w:r>
    </w:p>
    <w:p w14:paraId="5C6C49D2" w14:textId="1B0C011E" w:rsidR="00E65990" w:rsidRDefault="00000000">
      <w:r>
        <w:t>The purpose of the mitigating action is to reduce CO2 emissions and, in turn, protect the climate.</w:t>
      </w:r>
    </w:p>
    <w:sectPr w:rsidR="00E659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553615469">
    <w:abstractNumId w:val="8"/>
  </w:num>
  <w:num w:numId="2" w16cid:durableId="404114362">
    <w:abstractNumId w:val="6"/>
  </w:num>
  <w:num w:numId="3" w16cid:durableId="633681055">
    <w:abstractNumId w:val="5"/>
  </w:num>
  <w:num w:numId="4" w16cid:durableId="826751206">
    <w:abstractNumId w:val="4"/>
  </w:num>
  <w:num w:numId="5" w16cid:durableId="581178887">
    <w:abstractNumId w:val="7"/>
  </w:num>
  <w:num w:numId="6" w16cid:durableId="811676073">
    <w:abstractNumId w:val="3"/>
  </w:num>
  <w:num w:numId="7" w16cid:durableId="1600409105">
    <w:abstractNumId w:val="2"/>
  </w:num>
  <w:num w:numId="8" w16cid:durableId="1133642006">
    <w:abstractNumId w:val="1"/>
  </w:num>
  <w:num w:numId="9" w16cid:durableId="1930429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AC6"/>
    <w:rsid w:val="0006063C"/>
    <w:rsid w:val="001112FF"/>
    <w:rsid w:val="0015074B"/>
    <w:rsid w:val="00200E19"/>
    <w:rsid w:val="00276E8D"/>
    <w:rsid w:val="0029639D"/>
    <w:rsid w:val="00326F90"/>
    <w:rsid w:val="005C46F2"/>
    <w:rsid w:val="005C74E4"/>
    <w:rsid w:val="005E7043"/>
    <w:rsid w:val="006021C2"/>
    <w:rsid w:val="007440CD"/>
    <w:rsid w:val="007C1210"/>
    <w:rsid w:val="00A102DB"/>
    <w:rsid w:val="00AA1D8D"/>
    <w:rsid w:val="00B47730"/>
    <w:rsid w:val="00CB0664"/>
    <w:rsid w:val="00D30735"/>
    <w:rsid w:val="00D34941"/>
    <w:rsid w:val="00E659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2F616C"/>
  <w14:defaultImageDpi w14:val="300"/>
  <w15:docId w15:val="{09875724-9D0E-9A4D-9EA8-55F97D78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3633</Words>
  <Characters>20713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13</cp:revision>
  <dcterms:created xsi:type="dcterms:W3CDTF">2013-12-23T23:15:00Z</dcterms:created>
  <dcterms:modified xsi:type="dcterms:W3CDTF">2025-07-31T20:02:00Z</dcterms:modified>
  <cp:category/>
</cp:coreProperties>
</file>