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04C5" w14:textId="77777777" w:rsidR="005E6AC0" w:rsidRDefault="00000000">
      <w:r>
        <w:t>It is therefore all the more gratifying to have been honoured by external bodies for our efforts in the field of ESG transformation, The rating agency Sustainalytics recently reported a significant improvement in our sustainability rating.</w:t>
      </w:r>
    </w:p>
    <w:p w14:paraId="0EA3AC00" w14:textId="77777777" w:rsidR="005E6AC0" w:rsidRDefault="00000000">
      <w:r>
        <w:t>Another key control tool is the annual at least or ad hoc strategy and planning process, which includes the following key steps, Until the start of the strategy and planning process, the Managing Board adopts targets for the Group and its segments top down.</w:t>
      </w:r>
    </w:p>
    <w:p w14:paraId="380A2D74" w14:textId="77777777" w:rsidR="005E6AC0" w:rsidRDefault="00000000">
      <w:r>
        <w:t>The primary objective is to ensure permanent adherence to the defined internal objectives and all regulatory requirements.</w:t>
      </w:r>
    </w:p>
    <w:p w14:paraId="797E907B" w14:textId="77777777" w:rsidR="005E6AC0" w:rsidRDefault="00000000">
      <w:r>
        <w:t>The overarching goal of liquidity risk management and monitoring is to ensure NORDLBs payment and funding ability at all times.</w:t>
      </w:r>
    </w:p>
    <w:p w14:paraId="0779BA9E" w14:textId="77777777" w:rsidR="005E6AC0" w:rsidRDefault="00000000">
      <w:r>
        <w:t>Thanks to the monetary policy measures of the central banks, in particular the deduction of excess liquidity, the liquidity ratios remain at a high level despite the aforementioned development.</w:t>
      </w:r>
    </w:p>
    <w:p w14:paraId="63F90382" w14:textId="77777777" w:rsidR="005E6AC0" w:rsidRDefault="00000000">
      <w:r>
        <w:t>The regulatory equity ratios performed differently in the reporting period, while the Common Equity Tier 1 ratio and the Tier 1 ratio increased slightly, the total capital ratio decreased.</w:t>
      </w:r>
    </w:p>
    <w:p w14:paraId="63087056" w14:textId="77777777" w:rsidR="005E6AC0" w:rsidRDefault="00000000">
      <w:r>
        <w:t>Supplementary capital, on the other hand, declined disproportionately to the increase in Common Equity Tier 1 and core capital, especially as relevant capital instruments were omitted from regulatory inclusion due to the passage of time and early repayment.</w:t>
      </w:r>
    </w:p>
    <w:p w14:paraId="55CA727A" w14:textId="77777777" w:rsidR="005E6AC0" w:rsidRDefault="00000000">
      <w:r>
        <w:t>Current regulatory developments The ECB has announced that it will increase the P2R requirement by 0.</w:t>
      </w:r>
    </w:p>
    <w:p w14:paraId="529686FD" w14:textId="77777777" w:rsidR="005E6AC0" w:rsidRDefault="00000000">
      <w:r>
        <w:t>This was followed by a further development of the management adjustment in accordance with the applicable legal requirements for shielding the effects from general environmental and market uncertainties.</w:t>
      </w:r>
    </w:p>
    <w:p w14:paraId="73C57B7D" w14:textId="77777777" w:rsidR="005E6AC0" w:rsidRDefault="00000000">
      <w:r>
        <w:t>The process was supported by various measures for employees through the #creatingthefuture change project.</w:t>
      </w:r>
    </w:p>
    <w:p w14:paraId="7A1F539B" w14:textId="77777777" w:rsidR="005E6AC0" w:rsidRDefault="00000000">
      <w:r>
        <w:t>The following key milestones were achieved in 2023, Finalisationimplementation of the staff reduction measures by the end of 2023, as a result of which the number of employees in the NORDLB Group has decreased significantly.</w:t>
      </w:r>
    </w:p>
    <w:p w14:paraId="1ED7626A" w14:textId="77777777" w:rsidR="005E6AC0" w:rsidRDefault="00000000">
      <w:r>
        <w:t>ESG environment, social, governance sustainability NORDLB's business activities have an impact on the economy and society.</w:t>
      </w:r>
    </w:p>
    <w:p w14:paraId="47E72EC9" w14:textId="77777777" w:rsidR="005E6AC0" w:rsidRDefault="00000000">
      <w:r>
        <w:t>As a company and public actor, the Bank therefore sees itself as having a duty to assume responsibility for all social, environmental and economic impacts of its business activities and to actively contribute to the achievement of the climate targets, among other things.</w:t>
      </w:r>
    </w:p>
    <w:p w14:paraId="0AFAAA4B" w14:textId="77777777" w:rsidR="005E6AC0" w:rsidRDefault="00000000">
      <w:r>
        <w:lastRenderedPageBreak/>
        <w:t>With the adoption of various regulatory requirements relating to sustainability, such as the EU Taxonomy Regulation, in addition to the supplementary specific Delegated Act on Taxonomy, the EU is successively introducing quantitative and qualitative reporting on the sustainability of the balance sheet assets of credit institutions.</w:t>
      </w:r>
    </w:p>
    <w:p w14:paraId="4D63A77B" w14:textId="77777777" w:rsidR="005E6AC0" w:rsidRDefault="00000000">
      <w:r>
        <w:t>NORDLB started the project in 2021 with the aim of implementing both regulatory requirements and its own objectives for the further strategic integration of ESG environment, social, governance and sustainability in the Bank.</w:t>
      </w:r>
    </w:p>
    <w:p w14:paraId="031D0848" w14:textId="77777777" w:rsidR="005E6AC0" w:rsidRDefault="00000000">
      <w:r>
        <w:t>In the 2023 financial year, the CARE project focused primarily on continuing the activities for measurability and future reduction of CO2 emissions in the NORDLB Groups financing portfolio.</w:t>
      </w:r>
    </w:p>
    <w:p w14:paraId="488442CD" w14:textId="54FD278A" w:rsidR="005E6AC0" w:rsidRDefault="00000000">
      <w:r>
        <w:t xml:space="preserve">Due to the rapidly developing marketcompetitive and regulatory environment, new, ESG-specific requirements for the NORDLB Group emerged during 2023 </w:t>
      </w:r>
      <w:r w:rsidR="00B8380C">
        <w:t>i</w:t>
      </w:r>
      <w:r>
        <w:t>mplementation of the Corporate Sustainability Reporting Directive</w:t>
      </w:r>
      <w:r w:rsidR="004019C3">
        <w:t>.</w:t>
      </w:r>
    </w:p>
    <w:p w14:paraId="15038C61" w14:textId="77777777" w:rsidR="005E6AC0" w:rsidRDefault="00000000">
      <w:r>
        <w:t>These are climateenvironmental, social and governance events or conditions that may occur or have a potentially significant negative impact on the Bank's net assets, financial position, results of operations and reputation.</w:t>
      </w:r>
    </w:p>
    <w:p w14:paraId="442D2E98" w14:textId="77777777" w:rsidR="005E6AC0" w:rsidRDefault="00000000">
      <w:r>
        <w:t>The Bank has initiated different measures to take these risks into account in internal risk management.</w:t>
      </w:r>
    </w:p>
    <w:p w14:paraId="14615064" w14:textId="77777777" w:rsidR="005E6AC0" w:rsidRDefault="00000000">
      <w:r>
        <w:t>The interest rate development described led to an increase in income from the amortisation of hedge accounting derivatives of € 225 million.</w:t>
      </w:r>
    </w:p>
    <w:p w14:paraId="7455D7A1" w14:textId="77777777" w:rsidR="005E6AC0" w:rsidRDefault="00000000">
      <w:r>
        <w:t>The increase in commission income is mainly due to higher income in the credit and guarantee business as well as in the loan brokerage business of € 19 million as a result of the continued positive development of new business.</w:t>
      </w:r>
    </w:p>
    <w:p w14:paraId="1C3E2A62" w14:textId="77777777" w:rsidR="005E6AC0" w:rsidRDefault="00000000">
      <w:r>
        <w:t>This development was caused by the positive overall result for the period in the amount of € 543 million.</w:t>
      </w:r>
    </w:p>
    <w:p w14:paraId="17ECC4DA" w14:textId="77777777" w:rsidR="005E6AC0" w:rsidRDefault="00000000">
      <w:r>
        <w:t>The performance was determined by credit defaults in the area of project development, which had a negative impact on risk provisions and the valuation result.</w:t>
      </w:r>
    </w:p>
    <w:p w14:paraId="71488B1A" w14:textId="77777777" w:rsidR="005E6AC0" w:rsidRDefault="00000000">
      <w:r>
        <w:t>The Banks main focus is still on sustainability.</w:t>
      </w:r>
    </w:p>
    <w:p w14:paraId="070D4F39" w14:textId="77777777" w:rsidR="005E6AC0" w:rsidRDefault="00000000">
      <w:r>
        <w:t>NORDLB successfully completed the CARE sustainability project started in 2021 in order to support and advance both the regulatory requirements and its own objectives for the further strategic integration of ESG environment, social, governance and sustainability into the Bank.</w:t>
      </w:r>
    </w:p>
    <w:p w14:paraId="24A4EB0A" w14:textId="77777777" w:rsidR="005E6AC0" w:rsidRDefault="00000000">
      <w:r>
        <w:t xml:space="preserve">In the reporting year, the Bank initiated the BLUE project for further development in the area of ESG, in particular with regard to the fulfilment of external standards as well as </w:t>
      </w:r>
      <w:r>
        <w:lastRenderedPageBreak/>
        <w:t>strategic further development and identification of additional, ESG-specific earnings potential.</w:t>
      </w:r>
    </w:p>
    <w:p w14:paraId="65D9B459" w14:textId="77777777" w:rsidR="005E6AC0" w:rsidRDefault="00000000">
      <w:r>
        <w:t>Accordingly, NORDLB supports its customers in the transition to a climate-neutral economy and thus actively contributes to achieving the climate targets.</w:t>
      </w:r>
    </w:p>
    <w:p w14:paraId="6BE8B2BD" w14:textId="77777777" w:rsidR="005E6AC0" w:rsidRDefault="00000000">
      <w:r>
        <w:t>There were no transactions of significant importance that occurred after the end of the reporting period, that were not recognised in the income statement or in the balance sheet and that have no impact on the presentation of a true and fair view of the course of business, the business result, the situation and the expected development of the Group.</w:t>
      </w:r>
    </w:p>
    <w:p w14:paraId="591DF8E4" w14:textId="77777777" w:rsidR="005E6AC0" w:rsidRDefault="00000000">
      <w:r>
        <w:t>In the USA, on the other hand, following the very encouraging economic development in 2023, clear signs of a noticeable slowdown in the domestic economy are expected in the course of 2024, which would then also put US monetary policy makers under pressure to act in the future.</w:t>
      </w:r>
    </w:p>
    <w:p w14:paraId="6DE222CF" w14:textId="77777777" w:rsidR="005E6AC0" w:rsidRDefault="00000000">
      <w:r>
        <w:t>Finance sector The main challenges facing the banking market are likely to lie in the current economic and political developments as well as the monetary policy decisions made by the central banks.</w:t>
      </w:r>
    </w:p>
    <w:p w14:paraId="175E5331" w14:textId="77777777" w:rsidR="005E6AC0" w:rsidRDefault="00000000">
      <w:r>
        <w:t>Another focus will remain on the gradual implementation of ESG standards, which among other things is accompanied by government and regulatory requirements.</w:t>
      </w:r>
    </w:p>
    <w:p w14:paraId="18AA392C" w14:textId="77777777" w:rsidR="005E6AC0" w:rsidRDefault="00000000">
      <w:r>
        <w:t>This is intended to promote the transformation of the economy whilst focusing more intensively on sustainability.</w:t>
      </w:r>
    </w:p>
    <w:p w14:paraId="55601391" w14:textId="77777777" w:rsidR="005E6AC0" w:rsidRDefault="00000000">
      <w:r>
        <w:t>The investments required to achieve global climate neutrality are estimated to be more than USD 1.</w:t>
      </w:r>
    </w:p>
    <w:p w14:paraId="61DB7F8F" w14:textId="77777777" w:rsidR="005E6AC0" w:rsidRDefault="00000000">
      <w:r>
        <w:t>An increase in competition could be accompanied by pressure on the NORDLB Group's future volume, margin and commission development.</w:t>
      </w:r>
    </w:p>
    <w:p w14:paraId="3CB981A4" w14:textId="77777777" w:rsidR="005E6AC0" w:rsidRDefault="00000000">
      <w:r>
        <w:t>All customer segments of the business segment are to receive high-quality support during their sustainability transition and the corresponding challenges, with ESG advice given and a corresponding product range offered.</w:t>
      </w:r>
    </w:p>
    <w:p w14:paraId="33AF519D" w14:textId="77777777" w:rsidR="005E6AC0" w:rsidRDefault="00000000">
      <w:r>
        <w:t>Furthermore, the involvement of institutional investors is being further strengthened, among other things, by the development of new products, in order to improve NORDLB's competitive position and drive forward credit syndication activities in the interest of investors.</w:t>
      </w:r>
    </w:p>
    <w:p w14:paraId="67DAB020" w14:textId="77777777" w:rsidR="005E6AC0" w:rsidRDefault="00000000">
      <w:r>
        <w:t>In particular, this also includes the constantly changing framework conditions for the remuneration and realisation of renewable energy projects and the resulting consequences for the financing structures.</w:t>
      </w:r>
    </w:p>
    <w:p w14:paraId="618C5B27" w14:textId="7A03C2A0" w:rsidR="005E6AC0" w:rsidRDefault="00000000">
      <w:r>
        <w:t xml:space="preserve">New sustainability requirements offer opportunities to develop innovations in drive technologies and new aircraft </w:t>
      </w:r>
      <w:proofErr w:type="gramStart"/>
      <w:r>
        <w:t>types</w:t>
      </w:r>
      <w:proofErr w:type="gramEnd"/>
      <w:r>
        <w:t xml:space="preserve"> </w:t>
      </w:r>
      <w:r w:rsidR="002C6CED">
        <w:t>s</w:t>
      </w:r>
      <w:r>
        <w:t>ustainable aviation fuels, electrified aircraft, etc.</w:t>
      </w:r>
    </w:p>
    <w:p w14:paraId="6091E07A" w14:textId="77777777" w:rsidR="005E6AC0" w:rsidRDefault="00000000">
      <w:r>
        <w:lastRenderedPageBreak/>
        <w:t>The focus here is on financing measures for the decarbonisation and transition of the transport sector.</w:t>
      </w:r>
    </w:p>
    <w:p w14:paraId="575D8515" w14:textId="77777777" w:rsidR="005E6AC0" w:rsidRDefault="00000000">
      <w:r>
        <w:t>In addition to regulatory and competition-induced earnings uncertainties, there are also company-specific opportunities and risks, especially with regard to the implementation of the Bank's transformation programme as well as further strategic measures.</w:t>
      </w:r>
    </w:p>
    <w:p w14:paraId="39C74B86" w14:textId="77777777" w:rsidR="005E6AC0" w:rsidRDefault="00000000">
      <w:r>
        <w:t>External risk reporting focuses on compliance with legal regulations.</w:t>
      </w:r>
    </w:p>
    <w:p w14:paraId="2DA925CD" w14:textId="77777777" w:rsidR="005E6AC0" w:rsidRDefault="00000000">
      <w:r>
        <w:t>The companies have a structured organisational and operational structure as well as a variety of instruments coordinated Group-wide that ensure sufficient transparency about the risk situation and make it possible to manage and monitor the required limitation and portfolio diversification.</w:t>
      </w:r>
    </w:p>
    <w:p w14:paraId="4D1C064F" w14:textId="77777777" w:rsidR="005E6AC0" w:rsidRDefault="00000000">
      <w:r>
        <w:t>The latter decides on the Group risk strategy and then discusses it with the Supervisory Board of NORDLB AöR.</w:t>
      </w:r>
    </w:p>
    <w:p w14:paraId="472AE090" w14:textId="77777777" w:rsidR="005E6AC0" w:rsidRDefault="00000000">
      <w:r>
        <w:t>Within the framework of the overarching requirements set by the Managing Board, the GRC may decide on individual strategies for individual groups of connected customers, countries and industries within the strategic limit systems.</w:t>
      </w:r>
    </w:p>
    <w:p w14:paraId="52F5C250" w14:textId="02BE73E3" w:rsidR="005E6AC0" w:rsidRDefault="00000000">
      <w:r>
        <w:t>The GRC also regularly reports on the activities of the US Risk Committee</w:t>
      </w:r>
      <w:r w:rsidR="004019C3">
        <w:t xml:space="preserve">, </w:t>
      </w:r>
      <w:r>
        <w:t>which monitors the risk management of the New York branch.</w:t>
      </w:r>
    </w:p>
    <w:p w14:paraId="392C5446" w14:textId="77777777" w:rsidR="005E6AC0" w:rsidRDefault="00000000">
      <w:r>
        <w:t>In addition, implications for the strategy and further business development are discussed and highlighted.</w:t>
      </w:r>
    </w:p>
    <w:p w14:paraId="74A9D9C4" w14:textId="77777777" w:rsidR="005E6AC0" w:rsidRDefault="00000000">
      <w:r>
        <w:t>These include, the Risk Round Table handling of questions on operational risks, governance and compliance topics and the IRBA Committee IRBA-C.</w:t>
      </w:r>
    </w:p>
    <w:p w14:paraId="33143A53" w14:textId="77777777" w:rsidR="005E6AC0" w:rsidRDefault="00000000">
      <w:r>
        <w:t>IRBA-C is a decision-making committee appointed by the management that deals with the performance, validation and further development of the IRBA rating procedures.</w:t>
      </w:r>
    </w:p>
    <w:p w14:paraId="2A0E613D" w14:textId="77777777" w:rsidR="005E6AC0" w:rsidRDefault="00000000">
      <w:r>
        <w:t>Founded at the beginning of 2021, the Sustainability Board regularly exchanges ideas across departments on the integration of sustainability into NORDLB and the development and coordination of crossdepartmental measures.</w:t>
      </w:r>
    </w:p>
    <w:p w14:paraId="04B527E5" w14:textId="77777777" w:rsidR="005E6AC0" w:rsidRDefault="00000000">
      <w:r>
        <w:t>The focus of the RPC here is on the final discussion of certain issues and the preparation of suitable proposals for resolution by the Managing Board.</w:t>
      </w:r>
    </w:p>
    <w:p w14:paraId="34C841A7" w14:textId="77777777" w:rsidR="005E6AC0" w:rsidRDefault="00000000">
      <w:r>
        <w:t>The risk management process is continuously reviewed and further developed.</w:t>
      </w:r>
    </w:p>
    <w:p w14:paraId="018B65C2" w14:textId="77777777" w:rsidR="005E6AC0" w:rsidRDefault="00000000">
      <w:r>
        <w:t>Internal Audit's audit approach also extends to significant projects, new product processes and the functions and divisions of the institution, both in-house or outsourced.</w:t>
      </w:r>
    </w:p>
    <w:p w14:paraId="5BCB7EE5" w14:textId="77777777" w:rsidR="005E6AC0" w:rsidRDefault="00000000">
      <w:r>
        <w:t>The audit approach of the Group audit covers the risk management of material risks in the NORDLB Group, the effectiveness, efficiency and regularity of the Group's business activities and the control and monitoring procedures in the Group.</w:t>
      </w:r>
    </w:p>
    <w:p w14:paraId="28CFF29B" w14:textId="77777777" w:rsidR="005E6AC0" w:rsidRDefault="00000000">
      <w:r>
        <w:lastRenderedPageBreak/>
        <w:t>At the same time, compliance with internal risk strategic requirements is ensured.</w:t>
      </w:r>
    </w:p>
    <w:p w14:paraId="4C9AFA53" w14:textId="77777777" w:rsidR="005E6AC0" w:rsidRDefault="00000000">
      <w:r>
        <w:t>Furthermore, the Credit Risk Management division is responsible for the second vote taken for decisions on individual loans.</w:t>
      </w:r>
    </w:p>
    <w:p w14:paraId="70823012" w14:textId="77777777" w:rsidR="005E6AC0" w:rsidRDefault="00000000">
      <w:r>
        <w:t>DBE 19 Risk Controlling is responsible for the methods for measuring credit risks and for credit risk management instruments.</w:t>
      </w:r>
    </w:p>
    <w:p w14:paraId="4D7B0E49" w14:textId="77777777" w:rsidR="005E6AC0" w:rsidRDefault="00000000">
      <w:r>
        <w:t>Market risk management is supported by NORDLB's ALCO.</w:t>
      </w:r>
    </w:p>
    <w:p w14:paraId="04DFE801" w14:textId="77777777" w:rsidR="005E6AC0" w:rsidRDefault="00000000">
      <w:r>
        <w:t>The operational limits also cover the risks resulting from the investment strategy for equity in block two adopted by the Managing Board, which is reviewed by ALCO at least once a year.</w:t>
      </w:r>
    </w:p>
    <w:p w14:paraId="1CD42DE8" w14:textId="77777777" w:rsidR="005E6AC0" w:rsidRDefault="00000000">
      <w:r>
        <w:t>This may be due to a change in the assessment of the Bank's creditworthiness by other market participants or a general market development.</w:t>
      </w:r>
    </w:p>
    <w:p w14:paraId="12F1D1F5" w14:textId="77777777" w:rsidR="005E6AC0" w:rsidRDefault="00000000">
      <w:r>
        <w:t>NORDLB's Liquidity Policy defines the business policy principles for liquidity risk management.</w:t>
      </w:r>
    </w:p>
    <w:p w14:paraId="62107214" w14:textId="77777777" w:rsidR="005E6AC0" w:rsidRDefault="00000000">
      <w:r>
        <w:t>The Risk Controlling division is responsible for the introduction, further development and validation of liquidity risk models.</w:t>
      </w:r>
    </w:p>
    <w:p w14:paraId="2BF54D72" w14:textId="77777777" w:rsidR="005E6AC0" w:rsidRDefault="00000000">
      <w:r>
        <w:t>The forecast liquidity risk indicators are based on the planned volume changes in the individual products, take into account adverse developments in addition to a baseline scenario and thus enable anticipatory risk management.</w:t>
      </w:r>
    </w:p>
    <w:p w14:paraId="7CA8E2A1" w14:textId="77777777" w:rsidR="005E6AC0" w:rsidRDefault="00000000">
      <w:r>
        <w:t>They inform the controlling divisions and the responsible departments or the entire Managing Board on a quarterly, monthly, weekly or daily basis.</w:t>
      </w:r>
    </w:p>
    <w:p w14:paraId="760B40FB" w14:textId="77777777" w:rsidR="005E6AC0" w:rsidRDefault="00000000">
      <w:r>
        <w:t>Downstream control processes are installed on the second line of defence as part of the risk management and compliance function, which are supplemented by a central methodological framework for risk identification and assessment as well as superordinate control and reporting processes.</w:t>
      </w:r>
    </w:p>
    <w:p w14:paraId="28C8DF30" w14:textId="79B455DE" w:rsidR="005E6AC0" w:rsidRDefault="00000000">
      <w:r>
        <w:t>NORDLB has a uniformly structured internal control system</w:t>
      </w:r>
      <w:r w:rsidR="004019C3">
        <w:t xml:space="preserve">, </w:t>
      </w:r>
      <w:r>
        <w:t>which is based on the framework of the Committee of Sponsoring Organizations of the Treadway Commission</w:t>
      </w:r>
      <w:r w:rsidR="004019C3">
        <w:t>.</w:t>
      </w:r>
    </w:p>
    <w:p w14:paraId="3D26ED9C" w14:textId="77777777" w:rsidR="005E6AC0" w:rsidRDefault="00000000">
      <w:r>
        <w:t>Monitoring and management Control and monitoring Risk identification Assessment Reporting Detriment cases Self-assessment Risk indicators Individual risks Risk matrix Scenario analysis OpVaR-model Integrated governance OpRisk &amp; compliance report NORDLB records losses from operational risks in a loss event database from a de minimis limit of € 5,000 gross.</w:t>
      </w:r>
    </w:p>
    <w:p w14:paraId="197643DB" w14:textId="77777777" w:rsidR="005E6AC0" w:rsidRDefault="00000000">
      <w:r>
        <w:t>NORDLB has established extensive protection and prevention measures to protect against criminal offences, money laundering, terrorist financing and other compliance risks.</w:t>
      </w:r>
    </w:p>
    <w:p w14:paraId="6915D54A" w14:textId="77777777" w:rsidR="005E6AC0" w:rsidRDefault="00000000">
      <w:r>
        <w:lastRenderedPageBreak/>
        <w:t>To ensure that no undesirable regulatory gaps arise, DBE 14 ComplianceGroup security identifies new banking regulatory requirements, informs affected units about the resulting need for action and produces cross-departmental evidence of this.</w:t>
      </w:r>
    </w:p>
    <w:p w14:paraId="05A46296" w14:textId="77777777" w:rsidR="005E6AC0" w:rsidRDefault="00000000">
      <w:r>
        <w:t>ESG risks Environmental, social and governance risks are climateenvironmental, social or governance events or conditions that may occur or have a potentially significant negative impact on the Bank's net assets, financial position, results of operations and reputation.</w:t>
      </w:r>
    </w:p>
    <w:p w14:paraId="0E66BAC9" w14:textId="77777777" w:rsidR="005E6AC0" w:rsidRDefault="00000000">
      <w:r>
        <w:t>The qualitative materiality assessment of the risk drivers was differentiated over various time horizons according to physical and transitory climate and environmental risks.</w:t>
      </w:r>
    </w:p>
    <w:p w14:paraId="16185D88" w14:textId="77777777" w:rsidR="005E6AC0" w:rsidRDefault="00000000">
      <w:r>
        <w:t>In the current reporting year, the risk driver analysis was expanded to include social and governance aspects as well as biodiversity and the quantification of the individual risk drivers was expanded.</w:t>
      </w:r>
    </w:p>
    <w:p w14:paraId="3FC8D9D6" w14:textId="77777777" w:rsidR="005E6AC0" w:rsidRDefault="00000000">
      <w:r>
        <w:t>In addition to creating a climate stress test framework, the Bank also carried out an internal climate stress test in 2023 and participated in the ECB's Fit for 55 climate risk stress test, which extends into 2024.</w:t>
      </w:r>
    </w:p>
    <w:p w14:paraId="1759BFC3" w14:textId="77777777" w:rsidR="005E6AC0" w:rsidRDefault="00000000">
      <w:r>
        <w:t>Risk-bearing capacity The risk strategy and regulatory requirements CET1, T1 and total capital were consistently complied with in the 2023 financial year.</w:t>
      </w:r>
    </w:p>
    <w:p w14:paraId="691E4739" w14:textId="77777777" w:rsidR="005E6AC0" w:rsidRDefault="00000000">
      <w:r>
        <w:t>Developments in the Real Estate Customers segment in the 2023 reporting year Within Real Estate Customers, exposure increased to €17.</w:t>
      </w:r>
    </w:p>
    <w:p w14:paraId="499F3611" w14:textId="77777777" w:rsidR="005E6AC0" w:rsidRDefault="00000000">
      <w:r>
        <w:t>Due to developments in the real estate market, various analyses and measures were carried out for the Commercial Real Estate portfolio in order to ensure appropriate risk mapping.</w:t>
      </w:r>
    </w:p>
    <w:p w14:paraId="7BE9F447" w14:textId="77777777" w:rsidR="005E6AC0" w:rsidRDefault="00000000">
      <w:r>
        <w:t>Based on its risk policy, the gradual enhancement of the risk model and risk management process, and the focused business strategy, the NORDLB Group is well prepared overall.</w:t>
      </w:r>
    </w:p>
    <w:p w14:paraId="594D3A48" w14:textId="77777777" w:rsidR="005E6AC0" w:rsidRDefault="00000000">
      <w:r>
        <w:t>In the Sustainable Loan Framework, an activity is classified as light green along a decision tree based on the requirements of the EU Taxonomy according to NORDLBs own criteria, which currently focus primarily on environmental criteria.</w:t>
      </w:r>
    </w:p>
    <w:p w14:paraId="5F94A519" w14:textId="3D7431CE" w:rsidR="005E6AC0" w:rsidRDefault="00000000">
      <w:r>
        <w:t xml:space="preserve">To reduce the financed CO2 emissions, the decarbonisation of its financing portfolio, NORDLB is also focusing on scientifically recognised transition paths on sector </w:t>
      </w:r>
      <w:proofErr w:type="spellStart"/>
      <w:r>
        <w:t>decarbonisation</w:t>
      </w:r>
      <w:proofErr w:type="spellEnd"/>
      <w:r>
        <w:t xml:space="preserve">, </w:t>
      </w:r>
      <w:r w:rsidR="00BC51A6">
        <w:t>t</w:t>
      </w:r>
      <w:r>
        <w:t>he International Energy Agency.</w:t>
      </w:r>
    </w:p>
    <w:p w14:paraId="648E867A" w14:textId="77777777" w:rsidR="005E6AC0" w:rsidRDefault="00000000">
      <w:r>
        <w:t>This enables the Bank to channel its financing funds specifically into sustainable financing activities and thus make a contribution to the decarbonisation goals of the Paris Agreement and the German Climate Protection Act.</w:t>
      </w:r>
    </w:p>
    <w:p w14:paraId="4AC9D15C" w14:textId="77777777" w:rsidR="005E6AC0" w:rsidRDefault="00000000">
      <w:r>
        <w:t>The focus is initially on particularly emission-intensive sectors in line with the regulatory classification.</w:t>
      </w:r>
    </w:p>
    <w:p w14:paraId="3B71847F" w14:textId="77777777" w:rsidR="005E6AC0" w:rsidRDefault="00000000">
      <w:r>
        <w:lastRenderedPageBreak/>
        <w:t>When it comes to the implementation of climate stress analyses, following on from the successful completion of the ECB climate stress test in 2022, the Bank established a climate stress test framework in 2023 and carried out an internal climate stress test.</w:t>
      </w:r>
    </w:p>
    <w:p w14:paraId="0CF4E052" w14:textId="77777777" w:rsidR="005E6AC0" w:rsidRDefault="00000000">
      <w:r>
        <w:t>The impact of climate and environmental risks on NORDLB Group's market risk is currently rated as low overall.</w:t>
      </w:r>
    </w:p>
    <w:p w14:paraId="294E57A6" w14:textId="77777777" w:rsidR="005E6AC0" w:rsidRDefault="00000000">
      <w:r>
        <w:t>For monitoring and controlling purposes, a stress test for climate and environmental risks in market risk is carried out on a quarterly basis and the result is reported to the Managing Board.</w:t>
      </w:r>
    </w:p>
    <w:p w14:paraId="3D853513" w14:textId="77777777" w:rsidR="005E6AC0" w:rsidRDefault="00000000">
      <w:r>
        <w:t>Due to the risk policy, the gradual enhancement of risk models and the risk management process as well as the focussed trading strategy, NORDLB is also well prepared for volatile market phases.</w:t>
      </w:r>
    </w:p>
    <w:p w14:paraId="3A51F577" w14:textId="7623E5AA" w:rsidR="005E6AC0" w:rsidRDefault="00000000">
      <w:r>
        <w:t>The focus is on regulatory requirements in the context of Interest Rate Risk in the Banking Book</w:t>
      </w:r>
      <w:r w:rsidR="004019C3">
        <w:t xml:space="preserve">, </w:t>
      </w:r>
      <w:r>
        <w:t>Credit Spread Risk in the Banking Book and Fundamental Review of the Trading Book.</w:t>
      </w:r>
    </w:p>
    <w:p w14:paraId="7542AEB8" w14:textId="77777777" w:rsidR="005E6AC0" w:rsidRDefault="00000000">
      <w:r>
        <w:t>As in the previous year, the risk of market-wide negative developments and the resulting risks for the institution's overall credit portfolio and deposits were taken into account in the liquidity stress tests and consequently in the management of liquidity.</w:t>
      </w:r>
    </w:p>
    <w:p w14:paraId="1A35B68B" w14:textId="77777777" w:rsidR="005E6AC0" w:rsidRDefault="00000000">
      <w:r>
        <w:t>Further interest rate and economic developments will have a significant impact on refinancing conditions and may also be reflected in the available maturities and qualities.</w:t>
      </w:r>
    </w:p>
    <w:p w14:paraId="19A8A2FA" w14:textId="77777777" w:rsidR="005E6AC0" w:rsidRDefault="00000000">
      <w:r>
        <w:t>Therefore, the focus will remain on qualitatively managing liquidity in an uncertain profitability environment and incorporating developments resulting from interest rate uncertainties at an early stage.</w:t>
      </w:r>
    </w:p>
    <w:p w14:paraId="7581184D" w14:textId="77777777" w:rsidR="005E6AC0" w:rsidRDefault="00000000">
      <w:r>
        <w:t>Climate and environmental risks as well as social aspects are gaining greater relevance as risk drivers in the liquidity risk assessment.</w:t>
      </w:r>
    </w:p>
    <w:p w14:paraId="748E26C0" w14:textId="77777777" w:rsidR="005E6AC0" w:rsidRDefault="00000000">
      <w:r>
        <w:t>NORDLB is aiming for a progressive focus on green products as well as a significant increase in the proportion of green emissions, which has already started successfully with the issuance of the first unsecured green benchmark bond in January 2024.</w:t>
      </w:r>
    </w:p>
    <w:p w14:paraId="0C71796E" w14:textId="77777777" w:rsidR="005E6AC0" w:rsidRDefault="00000000">
      <w:r>
        <w:t>Any findings from the ECB's current cyber stress test and supervisory audits in the context of operational risks will continue to be used to further develop the OpRisk methodology.</w:t>
      </w:r>
    </w:p>
    <w:p w14:paraId="784C372A" w14:textId="77777777" w:rsidR="005E6AC0" w:rsidRDefault="00000000">
      <w:r>
        <w:t>As at 31 December 2023, the NORDLB Group utilised the management adjustment formed in order to take into account in the balance sheet the uncertainties over the macroeconomic developments and the resulting potential impact on borrower credit quality.</w:t>
      </w:r>
    </w:p>
    <w:p w14:paraId="1EED4E08" w14:textId="77777777" w:rsidR="005E6AC0" w:rsidRDefault="00000000">
      <w:r>
        <w:t>The corresponding amount is reduced if a transaction expires or migrates to impairment Stage 3.</w:t>
      </w:r>
    </w:p>
    <w:p w14:paraId="10D7417B" w14:textId="77777777" w:rsidR="005E6AC0" w:rsidRDefault="00000000">
      <w:r>
        <w:lastRenderedPageBreak/>
        <w:t>, Development in the Guarantee Portfolios in Connection with the Guarantee Contracts of the State of Lower Saxony The performance in the reporting period of the hedged assets and liabilities and of the guarantee amount recognised as a hedging derivative is presented below per guarantee.</w:t>
      </w:r>
    </w:p>
    <w:p w14:paraId="2CF7C47B" w14:textId="77777777" w:rsidR="005E6AC0" w:rsidRDefault="00000000">
      <w:r>
        <w:t>This adjustment to the designation algorithm was made with regard to the overarching business strategy of generating net interest income and to better reflect the overall present value interest rate risk management approach.</w:t>
      </w:r>
    </w:p>
    <w:p w14:paraId="38397063" w14:textId="77777777" w:rsidR="005E6AC0" w:rsidRDefault="00000000">
      <w:r>
        <w:t>Capitalised costs of internally developed software comprise expenses for internal and external services incurred during the development phase which are directly attributable for customising and testing activities in particular.</w:t>
      </w:r>
    </w:p>
    <w:p w14:paraId="0E99474E" w14:textId="77777777" w:rsidR="005E6AC0" w:rsidRDefault="00000000">
      <w:r>
        <w:t>Differences between assumptions made and developments that actually take place as well as changes in the assumptions made when measuring defined benefit plans and similar obligations result in actuarial gains and losses, which are recognised under other comprehensive income in the year during which they arise.</w:t>
      </w:r>
    </w:p>
    <w:p w14:paraId="29513DCD" w14:textId="77777777" w:rsidR="005E6AC0" w:rsidRDefault="00000000">
      <w:r>
        <w:t>In the Energy sub-area, the focus is on predominantly project-related transactions in the renewable energy sectors, in particular wind and solarphotovoltaics in Europe.</w:t>
      </w:r>
    </w:p>
    <w:p w14:paraId="2CBC995F" w14:textId="77777777" w:rsidR="005E6AC0" w:rsidRDefault="00000000">
      <w:r>
        <w:t>As part of the implementation of the Bank-wide ESG approach, Treasury is responsible for establishing the issuability of green bonds.</w:t>
      </w:r>
    </w:p>
    <w:p w14:paraId="5A549851" w14:textId="77777777" w:rsidR="005E6AC0" w:rsidRDefault="00000000">
      <w:r>
        <w:t>Impairments on intangible assets of € 5 million € 9 million result from the discontinued further development of a software component under construction.</w:t>
      </w:r>
    </w:p>
    <w:p w14:paraId="7A644E36" w14:textId="77777777" w:rsidR="005E6AC0" w:rsidRDefault="00000000">
      <w:r>
        <w:t>The objectives are to ensure adequate capital in quantitative and qualitative terms, to achieve an appropriate return on equity and to ensure long-term compliance with the regulatory minimum capital requirements at Group level.</w:t>
      </w:r>
    </w:p>
    <w:p w14:paraId="7519784E" w14:textId="77777777" w:rsidR="005E6AC0" w:rsidRDefault="00000000">
      <w:r>
        <w:t>These regulatory capital ratios are subject to statutory minimum capital requirements and capital buffers as well as additional requirements applicable individually at NORDLB Group level for compliance with certain capital ratios by the European Central Bank in its role as the competent supervisory authority of NORDLB.</w:t>
      </w:r>
    </w:p>
    <w:p w14:paraId="6D2950EE" w14:textId="77777777" w:rsidR="005E6AC0" w:rsidRDefault="00000000">
      <w:r>
        <w:t>Equity management requirements will remain diverse in the future due to the required response to new regulatory requirements and ongoing changes in the ECB's andor SRB's individual minimum capital requirements, as well as the implementation of or support for special regulatory requirements.</w:t>
      </w:r>
    </w:p>
    <w:p w14:paraId="65129965" w14:textId="77777777" w:rsidR="005E6AC0" w:rsidRDefault="00000000">
      <w:r>
        <w:t>Based on the measures agreed in the basic agreement to strengthen capital, NORDLB concluded guarantee contracts with the State of Lower Saxony in 2019 to hedge loss risks and free up regulatory capital.</w:t>
      </w:r>
    </w:p>
    <w:p w14:paraId="5A11D6C4" w14:textId="324561DE" w:rsidR="005E6AC0" w:rsidRDefault="00000000">
      <w:r>
        <w:t xml:space="preserve">This includes confirmation services for savings bank organisations and the Bank levy Confirmation services in connection with the audit of other reports </w:t>
      </w:r>
      <w:r w:rsidR="008D2F2C">
        <w:t>n</w:t>
      </w:r>
      <w:r>
        <w:t xml:space="preserve">on-financial report, </w:t>
      </w:r>
      <w:r>
        <w:lastRenderedPageBreak/>
        <w:t>disclosure report Other services as part of the restructuring support Other services relating to training, Equity Holdings The list of shareholdings covers all companies included in the consolidated financial statements, the nonconsolidated subsidiaries, joint ventures and associated companies as well as other shareholdings of at least 20 per cent.</w:t>
      </w:r>
    </w:p>
    <w:p w14:paraId="796900C8" w14:textId="77777777" w:rsidR="005E6AC0" w:rsidRDefault="00000000">
      <w:r>
        <w:t>In all material respects, this group management report is consistent with the consolidated financial statements, complies with German legal requirements and appropriately presents the opportunities and risks of future development.</w:t>
      </w:r>
    </w:p>
    <w:p w14:paraId="4C4FE1DB" w14:textId="77777777" w:rsidR="005E6AC0" w:rsidRDefault="00000000">
      <w:r>
        <w:t>In order to take into account the existing uncertainties as a result of the current macroeconomic conditions, in particular the developments on the commercial real estate market, and the expectations of the legal representatives in this context that are not yet covered by the models, the Company has recognized a so-called management adjustment in the amount of € 289 million in the risk provisioning for loans and advances for certain sub-segments.</w:t>
      </w:r>
    </w:p>
    <w:p w14:paraId="2F98694C" w14:textId="77777777" w:rsidR="005E6AC0" w:rsidRDefault="00000000">
      <w:r>
        <w:t>We analysed the necessity of the management adjustment, taking into account the effects of the current macroeconomic conditions, in particular the developments on the commercial real estate market, and traced its calculation in terms of its amount.</w:t>
      </w:r>
    </w:p>
    <w:p w14:paraId="050C612E" w14:textId="77777777" w:rsidR="005E6AC0" w:rsidRDefault="00000000">
      <w:r>
        <w:t>On the basis of our audit procedures, we were able to come to the conclusion that overall the assumptions made by the legal representatives in determining the portfolio-based allowances and the management adjustment were reasonable, and that the controls implemented by the Company were appropriate and effective.</w:t>
      </w:r>
    </w:p>
    <w:p w14:paraId="46F8C9A6" w14:textId="77777777" w:rsidR="005E6AC0" w:rsidRDefault="00000000">
      <w:r>
        <w:t>Other Information The executive directors are responsible for the other information.</w:t>
      </w:r>
    </w:p>
    <w:p w14:paraId="515CB806" w14:textId="77777777" w:rsidR="005E6AC0" w:rsidRDefault="00000000">
      <w:r>
        <w:t>In preparing the consolidated financial statements, the executive directors are responsible for assessing the Groups ability to continue as a going concern.</w:t>
      </w:r>
    </w:p>
    <w:p w14:paraId="6D0CAC66" w14:textId="77777777" w:rsidR="005E6AC0" w:rsidRDefault="00000000">
      <w:r>
        <w:t>Furthermore, the executive directors are responsible for the preparation of the group management report that, as a whole, provides an appropriate view of the Groups position and is, in all material respects, consistent with the consolidated financial statements, complies with German legal requirements, and appropriately presents the opportunities and risks of future development.</w:t>
      </w:r>
    </w:p>
    <w:p w14:paraId="1A3EA650" w14:textId="77777777" w:rsidR="005E6AC0" w:rsidRDefault="00000000">
      <w:r>
        <w:t>Reasonable assurance is a high level of assurance, but is not a guarantee that an audit conducted in accordance with § 317 HGB and the EU Audit Regulation and in compliance with German Generally Accepted Standards for Financial Statement Audits promulgated by the Institut der Wirtschaftsprüfer will always detect a material misstatement.</w:t>
      </w:r>
    </w:p>
    <w:p w14:paraId="707F1C0F" w14:textId="77777777" w:rsidR="005E6AC0" w:rsidRDefault="00000000">
      <w:r>
        <w:t>We exercise professional judgment and maintain professional skepticism throughout the audit.</w:t>
      </w:r>
    </w:p>
    <w:p w14:paraId="576452D9" w14:textId="77777777" w:rsidR="005E6AC0" w:rsidRDefault="00000000">
      <w:r>
        <w:t xml:space="preserve">Obtain an understanding of internal control relevant to the audit of the consolidated financial statements and of arrangements and measures systems relevant to the audit of the group management report in order to design audit procedures that are appropriate in the </w:t>
      </w:r>
      <w:r>
        <w:lastRenderedPageBreak/>
        <w:t>circumstances, but not for the purpose of expressing an audit opinion on the effectiveness of these systems.</w:t>
      </w:r>
    </w:p>
    <w:p w14:paraId="3ECB4226" w14:textId="77777777" w:rsidR="005E6AC0" w:rsidRDefault="00000000">
      <w:r>
        <w:t>We are responsible for the direction, supervision and performance of the group audit.</w:t>
      </w:r>
    </w:p>
    <w:p w14:paraId="16B57430" w14:textId="77777777" w:rsidR="005E6AC0" w:rsidRDefault="00000000">
      <w:r>
        <w:t>Perform audit procedures on the prospective information presented by the executive directors in the group management report.</w:t>
      </w:r>
    </w:p>
    <w:p w14:paraId="4A371ABF" w14:textId="77777777" w:rsidR="005E6AC0" w:rsidRDefault="00000000">
      <w:r>
        <w:t>In addition, the executive directors of the Company are responsible for such internal control as they have considered necessary to enable the preparation of ESEF documents that are free from material noncompliance with the requirements of § 328 Abs.</w:t>
      </w:r>
    </w:p>
    <w:p w14:paraId="3F09EBE7" w14:textId="77777777" w:rsidR="005E6AC0" w:rsidRDefault="00000000">
      <w:r>
        <w:t>The supervisory board is responsible for overseeing the process for preparing the ESEF documents as part of the financial reporting process.</w:t>
      </w:r>
    </w:p>
    <w:p w14:paraId="7AABC093" w14:textId="77777777" w:rsidR="005E6AC0" w:rsidRDefault="00000000">
      <w:r>
        <w:t>The Supervisory Board also dealt in detail with NORDLB AöR's business, ESG and risk strategy.</w:t>
      </w:r>
    </w:p>
    <w:sectPr w:rsidR="005E6A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24958658">
    <w:abstractNumId w:val="8"/>
  </w:num>
  <w:num w:numId="2" w16cid:durableId="902639790">
    <w:abstractNumId w:val="6"/>
  </w:num>
  <w:num w:numId="3" w16cid:durableId="998921232">
    <w:abstractNumId w:val="5"/>
  </w:num>
  <w:num w:numId="4" w16cid:durableId="1170566239">
    <w:abstractNumId w:val="4"/>
  </w:num>
  <w:num w:numId="5" w16cid:durableId="1118797054">
    <w:abstractNumId w:val="7"/>
  </w:num>
  <w:num w:numId="6" w16cid:durableId="1831405651">
    <w:abstractNumId w:val="3"/>
  </w:num>
  <w:num w:numId="7" w16cid:durableId="1623028019">
    <w:abstractNumId w:val="2"/>
  </w:num>
  <w:num w:numId="8" w16cid:durableId="190803562">
    <w:abstractNumId w:val="1"/>
  </w:num>
  <w:num w:numId="9" w16cid:durableId="164096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CED"/>
    <w:rsid w:val="00326F90"/>
    <w:rsid w:val="004019C3"/>
    <w:rsid w:val="00425495"/>
    <w:rsid w:val="005235FB"/>
    <w:rsid w:val="00576FD5"/>
    <w:rsid w:val="005E6AC0"/>
    <w:rsid w:val="008D2F2C"/>
    <w:rsid w:val="00AA1D8D"/>
    <w:rsid w:val="00B47730"/>
    <w:rsid w:val="00B8380C"/>
    <w:rsid w:val="00BC51A6"/>
    <w:rsid w:val="00CB0664"/>
    <w:rsid w:val="00D45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DABDC"/>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3513</Words>
  <Characters>20030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8</cp:revision>
  <dcterms:created xsi:type="dcterms:W3CDTF">2013-12-23T23:15:00Z</dcterms:created>
  <dcterms:modified xsi:type="dcterms:W3CDTF">2025-08-12T18:47:00Z</dcterms:modified>
  <cp:category/>
</cp:coreProperties>
</file>