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B2275" w14:textId="77777777" w:rsidR="006A0C19" w:rsidRDefault="00000000">
      <w:r>
        <w:t>Another key control tool is the annual at least or ad hoc strategy and planning process, which includes the following key steps, Until the start of the strategy and planning process, the Managing Board adopts targets for the Group and its segments top down.</w:t>
      </w:r>
    </w:p>
    <w:p w14:paraId="0855E389" w14:textId="77777777" w:rsidR="006A0C19" w:rsidRDefault="00000000">
      <w:r>
        <w:t>The primary objective is to ensure permanent adherence to the defined internal objectives and all regulatory requirements.</w:t>
      </w:r>
    </w:p>
    <w:p w14:paraId="6206AA00" w14:textId="77777777" w:rsidR="006A0C19" w:rsidRDefault="00000000">
      <w:r>
        <w:t>The overarching goal of liquidity risk management and monitoring is to ensure NORDLBs payment and funding ability at all times.</w:t>
      </w:r>
    </w:p>
    <w:p w14:paraId="34B4BAC9" w14:textId="77777777" w:rsidR="006A0C19" w:rsidRDefault="00000000">
      <w:r>
        <w:t>In 2024, capital ratios were kept at a stable level despite a moderate increase in risk assets, which thus remained above the regulatory requirements.</w:t>
      </w:r>
    </w:p>
    <w:p w14:paraId="146E835E" w14:textId="77777777" w:rsidR="006A0C19" w:rsidRDefault="00000000">
      <w:r>
        <w:t>As a result of the development of key interest-rates in the reporting year, net interest income fell slightly over the course of the year, but came from a high level.</w:t>
      </w:r>
    </w:p>
    <w:p w14:paraId="6EB27886" w14:textId="77777777" w:rsidR="006A0C19" w:rsidRDefault="00000000">
      <w:r>
        <w:t>This strategic risk management tool is used to actively manage the credit portfolio in order to reduce sectoral and single-name concentrations and create capacity for further credit growth.</w:t>
      </w:r>
    </w:p>
    <w:p w14:paraId="4FC6A28B" w14:textId="77777777" w:rsidR="006A0C19" w:rsidRDefault="00000000">
      <w:r>
        <w:t>The expansion of renewable electricity generation is being pushed forward, in particular due to its low electricity production costs, in order to achieve climate targets and to minimise the dependency on fossil fuels such as natural gas.</w:t>
      </w:r>
    </w:p>
    <w:p w14:paraId="12567DB3" w14:textId="77777777" w:rsidR="006A0C19" w:rsidRDefault="00000000">
      <w:r>
        <w:t>Accordingly, all regulatory equity ratios increased in the reporting period.</w:t>
      </w:r>
    </w:p>
    <w:p w14:paraId="1B20EF48" w14:textId="77777777" w:rsidR="006A0C19" w:rsidRDefault="00000000">
      <w:r>
        <w:t>The increase in hard core capital and, at the same time, also in core capital was primarily due to the inclusion of positive earnings effects, both postponed from the second half of 2023 and from the reporting period.</w:t>
      </w:r>
    </w:p>
    <w:p w14:paraId="598859EC" w14:textId="77777777" w:rsidR="006A0C19" w:rsidRDefault="00000000">
      <w:r>
        <w:t>These profit and loss allocations overcompensated for reducing effects on hard core capital in the reporting period due to increased regulatory deductions, mainly from increased impairment losses and capitalised deferred taxes.</w:t>
      </w:r>
    </w:p>
    <w:p w14:paraId="5EEE987C" w14:textId="77777777" w:rsidR="006A0C19" w:rsidRDefault="00000000">
      <w:r>
        <w:t>Previously, a management adjustment was set up for uncertainties regarding the development of selected portfolios.</w:t>
      </w:r>
    </w:p>
    <w:p w14:paraId="025CC084" w14:textId="77777777" w:rsidR="006A0C19" w:rsidRDefault="00000000">
      <w:r>
        <w:t>This development is mainly due to the increase in the social security pension trend assumption, which has had an overall reducing effect on provisions.</w:t>
      </w:r>
    </w:p>
    <w:p w14:paraId="3B5237E8" w14:textId="77777777" w:rsidR="006A0C19" w:rsidRDefault="00000000">
      <w:r>
        <w:t>As a result, long-term employee benefits increased to € 337 million € 33 million while restructuring provisions decreased to € 34 million € 356 million.</w:t>
      </w:r>
    </w:p>
    <w:p w14:paraId="5C37A2B6" w14:textId="77777777" w:rsidR="006A0C19" w:rsidRDefault="00000000">
      <w:r>
        <w:t>This development was caused by the positive overall result for the period in the amount of € 658 million.</w:t>
      </w:r>
    </w:p>
    <w:p w14:paraId="5D6A1262" w14:textId="77777777" w:rsidR="006A0C19" w:rsidRDefault="00000000">
      <w:r>
        <w:t>This is based on higher earnings due to good new business development and a corresponding increase in interest and commission income.</w:t>
      </w:r>
    </w:p>
    <w:p w14:paraId="49501384" w14:textId="77777777" w:rsidR="006A0C19" w:rsidRDefault="00000000">
      <w:r>
        <w:lastRenderedPageBreak/>
        <w:t>The clearly positive earnings development is mainly due to the expansion of interest income as a result of a positive earnings margin development as well as a successful increase in business volume.</w:t>
      </w:r>
    </w:p>
    <w:p w14:paraId="20098798" w14:textId="77777777" w:rsidR="006A0C19" w:rsidRDefault="00000000">
      <w:r>
        <w:t>For many years now, the Bank's main focus has been on sustainability and this continues to be the case.</w:t>
      </w:r>
    </w:p>
    <w:p w14:paraId="28A3A77D" w14:textId="77777777" w:rsidR="006A0C19" w:rsidRDefault="00000000">
      <w:r>
        <w:t>Furthermore, a comprehensive ESG strategy focused on long-term sustainability was developed and published at the end of the reporting year with the aim of setting the strategic framework, promoting sustainable financing, assuming environmental and social responsibility, and ensuring transparent and ethical business practices.</w:t>
      </w:r>
    </w:p>
    <w:p w14:paraId="295D3503" w14:textId="77777777" w:rsidR="006A0C19" w:rsidRDefault="00000000">
      <w:r>
        <w:t>Accordingly, NORDLB supports its customers in the transition to a climate-neutral economy and thus actively contributes to achieving the climate targets.</w:t>
      </w:r>
    </w:p>
    <w:p w14:paraId="77C77C51" w14:textId="77777777" w:rsidR="006A0C19" w:rsidRDefault="00000000">
      <w:r>
        <w:t>Finance Sector The major challenge of the banking market is likely to lie in macroeconomic development, which will be particuarly impacted by geopolitical and monetary policy decisions.</w:t>
      </w:r>
    </w:p>
    <w:p w14:paraId="3AF93386" w14:textId="77777777" w:rsidR="006A0C19" w:rsidRDefault="00000000">
      <w:r>
        <w:t>Another focus will remain on the gradual implementation of ESG standards, which is also accompanied by government requirements in addition to the regulatory ones.</w:t>
      </w:r>
    </w:p>
    <w:p w14:paraId="053A7E84" w14:textId="77777777" w:rsidR="006A0C19" w:rsidRDefault="00000000">
      <w:r>
        <w:t>This is intended to promote the transformation of the economy whilst focusing more intensively on sustainability.</w:t>
      </w:r>
    </w:p>
    <w:p w14:paraId="30143178" w14:textId="77777777" w:rsidR="006A0C19" w:rsidRDefault="00000000">
      <w:r>
        <w:t>Legislators in various countries and regions have improved investment conditions through regulatory measures, thereby removing some existing barriers.</w:t>
      </w:r>
    </w:p>
    <w:p w14:paraId="11BAA62F" w14:textId="77777777" w:rsidR="006A0C19" w:rsidRDefault="00000000">
      <w:r>
        <w:t>Earnings in the Structured Finance strategic business segment will increase as expected, influenced by the further expansion of the business as part of its development as a bank of the energy transition.</w:t>
      </w:r>
    </w:p>
    <w:p w14:paraId="40860788" w14:textId="77777777" w:rsidR="006A0C19" w:rsidRDefault="00000000">
      <w:r>
        <w:t>Overall, a positive development compared to the previous year is expected for the risk provisioning result.</w:t>
      </w:r>
    </w:p>
    <w:p w14:paraId="70DBB78F" w14:textId="77777777" w:rsidR="006A0C19" w:rsidRDefault="00000000">
      <w:r>
        <w:t>Deviations can prove to be both a risk and an opportunity with regard to the development of NORDLBs earnings situation and key performance indicators.</w:t>
      </w:r>
    </w:p>
    <w:p w14:paraId="381DC9E8" w14:textId="77777777" w:rsidR="006A0C19" w:rsidRDefault="00000000">
      <w:r>
        <w:t>An increase in competition could be accompanied by pressure on the NORDLB Group's future volume, margin and commission development.</w:t>
      </w:r>
    </w:p>
    <w:p w14:paraId="69D7A4C4" w14:textId="77777777" w:rsidR="006A0C19" w:rsidRDefault="00000000">
      <w:r>
        <w:t>The dynamic developments in the context of technology promise increasing performance and new application possibilities enabling efficiency gains in previously unused areas and further optimising operational processes.</w:t>
      </w:r>
    </w:p>
    <w:p w14:paraId="10D8EB17" w14:textId="77777777" w:rsidR="006A0C19" w:rsidRDefault="00000000">
      <w:r>
        <w:t>The aim is to provide valuable support to all customer segments within the business segment during their sustainability transition and with the challenges they face, giving ESG advice and offering a corresponding product range.</w:t>
      </w:r>
    </w:p>
    <w:p w14:paraId="6CBF9CCE" w14:textId="77777777" w:rsidR="006A0C19" w:rsidRDefault="00000000">
      <w:r>
        <w:lastRenderedPageBreak/>
        <w:t>This is achieved through development of PV and wind power production in nearby sectors, digital infrastructure and battery storage technology, and expansion of business activities to regions within the risk strategy.</w:t>
      </w:r>
    </w:p>
    <w:p w14:paraId="0DEF87AB" w14:textId="77777777" w:rsidR="006A0C19" w:rsidRDefault="00000000">
      <w:r>
        <w:t>Furthermore, the involvement of institutional investors is being further strengthened, among other things, through the development of new products, in order to improve NORDLB's competitive position and to drive credit syndication activities forward in the interest of investors.</w:t>
      </w:r>
    </w:p>
    <w:p w14:paraId="39347620" w14:textId="77777777" w:rsidR="006A0C19" w:rsidRDefault="00000000">
      <w:r>
        <w:t>This also includes the constantly changing framework conditions for the remuneration and realisation of renewable energy projects and the resulting consequences for the financing structures.</w:t>
      </w:r>
    </w:p>
    <w:p w14:paraId="2CA47CA6" w14:textId="77777777" w:rsidR="006A0C19" w:rsidRDefault="00000000">
      <w:r>
        <w:t>In addition to regulatory and competition-induced earnings uncertainties, there are also company-specific opportunities and risks, especially with regard to the implementation of many of the Bank's strategic measures.</w:t>
      </w:r>
    </w:p>
    <w:p w14:paraId="3D4EA9AC" w14:textId="77777777" w:rsidR="006A0C19" w:rsidRDefault="00000000">
      <w:r>
        <w:t>The difference between the total exposure and the balance sheet total resulted from the inclusion of off-balance sheet items, such as committed but unused credit lines, derivative financial instruments and other potential risk positions that are not listed in the balance sheet but affect NORDLBs risk profile.</w:t>
      </w:r>
    </w:p>
    <w:p w14:paraId="0DCFFC43" w14:textId="77777777" w:rsidR="006A0C19" w:rsidRDefault="00000000">
      <w:r>
        <w:t>External risk reporting focuses on compliance with legal regulations.</w:t>
      </w:r>
    </w:p>
    <w:p w14:paraId="7F0D4278" w14:textId="77777777" w:rsidR="006A0C19" w:rsidRDefault="00000000">
      <w:r>
        <w:t>The companies have a structured organisational and operational structure as well as a variety of instruments coordinated Group-wide that ensure sufficient transparency about the risk situation and make it possible to manage and monitor the required limitation and portfolio diversification.</w:t>
      </w:r>
    </w:p>
    <w:p w14:paraId="3ABBF546" w14:textId="77777777" w:rsidR="006A0C19" w:rsidRDefault="00000000">
      <w:r>
        <w:t>The latter decides on the Group risk strategy and then discusses it with the Supervisory Board of NORDLB AöR.</w:t>
      </w:r>
    </w:p>
    <w:p w14:paraId="57BD45AF" w14:textId="77777777" w:rsidR="006A0C19" w:rsidRDefault="00000000">
      <w:r>
        <w:t>NORDLB AöR's Risk Controlling division is responsible for the implementation and further development of the Group-wide Internal Capital Adequacy Assessment Process and Internal Liquidity Adequacy Assessment Process and for the ongoing monitoring of compliance with the Group risk strategy, including the specifics of the individual institutions.</w:t>
      </w:r>
    </w:p>
    <w:p w14:paraId="132740D0" w14:textId="77777777" w:rsidR="006A0C19" w:rsidRDefault="00000000">
      <w:r>
        <w:t>Within the framework of the overarching requirements set by the Managing Board, the GRC may decide on individual strategies for individual groups of connected customers, countries and industries within the strategic limit systems.</w:t>
      </w:r>
    </w:p>
    <w:p w14:paraId="63EE372A" w14:textId="77777777" w:rsidR="006A0C19" w:rsidRDefault="00000000">
      <w:r>
        <w:t>The GRC also regularly reports on the activities of the US Risk Committee , which monitors the risk management of the New York branch.</w:t>
      </w:r>
    </w:p>
    <w:p w14:paraId="44C72AA9" w14:textId="77777777" w:rsidR="006A0C19" w:rsidRDefault="00000000">
      <w:r>
        <w:t>These include, the Risk Round Table handling of questions on operational risks, governance and compliance topics and the IRBA Committee IRBA-C.</w:t>
      </w:r>
    </w:p>
    <w:p w14:paraId="27BC7E85" w14:textId="77777777" w:rsidR="006A0C19" w:rsidRDefault="00000000">
      <w:r>
        <w:lastRenderedPageBreak/>
        <w:t>IRBA-C is a decision-making committee appointed by the management that deals with the performance, validation and further development of the IRBA rating procedures.</w:t>
      </w:r>
    </w:p>
    <w:p w14:paraId="054E8817" w14:textId="77777777" w:rsidR="006A0C19" w:rsidRDefault="00000000">
      <w:r>
        <w:t>Founded at the beginning of 2021, the Sustainability Board regularly exchanges ideas across departments on the integration of sustainability into NORDLB and the development and coordination of cross-departmental measures.</w:t>
      </w:r>
    </w:p>
    <w:p w14:paraId="30C790AE" w14:textId="77777777" w:rsidR="006A0C19" w:rsidRDefault="00000000">
      <w:r>
        <w:t>The risk management process is continuously reviewed and further developed.</w:t>
      </w:r>
    </w:p>
    <w:p w14:paraId="73063122" w14:textId="77777777" w:rsidR="006A0C19" w:rsidRDefault="00000000">
      <w:r>
        <w:t>Its overarching objectives include monitoring compliance with internal and external regulations, delivering objective and reliable audit results, informing the Managing Board of important findings at an early stage and initiating, monitoring and supporting change processes as part of audits.</w:t>
      </w:r>
    </w:p>
    <w:p w14:paraId="4F97E1F5" w14:textId="77777777" w:rsidR="006A0C19" w:rsidRDefault="00000000">
      <w:r>
        <w:t>Internal Audit's audit approach also extends to significant projects, new product processes, significant changes to the organisational structure and workflows as well as IT systems and the functions and divisions of the institution, both in-house or outsourced.</w:t>
      </w:r>
    </w:p>
    <w:p w14:paraId="10C4508B" w14:textId="77777777" w:rsidR="006A0C19" w:rsidRDefault="00000000">
      <w:r>
        <w:t>The audit approach of the Group audit covers the risk management of material risks in the NORDLB Group, the effectiveness, efficiency and regularity of the Group's business activities and the control and monitoring procedures in the Group.</w:t>
      </w:r>
    </w:p>
    <w:p w14:paraId="5652A47C" w14:textId="77777777" w:rsidR="006A0C19" w:rsidRDefault="00000000">
      <w:r>
        <w:t>At the same time, compliance with internal risk strategic requirements is ensured.</w:t>
      </w:r>
    </w:p>
    <w:p w14:paraId="3B7D0788" w14:textId="77777777" w:rsidR="006A0C19" w:rsidRDefault="00000000">
      <w:r>
        <w:t>ESG risks are environmental climatenatural, social or governance events or conditions that may occur or have a potentially significant adverse impact on the Bank's net assets, financial position or results of operations and reputation.</w:t>
      </w:r>
    </w:p>
    <w:p w14:paraId="4696C81E" w14:textId="77777777" w:rsidR="006A0C19" w:rsidRDefault="00000000">
      <w:r>
        <w:t>In addition to updating and expanding the list of ESG risk drivers, in particular with regard to nature and biodiversity risk drivers, new andor further developed quantification methods were used in the current reporting year to examine ESG risk drivers in a more granular and portfolio-adequate manner.</w:t>
      </w:r>
    </w:p>
    <w:p w14:paraId="21880D54" w14:textId="77777777" w:rsidR="006A0C19" w:rsidRDefault="00000000">
      <w:r>
        <w:t>In the 2025 financial year, NORDLB plans to implement the finalised EBA Guidelines on the management of environmental, social and governance risks.</w:t>
      </w:r>
    </w:p>
    <w:p w14:paraId="7B740E9A" w14:textId="77777777" w:rsidR="006A0C19" w:rsidRDefault="00000000">
      <w:r>
        <w:t>Within this framework, the Bank is also preparing without delay to draw up a comprehensive, segment-specific NPL strategy in the event that the 5 per cent threshold is potentially exceeded due to negative market developments.</w:t>
      </w:r>
    </w:p>
    <w:p w14:paraId="2E6127E7" w14:textId="77777777" w:rsidR="006A0C19" w:rsidRDefault="00000000">
      <w:r>
        <w:t>Furthermore, the Credit Risk Management division is responsible for the second vote taken for decisions on individual loans.</w:t>
      </w:r>
    </w:p>
    <w:p w14:paraId="6044896E" w14:textId="77777777" w:rsidR="006A0C19" w:rsidRDefault="00000000">
      <w:r>
        <w:t>Risk Controlling is responsible for the methods for measuring credit risks and for credit risk management instruments.</w:t>
      </w:r>
    </w:p>
    <w:p w14:paraId="405929DC" w14:textId="77777777" w:rsidR="006A0C19" w:rsidRDefault="00000000">
      <w:r>
        <w:t>Developments in the Real Estate Customers Segment in the 2024 Reporting Year Within Real Estate Customers, exposure increased to € 19.</w:t>
      </w:r>
    </w:p>
    <w:p w14:paraId="37A7C227" w14:textId="77777777" w:rsidR="006A0C19" w:rsidRDefault="00000000">
      <w:r>
        <w:lastRenderedPageBreak/>
        <w:t>Due to developments in the real estate market, various analyses and measures were carried out for the Commercial Real Estate portfolio in order to ensure appropriate risk mapping.</w:t>
      </w:r>
    </w:p>
    <w:p w14:paraId="39D014DB" w14:textId="77777777" w:rsidR="006A0C19" w:rsidRDefault="00000000">
      <w:r>
        <w:t>Based on its risk policy, the gradual enhancement of the risk model and risk management process, and the focused business strategy, the NORDLB Group considers itself to be well positioned overall in dealing with ESG risks.</w:t>
      </w:r>
    </w:p>
    <w:p w14:paraId="7EBCE25B" w14:textId="77777777" w:rsidR="006A0C19" w:rsidRDefault="00000000">
      <w:r>
        <w:t>At the same time, the framework contains corresponding references to relevant standards for environmentally sustainable lending.</w:t>
      </w:r>
    </w:p>
    <w:p w14:paraId="2F44C43B" w14:textId="77777777" w:rsidR="006A0C19" w:rsidRDefault="00000000">
      <w:r>
        <w:t>In this way, it aims to channel financing into sustainable financing activities and reduced CO2 emissions and thus make an important contribution to complying with the 1.</w:t>
      </w:r>
    </w:p>
    <w:p w14:paraId="7C28D8FB" w14:textId="77777777" w:rsidR="006A0C19" w:rsidRDefault="00000000">
      <w:r>
        <w:t>In order to meet the requirements and contribute to the achievement of our climate goals and decarbonisation goals in particular successive sector-specific transition paths have been developed since 2023.</w:t>
      </w:r>
    </w:p>
    <w:p w14:paraId="46191550" w14:textId="77777777" w:rsidR="006A0C19" w:rsidRDefault="00000000">
      <w:r>
        <w:t>So far, NORDLB has managed aviation, energy power, real estate, oil &amp; gas, agriculture, steel, automotive, chemicals, cement and shipping sector-specific transition paths and selective decarbonisation targets.</w:t>
      </w:r>
    </w:p>
    <w:p w14:paraId="4B5368C4" w14:textId="77777777" w:rsidR="006A0C19" w:rsidRDefault="00000000">
      <w:r>
        <w:t>The development of the reference paths underlying this objective and our derived decarbonisation targets are regularly reviewed, as some sectors are dependent on necessary externalities, such as political decisions and technological developments.</w:t>
      </w:r>
    </w:p>
    <w:p w14:paraId="59E704B6" w14:textId="77777777" w:rsidR="006A0C19" w:rsidRDefault="00000000">
      <w:r>
        <w:t>To achieve the decarbonisation targets, a comprehensive action plan has also been developed.</w:t>
      </w:r>
    </w:p>
    <w:p w14:paraId="0EACAE56" w14:textId="77777777" w:rsidR="006A0C19" w:rsidRDefault="00000000">
      <w:r>
        <w:t>This plan includes both sector-agnostic and sector-specific measures aimed at reducing CO2 emissions in the individual economic sectors.</w:t>
      </w:r>
    </w:p>
    <w:p w14:paraId="11A8C228" w14:textId="77777777" w:rsidR="006A0C19" w:rsidRDefault="00000000">
      <w:r>
        <w:t>When it comes to the implementation of climate stress analyses, following on from the successful completion of the ECB climate stress test in 2022, the Bank established a climate stress test framework in 2023 and carried out an internal climate stress test.</w:t>
      </w:r>
    </w:p>
    <w:p w14:paraId="122D32C1" w14:textId="77777777" w:rsidR="006A0C19" w:rsidRDefault="00000000">
      <w:r>
        <w:t>Market-price risk management is supported by NORDLB's ALCO.</w:t>
      </w:r>
    </w:p>
    <w:p w14:paraId="6B00CEC2" w14:textId="77777777" w:rsidR="006A0C19" w:rsidRDefault="00000000">
      <w:r>
        <w:t>For monitoring and controlling purposes, a stress test for climate and environmental risks in market-price risk is conducted on a quarterly basis and the result reported to the Managing Board.</w:t>
      </w:r>
    </w:p>
    <w:p w14:paraId="1908CE9B" w14:textId="77777777" w:rsidR="006A0C19" w:rsidRDefault="00000000">
      <w:r>
        <w:t>Based on the risk policy, the gradual enhancement of risk models and the risk management process, and the focused trade strategy, NORDLB is well prepared on the whole, even for volatile market phases.</w:t>
      </w:r>
    </w:p>
    <w:p w14:paraId="01EAD9F8" w14:textId="64061269" w:rsidR="006A0C19" w:rsidRDefault="00000000">
      <w:r>
        <w:t xml:space="preserve">The focus is on regulatory requirements in the context of Interest-Rate Risk in the Banking </w:t>
      </w:r>
      <w:proofErr w:type="gramStart"/>
      <w:r>
        <w:t>Book ,</w:t>
      </w:r>
      <w:proofErr w:type="gramEnd"/>
      <w:r>
        <w:t xml:space="preserve"> Credit Spread Risk in the Banking Book and Fundamental Review of the Trading Book</w:t>
      </w:r>
      <w:r w:rsidR="00993388">
        <w:t>.</w:t>
      </w:r>
    </w:p>
    <w:p w14:paraId="29B8A16A" w14:textId="77777777" w:rsidR="006A0C19" w:rsidRDefault="00000000">
      <w:r>
        <w:lastRenderedPageBreak/>
        <w:t>This may be due to a change in the assessment of the Bank's creditworthiness by other market participants or a general market development.</w:t>
      </w:r>
    </w:p>
    <w:p w14:paraId="2B151A55" w14:textId="77777777" w:rsidR="006A0C19" w:rsidRDefault="00000000">
      <w:r>
        <w:t>The Liquidity Policy defines the business policy principles for liquidity risk management in the NORDLB Group.</w:t>
      </w:r>
    </w:p>
    <w:p w14:paraId="639FE98C" w14:textId="77777777" w:rsidR="006A0C19" w:rsidRDefault="00000000">
      <w:r>
        <w:t>The Risk Controlling division is responsible for the introduction, further development and validation of liquidity risk models.</w:t>
      </w:r>
    </w:p>
    <w:p w14:paraId="08CF8252" w14:textId="77777777" w:rsidR="006A0C19" w:rsidRDefault="00000000">
      <w:r>
        <w:t>The forecast liquidity risk indicators are based on the planned volume changes in the individual products, take into account adverse developments in addition to a baseline scenario and thus enable anticipatory risk management.</w:t>
      </w:r>
    </w:p>
    <w:p w14:paraId="1BC72AD4" w14:textId="77777777" w:rsidR="006A0C19" w:rsidRDefault="00000000">
      <w:r>
        <w:t>They inform the controlling divisions and the responsible departments or the entire Managing Board on a quarterly, monthly, weekly or daily basis.</w:t>
      </w:r>
    </w:p>
    <w:p w14:paraId="42C2D2D8" w14:textId="77777777" w:rsidR="006A0C19" w:rsidRDefault="00000000">
      <w:r>
        <w:t>The risk of marketwide negative developments and the resulting risks for the institutions overall credit portfolio were taken into account in the liquidity stress tests and consequently in the management of liquidity.</w:t>
      </w:r>
    </w:p>
    <w:p w14:paraId="471F7B6A" w14:textId="77777777" w:rsidR="006A0C19" w:rsidRDefault="00000000">
      <w:r>
        <w:t>With the issue of green bonds, NORDLB also offers investors the opportunity to support the financing of sustainable projects.</w:t>
      </w:r>
    </w:p>
    <w:p w14:paraId="1DCE6E45" w14:textId="77777777" w:rsidR="006A0C19" w:rsidRDefault="00000000">
      <w:r>
        <w:t>Further interest-rate and economic developments will have a significant impact on refinancing conditions and may also be reflected in the available maturities and qualities.</w:t>
      </w:r>
    </w:p>
    <w:p w14:paraId="136921F7" w14:textId="77777777" w:rsidR="006A0C19" w:rsidRDefault="00000000">
      <w:r>
        <w:t>Therefore, the focus will remain on qualitatively managing liquidity in an uncertain profitability environment and incorporating developments resulting from interest-rate uncertainties at an early stage.</w:t>
      </w:r>
    </w:p>
    <w:p w14:paraId="4348AC7D" w14:textId="77777777" w:rsidR="006A0C19" w:rsidRDefault="00000000">
      <w:r>
        <w:t>It is aiming for a progressive focus on green products as well as a significant increase in the proportion of green emissions, which has already started successfully with the issuance of a Green Mortgage Pfandbrief in January 2025.</w:t>
      </w:r>
    </w:p>
    <w:p w14:paraId="560E143F" w14:textId="77777777" w:rsidR="006A0C19" w:rsidRDefault="00000000">
      <w:r>
        <w:t>Downstream control processes are installed on the second line of defence as part of the risk management and compliance function, which are supplemented by a central methodological framework for risk identification and assessment as well as superordinate control and reporting processes.</w:t>
      </w:r>
    </w:p>
    <w:p w14:paraId="752B90BF" w14:textId="2561D0FA" w:rsidR="006A0C19" w:rsidRDefault="00000000">
      <w:r>
        <w:t xml:space="preserve">NORDLB has a uniformly structured internal control </w:t>
      </w:r>
      <w:proofErr w:type="gramStart"/>
      <w:r>
        <w:t>system ,</w:t>
      </w:r>
      <w:proofErr w:type="gramEnd"/>
      <w:r>
        <w:t xml:space="preserve"> which is based on the framework of the Committee of Sponsoring Organizations of the Treadway Commission</w:t>
      </w:r>
      <w:r w:rsidR="00993388">
        <w:t>.</w:t>
      </w:r>
    </w:p>
    <w:p w14:paraId="235CE3C1" w14:textId="77777777" w:rsidR="006A0C19" w:rsidRDefault="00000000">
      <w:r>
        <w:t>NORDLB has established extensive protection and prevention measures to protect against criminal offences, money laundering, terrorist financing and other compliance risks.</w:t>
      </w:r>
    </w:p>
    <w:p w14:paraId="3D9A1A09" w14:textId="77777777" w:rsidR="006A0C19" w:rsidRDefault="00000000">
      <w:r>
        <w:t>There is a whistleblowing system for employees, customers and business partners for the protected disclosure of information.</w:t>
      </w:r>
    </w:p>
    <w:p w14:paraId="5BE5AA94" w14:textId="77777777" w:rsidR="006A0C19" w:rsidRDefault="00000000">
      <w:r>
        <w:lastRenderedPageBreak/>
        <w:t>To ensure that no undesirable regulatory gaps arise, Compliance &amp; Security identifies new banking regulatory requirements, informs affected units about the resulting need for action and produces cross-departmental evidence of this.</w:t>
      </w:r>
    </w:p>
    <w:p w14:paraId="14CDCB68" w14:textId="77777777" w:rsidR="006A0C19" w:rsidRDefault="00000000">
      <w:r>
        <w:t>Earnings Position NORDLB AöRs earnings position in the 2024 reporting year was particularly affected by positive developments in net interest income, net commission income and other operating income with a simultaneous decline in the result from financial transactions of the trading portfolio and the valuation result from receivables, securities and investments.</w:t>
      </w:r>
    </w:p>
    <w:p w14:paraId="36010DE1" w14:textId="77777777" w:rsidR="006A0C19" w:rsidRDefault="00000000">
      <w:r>
        <w:t>This resulted mainly from the reversal of pension provisions as a result of a revaluation with a change in the discount rate as well as revised assumptions about pension developments.</w:t>
      </w:r>
    </w:p>
    <w:p w14:paraId="617E33F2" w14:textId="77777777" w:rsidR="006A0C19" w:rsidRDefault="00000000">
      <w:r>
        <w:t>This sustainability statement is made in full compliance with the European Sustainability Reporting Standards on a consolidated basis for the NORDLB Group.</w:t>
      </w:r>
    </w:p>
    <w:p w14:paraId="419BC87E" w14:textId="77777777" w:rsidR="006A0C19" w:rsidRDefault="00000000">
      <w:r>
        <w:t>With this Sustainability Statement in the appropriately designated section, the NORDLB Group also complies with the requirements of Regulation 2020852 of the European Parliament and of the Council of 18 June on the establishment of a framework to facilitate sustainable investments and for the change in Regulation 20192088.</w:t>
      </w:r>
    </w:p>
    <w:p w14:paraId="1067741A" w14:textId="77777777" w:rsidR="006A0C19" w:rsidRDefault="00000000">
      <w:r>
        <w:t>The sustainability statement for the NORDLB Group is prepared in full compliance with the ESRS.</w:t>
      </w:r>
    </w:p>
    <w:p w14:paraId="6BDDB341" w14:textId="77777777" w:rsidR="006A0C19" w:rsidRDefault="00000000">
      <w:r>
        <w:t>A detailed explanation of the operational and business value chain at the Bank is provided in chapter ESRS 2 European Sustainability Reporting Standards SBM-1 Strategy and business model Article 42.</w:t>
      </w:r>
    </w:p>
    <w:p w14:paraId="3332AC17" w14:textId="77777777" w:rsidR="006A0C19" w:rsidRDefault="00000000">
      <w:r>
        <w:t>Scenario analyses for aligning the investment and loan portfolio with the climate goals are based on the PACTA Paris Agreement Capital Transition Assessment methodology.</w:t>
      </w:r>
    </w:p>
    <w:p w14:paraId="3A00C25A" w14:textId="77777777" w:rsidR="006A0C19" w:rsidRDefault="00000000">
      <w:r>
        <w:t>Scenario analyses for aligning the investment and loan portfolio with the climate goals are based on the PACTA Paris Agreement Capital Transition Assessment methodology.</w:t>
      </w:r>
    </w:p>
    <w:p w14:paraId="4A2CC1EC" w14:textId="77777777" w:rsidR="006A0C19" w:rsidRDefault="00000000">
      <w:r>
        <w:t>In order to fulfil our reporting obligations under commercial law, we declare the following, The first and full use of the European Sustainability Reporting Standards as a framework pursuant to Sections 315c, in conjunction with 289d HGB takes place due to the importance of the ESRS as a reporting standard for sustainability reporting adopted by the European Commission.</w:t>
      </w:r>
    </w:p>
    <w:p w14:paraId="321862A9" w14:textId="77777777" w:rsidR="006A0C19" w:rsidRDefault="00000000">
      <w:r>
        <w:t>The Supervisory Board is responsible for the tasks arising from the law and the Bank's Articles of Association.</w:t>
      </w:r>
    </w:p>
    <w:p w14:paraId="6C8DC4C2" w14:textId="77777777" w:rsidR="006A0C19" w:rsidRDefault="00000000">
      <w:r>
        <w:t>As a result, responsibility for sustainability aspects is shared among all members of the Managing Board cf.</w:t>
      </w:r>
    </w:p>
    <w:p w14:paraId="15C23EBD" w14:textId="77777777" w:rsidR="006A0C19" w:rsidRDefault="00000000">
      <w:r>
        <w:lastRenderedPageBreak/>
        <w:t>Depending on the content, sustainability aspects are dealt with either in the committees responsible for the topic or in the Supervisory Board cf.</w:t>
      </w:r>
    </w:p>
    <w:p w14:paraId="57EDA0AA" w14:textId="77777777" w:rsidR="006A0C19" w:rsidRDefault="00000000">
      <w:r>
        <w:t>Accordingly, the Managing Board must report on the following topics in particular, Business policy and fundamental issues of corporate planning.</w:t>
      </w:r>
    </w:p>
    <w:p w14:paraId="523988F3" w14:textId="77777777" w:rsidR="006A0C19" w:rsidRDefault="00000000">
      <w:r>
        <w:t>As part of the responsibility for the proper organisation of the Banks business, the Managing Board is responsible for establishing an effective ESG strategy process.</w:t>
      </w:r>
    </w:p>
    <w:p w14:paraId="0447C166" w14:textId="77777777" w:rsidR="006A0C19" w:rsidRDefault="00000000">
      <w:r>
        <w:t>The resulting ESG strategy is brought to the attention of the Supervisory Board or the relevant technical committees.</w:t>
      </w:r>
    </w:p>
    <w:p w14:paraId="4FD327D7" w14:textId="77777777" w:rsidR="006A0C19" w:rsidRDefault="00000000">
      <w:r>
        <w:t>This relates, for example, to the topics of sustainability reporting and climate stress tests.</w:t>
      </w:r>
    </w:p>
    <w:p w14:paraId="72AC4F60" w14:textId="77777777" w:rsidR="006A0C19" w:rsidRDefault="00000000">
      <w:r>
        <w:t>This was done in 2024, firstly, in the ordinary meetings of the Supervisory Board and in the relevant technical committees, and secondly as part of a multi-day strategy workshop.</w:t>
      </w:r>
    </w:p>
    <w:p w14:paraId="576E01C5" w14:textId="77777777" w:rsidR="006A0C19" w:rsidRDefault="00000000">
      <w:r>
        <w:t>The information also includes the implementation of due diligence in the area of sustainability as well as the results and effectiveness of the agreed concepts, measures, key figures and objectives.</w:t>
      </w:r>
    </w:p>
    <w:p w14:paraId="3246D1FC" w14:textId="77777777" w:rsidR="006A0C19" w:rsidRDefault="00000000">
      <w:r>
        <w:t>Since the 2024 financial year, the Managing Board remuneration system has provided that 60 per cent of the variable remuneration is determined on the basis of key figures that reflect the Groups performance Group component.</w:t>
      </w:r>
    </w:p>
    <w:p w14:paraId="61F28E35" w14:textId="77777777" w:rsidR="006A0C19" w:rsidRDefault="00000000">
      <w:r>
        <w:t>With the inclusion of the sustainability-related target green new business volume in the Group component, a general market development is taken into account to increase the attention given to sustainability aspects in the remuneration parameters.</w:t>
      </w:r>
    </w:p>
    <w:p w14:paraId="3146630B" w14:textId="77777777" w:rsidR="006A0C19" w:rsidRDefault="00000000">
      <w:r>
        <w:t>At the same time, the expectation of the ECB's Joint Supervisory Team and the Federal Financial Supervisory Authority BaFin to bindingly agree quantitative environmental targets is being met.</w:t>
      </w:r>
    </w:p>
    <w:p w14:paraId="74526406" w14:textId="77777777" w:rsidR="006A0C19" w:rsidRDefault="00000000">
      <w:r>
        <w:t>For this reason, sustainability-related incentive and remuneration systems for the Supervisory Board of NORDLB are not implemented and do not apply as part of CSRD reporting.</w:t>
      </w:r>
    </w:p>
    <w:p w14:paraId="17D441E1" w14:textId="77777777" w:rsidR="006A0C19" w:rsidRDefault="00000000">
      <w:r>
        <w:t>The selection of the sustainability target starts as part of the update of the business and risk strategy in the third quarter of a financial year for the next financial year.</w:t>
      </w:r>
    </w:p>
    <w:p w14:paraId="44F0066A" w14:textId="77777777" w:rsidR="006A0C19" w:rsidRDefault="00000000">
      <w:r>
        <w:t>The level of achievement of the sustainability components targets is based on the amount of new business volume of green financing issued.</w:t>
      </w:r>
    </w:p>
    <w:p w14:paraId="4732FAC2" w14:textId="77777777" w:rsidR="006A0C19" w:rsidRDefault="00000000">
      <w:r>
        <w:t>The ongoing implementation and management of the remuneration processes is carried out by the HR department.</w:t>
      </w:r>
    </w:p>
    <w:p w14:paraId="09CAADAF" w14:textId="77777777" w:rsidR="006A0C19" w:rsidRDefault="00000000">
      <w:r>
        <w:lastRenderedPageBreak/>
        <w:t>In addition, the Managing Boards performance is not currently assessed against the greenhouse gas emission reduction targets submitted under the ESRS E1-4 reporting obligation.</w:t>
      </w:r>
    </w:p>
    <w:p w14:paraId="3F75D7CF" w14:textId="77777777" w:rsidR="006A0C19" w:rsidRDefault="00000000">
      <w:r>
        <w:t>Anchoring climate-related remuneration of members of administrative, management and supervisory bodies ESRS E1 GOV-3, 13.</w:t>
      </w:r>
    </w:p>
    <w:p w14:paraId="26E4F3BF" w14:textId="77777777" w:rsidR="006A0C19" w:rsidRDefault="00000000">
      <w:r>
        <w:t>Involvement of affected stakeholders in materiality assessment of sustainability aspects ESRS 2 IRO-1, 53.</w:t>
      </w:r>
    </w:p>
    <w:p w14:paraId="3867AE2B" w14:textId="77777777" w:rsidR="006A0C19" w:rsidRDefault="00000000">
      <w:r>
        <w:t>Due to the first-time sustainability reporting, the planned regular regulatory cycle was naturally not yet fully completed as at the reporting date of 31 December 2024.</w:t>
      </w:r>
    </w:p>
    <w:p w14:paraId="7C9181E8" w14:textId="77777777" w:rsidR="006A0C19" w:rsidRDefault="00000000">
      <w:r>
        <w:t>Strategy ESRS 2 SBM-1 40, i, 40, ii, 40, iii, 40, The core elements of NORDLBs general strategy, which relate to significant business segments, products and services, markets and customer groups as well as employees, are linked to sustainability aspects via the ESG strategy.</w:t>
      </w:r>
    </w:p>
    <w:p w14:paraId="75319CC3" w14:textId="77777777" w:rsidR="006A0C19" w:rsidRDefault="00000000">
      <w:r>
        <w:t>The Bank offers ESG-based financing such as green loans and sustainability-linked loans to promote the transformation towards sustainable business models.</w:t>
      </w:r>
    </w:p>
    <w:p w14:paraId="0B57CBDF" w14:textId="77777777" w:rsidR="006A0C19" w:rsidRDefault="00000000">
      <w:r>
        <w:t>BLSK acts as a savings bank with a public mandate and is committed to its focus on public welfare, regional value creation and sustainability.</w:t>
      </w:r>
    </w:p>
    <w:p w14:paraId="4234D432" w14:textId="77777777" w:rsidR="006A0C19" w:rsidRDefault="00000000">
      <w:r>
        <w:t>The NORDLB Groups strategy compendium consists of the business strategy, the risk strategy and the supplementary functional strategies relating to ESG, IT, personnel, remuneration and trading as well as non-performing loans , where required.</w:t>
      </w:r>
    </w:p>
    <w:p w14:paraId="7FBD661D" w14:textId="77777777" w:rsidR="006A0C19" w:rsidRDefault="00000000">
      <w:r>
        <w:t>In addition, environmental and climate risks that may affect NORDLBs business activities and the markets must be assessed and managed.</w:t>
      </w:r>
    </w:p>
    <w:p w14:paraId="20037294" w14:textId="77777777" w:rsidR="006A0C19" w:rsidRDefault="00000000">
      <w:r>
        <w:t>To address these challenges, ongoing improvements in sustainability reporting and transparency are planned.</w:t>
      </w:r>
    </w:p>
    <w:p w14:paraId="3F4F5DF9" w14:textId="77777777" w:rsidR="006A0C19" w:rsidRDefault="00000000">
      <w:r>
        <w:t>The BLUE programme also aims to implement the ESG-specific regulatory requirements at NORDLB, but also to highlight the issue of ESG from an opportunity-oriented and market-oriented perspective.</w:t>
      </w:r>
    </w:p>
    <w:p w14:paraId="62D4FADD" w14:textId="77777777" w:rsidR="006A0C19" w:rsidRDefault="00000000">
      <w:r>
        <w:t>NORDLBs aim with these regulations is to ensure that its products and services are offered in full compliance with the applicable legal and regulatory requirements.</w:t>
      </w:r>
    </w:p>
    <w:p w14:paraId="1FA8CF39" w14:textId="77777777" w:rsidR="006A0C19" w:rsidRDefault="00000000">
      <w:r>
        <w:t>NORDLB aims to not only meet all regulatory requirements imposed on NORDLB in its role as a state bank, but also to work actively and in a future-oriented manner to continuously reduce CO2 emissions in banking operations and in its portfolios.</w:t>
      </w:r>
    </w:p>
    <w:p w14:paraId="2A227681" w14:textId="77777777" w:rsidR="006A0C19" w:rsidRDefault="00000000">
      <w:r>
        <w:t>In addition, NORDLB has made it its mission to accompany and support its customers holistically in their transformation towards sustainability.</w:t>
      </w:r>
    </w:p>
    <w:p w14:paraId="07290091" w14:textId="77777777" w:rsidR="006A0C19" w:rsidRDefault="00000000">
      <w:r>
        <w:lastRenderedPageBreak/>
        <w:t>NORDLB is a signatory to the climate commitment of the German financial sector and is thus committed to aligning its loan and investment portfolios with the goals of the Paris Agreement.</w:t>
      </w:r>
    </w:p>
    <w:p w14:paraId="4B077C03" w14:textId="348146E1" w:rsidR="006A0C19" w:rsidRDefault="00000000">
      <w:r>
        <w:t>It is also based on the UN Sustainable Development Goals SDGs, the Hanover 2035 Climate Alliance, the climate commitment of the German financial sector and the Principles for Responsible Banking</w:t>
      </w:r>
      <w:r w:rsidR="00993388">
        <w:t>.</w:t>
      </w:r>
    </w:p>
    <w:p w14:paraId="792D67E9" w14:textId="77777777" w:rsidR="006A0C19" w:rsidRDefault="00000000">
      <w:r>
        <w:t>The resulting sustainability goals and ambitions of NORDLB are assessed and presented for each action area, climate change and the companys workforce, in the ESRS E1-4 and ESRS S1-5 disclosure requirements, E1-4, Greenhouse gas emission reduction targets Scope 1-3 S1-5 related to S1-4, Reducing negative and promoting positive impacts on own workforce, and managing material risks and opportunities related to own workforce Contributing to this, NORDLB pursues the following key ambitions with regard to the most important products and services, customer categories, geographical areas and relationships with stakeholders, 1.</w:t>
      </w:r>
    </w:p>
    <w:p w14:paraId="5DF85A44" w14:textId="77777777" w:rsidR="006A0C19" w:rsidRDefault="00000000">
      <w:r>
        <w:t>When analysing possibilities, NORDLB's strategic focus is heavily on the EU Taxonomy-eligible economic activities as well as the overarching environmental objectives and the associated regulatory requirements.</w:t>
      </w:r>
    </w:p>
    <w:p w14:paraId="1BABCFE0" w14:textId="77777777" w:rsidR="006A0C19" w:rsidRDefault="00000000">
      <w:r>
        <w:t>Customer categories NORDLB continuously reviews the extent to which the development or expansion of customer categories correspond to the current ESG strategy.</w:t>
      </w:r>
    </w:p>
    <w:p w14:paraId="295290CE" w14:textId="77777777" w:rsidR="006A0C19" w:rsidRDefault="00000000">
      <w:r>
        <w:t>No dedicated sustainability targets have been defined for the individual customer categories for the 2024 financial year.</w:t>
      </w:r>
    </w:p>
    <w:p w14:paraId="5F89ECCD" w14:textId="77777777" w:rsidR="006A0C19" w:rsidRDefault="00000000">
      <w:r>
        <w:t>No dedicated sustainability targets have been defined for the individual geographical areas for the 2024 financial year.</w:t>
      </w:r>
    </w:p>
    <w:p w14:paraId="494E56A1" w14:textId="77777777" w:rsidR="006A0C19" w:rsidRDefault="00000000">
      <w:r>
        <w:t>No dedicated sustainability targets have been defined for the individual stakeholders for the 2024 financial year.</w:t>
      </w:r>
    </w:p>
    <w:p w14:paraId="5D5E3661" w14:textId="77777777" w:rsidR="006A0C19" w:rsidRDefault="00000000">
      <w:r>
        <w:t>In terms of sustainability and in particular in order to achieve the emission reduction targets, the Bank has identified the most important products and services on the asset side, including the financing of renewable energies and commercial real estate financing, as well as the issue of green bonds on the liabilities side.</w:t>
      </w:r>
    </w:p>
    <w:p w14:paraId="0259038E" w14:textId="77777777" w:rsidR="006A0C19" w:rsidRDefault="00000000">
      <w:r>
        <w:t>Due to their impact on NORDLBs Scope 3 footprint, private and commercial customers are the main customer groups with regard to sustainability in addition to corporate customers and the savings bank network.</w:t>
      </w:r>
    </w:p>
    <w:p w14:paraId="2BEA09AC" w14:textId="77777777" w:rsidR="006A0C19" w:rsidRDefault="00000000">
      <w:r>
        <w:t>Upstream The upstream value chain includes all actors and activities that provide products or services that are used in the development of NORDLBs own products or services.</w:t>
      </w:r>
    </w:p>
    <w:p w14:paraId="4C81CFF9" w14:textId="77777777" w:rsidR="006A0C19" w:rsidRDefault="00000000">
      <w:r>
        <w:lastRenderedPageBreak/>
        <w:t>NORDLB therefore uses established discussion formats with various social groups to exchange ideas on sustainability topics, to obtain and provide impetus for sustainability-oriented actions and to further develop itself.</w:t>
      </w:r>
    </w:p>
    <w:p w14:paraId="2B144EB0" w14:textId="77777777" w:rsidR="006A0C19" w:rsidRDefault="00000000">
      <w:r>
        <w:t>The involvement of stakeholders are governed by the Stakeholder Policy.</w:t>
      </w:r>
    </w:p>
    <w:p w14:paraId="451B7780" w14:textId="77777777" w:rsidR="006A0C19" w:rsidRDefault="00000000">
      <w:r>
        <w:t>The policy sets out how NORDLB deals with the various interest groups see Overview of Stakeholder Involvement for a list of NORDLBs key interest groups and their involvement.</w:t>
      </w:r>
    </w:p>
    <w:p w14:paraId="49C440DE" w14:textId="77777777" w:rsidR="006A0C19" w:rsidRDefault="00000000">
      <w:r>
        <w:t>ESG management is responsible for determining the materiality of stakeholders.</w:t>
      </w:r>
    </w:p>
    <w:p w14:paraId="08F9568C" w14:textId="77777777" w:rsidR="006A0C19" w:rsidRDefault="00000000">
      <w:r>
        <w:t>Employees are involved in the Banks business development and the resulting impact on staff through briefings given to the Economic Committee of the employee representatives as and when the situation demands.</w:t>
      </w:r>
    </w:p>
    <w:p w14:paraId="607A00CA" w14:textId="77777777" w:rsidR="006A0C19" w:rsidRDefault="00000000">
      <w:r>
        <w:t>The feedback obtained in this way is used as a basis for analysing their sustainability activities and as an impetus for continuous further development in ESG matters.</w:t>
      </w:r>
    </w:p>
    <w:p w14:paraId="437D2D9C" w14:textId="77777777" w:rsidR="006A0C19" w:rsidRDefault="00000000">
      <w:r>
        <w:t>Business customers Corporate Customers Savings Bank Network Institutional customers Politics and authorities EU, Germany, city and country NORDLB is actively involved in shaping a binding and transparent regulatory framework for the financial services sector.</w:t>
      </w:r>
    </w:p>
    <w:p w14:paraId="344B868D" w14:textId="77777777" w:rsidR="006A0C19" w:rsidRDefault="00000000">
      <w:r>
        <w:t>As part of its support for the Hanover 2035 Climate Alliance, the bank is participating in the climate change goals of the federal state capital of Hanover to reduce greenhouse gas emissions in its own operations.</w:t>
      </w:r>
    </w:p>
    <w:p w14:paraId="507590A2" w14:textId="77777777" w:rsidR="006A0C19" w:rsidRDefault="00000000">
      <w:r>
        <w:t>NORDLB also takes into account the sustainability requirements of its stakeholders when developing and implementing its sustainability measures and when carrying out the materiality analysis.</w:t>
      </w:r>
    </w:p>
    <w:p w14:paraId="493A86A5" w14:textId="77777777" w:rsidR="006A0C19" w:rsidRDefault="00000000">
      <w:r>
        <w:t>Reactions can include, for example, adjustments to the governance structure, such as tasks and responsibilities, as well as optimisation of work processes and procedures, practical individual measures and communication measures on sustainability.</w:t>
      </w:r>
    </w:p>
    <w:p w14:paraId="654C4214" w14:textId="77777777" w:rsidR="006A0C19" w:rsidRDefault="00000000">
      <w:r>
        <w:t>Further information in this disclosure is based on information about the following category of stakeholders from on the overview of stakeholder involvement in ESRS 2 SBM-2, Stakeholder category Employees and HR Council The interests, positions and rights of NORDLB employees, including respect for their human rights, are incorporated into the strategy and business model via the regular strategy process.</w:t>
      </w:r>
    </w:p>
    <w:p w14:paraId="398FE6D0" w14:textId="77777777" w:rsidR="006A0C19" w:rsidRDefault="00000000">
      <w:r>
        <w:t>The ESG strategy anchors, among other things, how NORDLB exercises its social responsibility in relation to the rights, wellbeing and interests of people and communities as part of its corporate actions.</w:t>
      </w:r>
    </w:p>
    <w:p w14:paraId="60968277" w14:textId="77777777" w:rsidR="006A0C19" w:rsidRDefault="00000000">
      <w:r>
        <w:t>The IROs were presented to the Managing Board for the first time as part of a project in the 2024 financial year, but were not yet taken into account in the development of the strategies due to a time lag with the Banks strategy process.</w:t>
      </w:r>
    </w:p>
    <w:p w14:paraId="09180552" w14:textId="77777777" w:rsidR="006A0C19" w:rsidRDefault="00000000">
      <w:r>
        <w:lastRenderedPageBreak/>
        <w:t>In response to the impacts, risks and opportunities identified, the Bank has taken key measures in relation to sustainability issues.</w:t>
      </w:r>
    </w:p>
    <w:p w14:paraId="7990D874" w14:textId="77777777" w:rsidR="006A0C19" w:rsidRDefault="00000000">
      <w:r>
        <w:t>As part of ESRS E1-3, ESRS S1-4 and ESRS G1-3, NORDLBs most important measures are presented in the sustainability context.</w:t>
      </w:r>
    </w:p>
    <w:p w14:paraId="44CCC6C9" w14:textId="77777777" w:rsidR="006A0C19" w:rsidRDefault="00000000">
      <w:r>
        <w:t>In addition, company-specific information on money laundering see G1-4 24 b and taxes, which include NORDLBs material sustainability measures, is taken into account.</w:t>
      </w:r>
    </w:p>
    <w:p w14:paraId="7EF2F564" w14:textId="77777777" w:rsidR="006A0C19" w:rsidRDefault="00000000">
      <w:r>
        <w:t>These developments can significantly reduce economic activity and jobs in the affected areas.</w:t>
      </w:r>
    </w:p>
    <w:p w14:paraId="49BCFE81" w14:textId="77777777" w:rsidR="006A0C19" w:rsidRDefault="00000000">
      <w:r>
        <w:t>The Bank focuses on financing renewable energies, which has a positive environmental impact.</w:t>
      </w:r>
    </w:p>
    <w:p w14:paraId="727C7A65" w14:textId="77777777" w:rsidR="006A0C19" w:rsidRDefault="00000000">
      <w:r>
        <w:t>This positive impact enables the Bank to reduce CO₂ emissions, conserve natural resources and create green jobs.</w:t>
      </w:r>
    </w:p>
    <w:p w14:paraId="2C70653C" w14:textId="77777777" w:rsidR="006A0C19" w:rsidRDefault="00000000">
      <w:r>
        <w:t>These initiatives enable the bank to position itself as a leading provider of sustainable productfinancial solutions, unlocking transitory sources of revenue and offering innovative services that meet increasing regulatory and societal requirements.</w:t>
      </w:r>
    </w:p>
    <w:p w14:paraId="6EE881E4" w14:textId="77777777" w:rsidR="006A0C19" w:rsidRDefault="00000000">
      <w:r>
        <w:t>These measures promote the sense of community and social responsibility of employees, strengthen the feeling of belonging to the Bank and contribute positively to a corporate culture in which social responsibility and commitment are recognised.</w:t>
      </w:r>
    </w:p>
    <w:p w14:paraId="68CBF286" w14:textId="77777777" w:rsidR="006A0C19" w:rsidRDefault="00000000">
      <w:r>
        <w:t>These measures ensure long-term employment security and promote employees trust and loyalty to the bank, which ultimately contributes to a stable and motivating working environment.</w:t>
      </w:r>
    </w:p>
    <w:p w14:paraId="7323F1B1" w14:textId="77777777" w:rsidR="006A0C19" w:rsidRDefault="00000000">
      <w:r>
        <w:t>The implementation of diversity management at NORDLB is driven by the Community of Diversity in all dimensions along the Charter of Diversity of Companies in Germany.</w:t>
      </w:r>
    </w:p>
    <w:p w14:paraId="44FC0C89" w14:textId="77777777" w:rsidR="006A0C19" w:rsidRDefault="00000000">
      <w:r>
        <w:t>Existing gender inequalities could reduce employee confidence and satisfaction, reduce potential applications, and thus affect the Companys competitiveness in the labour market.</w:t>
      </w:r>
    </w:p>
    <w:p w14:paraId="1479B991" w14:textId="77777777" w:rsidR="006A0C19" w:rsidRDefault="00000000">
      <w:r>
        <w:t>Targeted investments in professional development strengthen the competence and performance of the workforce, leading to greater efficiency, innovation and quality of the services provided.</w:t>
      </w:r>
    </w:p>
    <w:p w14:paraId="1CD0A254" w14:textId="77777777" w:rsidR="006A0C19" w:rsidRDefault="00000000">
      <w:r>
        <w:t>NORDLB has therefore set up protective mechanisms for whistleblowers to mitigate fraud cases and promote transparency.</w:t>
      </w:r>
    </w:p>
    <w:p w14:paraId="0AF04244" w14:textId="77777777" w:rsidR="006A0C19" w:rsidRDefault="00000000">
      <w:r>
        <w:t>In addition, a strong reputation in terms of integrity and transparency can increase the banks competitiveness and strengthen its market position.</w:t>
      </w:r>
    </w:p>
    <w:p w14:paraId="3E2AE4B3" w14:textId="77777777" w:rsidR="006A0C19" w:rsidRDefault="00000000">
      <w:r>
        <w:lastRenderedPageBreak/>
        <w:t>In this respect, NORDLB fulfils its tax obligations to the tax authorities under national or international tax laws and has implemented a corresponding tax compliance management system.</w:t>
      </w:r>
    </w:p>
    <w:p w14:paraId="0E947123" w14:textId="77777777" w:rsidR="006A0C19" w:rsidRDefault="00000000">
      <w:r>
        <w:t>The risk inventory covers environmental including climate and biodiversity aspects, social and governance risks and relates to the portfolio as well as the Bank's own business activities according to the respective risk type.</w:t>
      </w:r>
    </w:p>
    <w:p w14:paraId="6FC4F17A" w14:textId="77777777" w:rsidR="006A0C19" w:rsidRDefault="00000000">
      <w:r>
        <w:t>These developments can significantly reduce economic activity and jobs in the affected areas.</w:t>
      </w:r>
    </w:p>
    <w:p w14:paraId="7170C423" w14:textId="77777777" w:rsidR="006A0C19" w:rsidRDefault="00000000">
      <w:r>
        <w:t>Climatic stress test, NORDLBs climate stress test takes into account regulatory requirements of the ECB and other supervisory authorities to ensure the integration of physical and transitory climate and environmental risks.</w:t>
      </w:r>
    </w:p>
    <w:p w14:paraId="0E21656F" w14:textId="77777777" w:rsidR="006A0C19" w:rsidRDefault="00000000">
      <w:r>
        <w:t>The climate stress test includes the implementation of scenarios and sensitivity analyses to test the resilience of NORDLBs business activities to climate and environmental risks, taking into account both short-term 1-5 years and longterm projections &gt;10 years.</w:t>
      </w:r>
    </w:p>
    <w:p w14:paraId="323D0A66" w14:textId="77777777" w:rsidR="006A0C19" w:rsidRDefault="00000000">
      <w:r>
        <w:t>The results of the climate stress test are integrated into the risk inventory and are incorporated into strategic planning and risk management.</w:t>
      </w:r>
    </w:p>
    <w:p w14:paraId="6AC4B1EF" w14:textId="77777777" w:rsidR="006A0C19" w:rsidRDefault="00000000">
      <w:r>
        <w:t>In the reporting year, there was no evidence that NORDLB is carrying out activities with adverse impacts in areas with biodiversity in need of protection.</w:t>
      </w:r>
    </w:p>
    <w:p w14:paraId="16EB1796" w14:textId="77777777" w:rsidR="006A0C19" w:rsidRDefault="00000000">
      <w:r>
        <w:t>Based on the strategy and business model as financial service provider, NORDLBs employees mainly carry out advisory, financial and banking support activities.</w:t>
      </w:r>
    </w:p>
    <w:p w14:paraId="53F48F69" w14:textId="77777777" w:rsidR="006A0C19" w:rsidRDefault="00000000">
      <w:r>
        <w:t>With a view to a high quality of advice in the provision of financial services and the rapid change of technologies in the supporting processes, the business model has an impact on the workforce in the form of an ongoing need for qualified specialists, which must be met via the external labour market and through the systematic training and development of employees.</w:t>
      </w:r>
    </w:p>
    <w:p w14:paraId="682E98A4" w14:textId="77777777" w:rsidR="006A0C19" w:rsidRDefault="00000000">
      <w:r>
        <w:t>In addition, the focus of NORDLBs business model on the aspect of sustainability has a positive impact on the workforce, as meaningful activity is an important factor for many potential employees when choosing an employer.</w:t>
      </w:r>
    </w:p>
    <w:p w14:paraId="5EA2C230" w14:textId="77777777" w:rsidR="006A0C19" w:rsidRDefault="00000000">
      <w:r>
        <w:t>Anchoring NORDLBs social responsibility towards employees and society in the ESG strategy, which in particular includes supporting employee social responsibility and promoting diversity, inclusion and equal treatment, contributes positively to employee retention.</w:t>
      </w:r>
    </w:p>
    <w:p w14:paraId="250099E2" w14:textId="77777777" w:rsidR="006A0C19" w:rsidRDefault="00000000">
      <w:r>
        <w:t>The actual and potential impacts relate to attracting, retaining and promoting the ability of employees to contribute to the successful implementation of the strategy and business model.</w:t>
      </w:r>
    </w:p>
    <w:p w14:paraId="231C42E7" w14:textId="77777777" w:rsidR="006A0C19" w:rsidRDefault="00000000">
      <w:r>
        <w:lastRenderedPageBreak/>
        <w:t>The HR strategy derived from the business strategy addresses key HR action areas relating to the identified impacts such as the increasing competitive situation in the labour market, the design of a stable and motivating working environment and the promotion of systematic diversity management and supports these with appropriate measures.</w:t>
      </w:r>
    </w:p>
    <w:p w14:paraId="0E3F5C8E" w14:textId="77777777" w:rsidR="006A0C19" w:rsidRDefault="00000000">
      <w:r>
        <w:t>The aim of the interplay between the strategy and business model and the identified impacts, risks and opportunities is to ensure they are appropriately countered through integrated, employee-oriented HR work.</w:t>
      </w:r>
    </w:p>
    <w:p w14:paraId="2FCE75C0" w14:textId="77777777" w:rsidR="006A0C19" w:rsidRDefault="00000000">
      <w:r>
        <w:t>NORDLB is addressing this risk with targeted measures such as the further development of employer branding and recruitment see also S1-4.</w:t>
      </w:r>
    </w:p>
    <w:p w14:paraId="1E880924" w14:textId="77777777" w:rsidR="006A0C19" w:rsidRDefault="00000000">
      <w:r>
        <w:t>To continuously empower employees, NORDLB provides systematic learning management with training and development opportunities for managers and employees.</w:t>
      </w:r>
    </w:p>
    <w:p w14:paraId="63D35B01" w14:textId="77777777" w:rsidR="006A0C19" w:rsidRDefault="00000000">
      <w:r>
        <w:t>To maintain health and strengthen work performance productivity, NORDLB offers comprehensive measures as part of occupational health management, which includes an occupational health service, personal health services, company sports groups and counselling services for employees and managers.</w:t>
      </w:r>
    </w:p>
    <w:p w14:paraId="3E5726A8" w14:textId="77777777" w:rsidR="006A0C19" w:rsidRDefault="00000000">
      <w:r>
        <w:t>With regard to the working environment and corporate culture, NORDLB offers a wide range of social activities and implements systematic diversity management.</w:t>
      </w:r>
    </w:p>
    <w:p w14:paraId="3072C716" w14:textId="77777777" w:rsidR="006A0C19" w:rsidRDefault="00000000">
      <w:r>
        <w:t>The purpose of the Community of Diversity is to help promote tolerance, fairness and appreciation in the workplace.</w:t>
      </w:r>
    </w:p>
    <w:p w14:paraId="3E4C587B" w14:textId="77777777" w:rsidR="006A0C19" w:rsidRDefault="00000000">
      <w:r>
        <w:t>They are identified based on the following criteria, Divisions affected by the impacts, risks andor opportunities of the respective sustainability aspects Knowledge of specific sustainability aspects In order to determine the perspective of other users of NORDLBs sustainability reporting and its material sustainability aspects, external stakeholders were involved based on the following criteria, Use of NORDLBs Sustainability Report Affected by the impacts of the Bank or close connection with the Bank Very good knowledge of NORDLBs business model Expertise in sustainability As part of the CSRD reporting, the relevant internal and external stakeholders for the materiality analysis were identified.</w:t>
      </w:r>
    </w:p>
    <w:p w14:paraId="11EB3716" w14:textId="77777777" w:rsidR="006A0C19" w:rsidRDefault="00000000">
      <w:r>
        <w:t>Expert interviews on materiality assessment were agreed and carried out with external stakeholders, and standard-specific workshops were held with the identified internal stakeholders in order to ensure that the assessment forms were subsequently answered independently.</w:t>
      </w:r>
    </w:p>
    <w:p w14:paraId="07ACF6A6" w14:textId="77777777" w:rsidR="006A0C19" w:rsidRDefault="00000000">
      <w:r>
        <w:t>In addition to the sustainability aspects from the ESRS, the analysis also examined the non-financial report, the sustainability report and internal documents of NORDLB, such as the ESG strategy, the risk inventory and the Code of Conduct.</w:t>
      </w:r>
    </w:p>
    <w:p w14:paraId="117F05DD" w14:textId="77777777" w:rsidR="006A0C19" w:rsidRDefault="00000000">
      <w:r>
        <w:t>Sustainability standards such as the Task Force on Climate-Related Financial Disclosures , Task Force on Nature-Related Financial Disclosures and Sustainable Finance Disclosure Regulation are also taken into account in the questionnaire.</w:t>
      </w:r>
    </w:p>
    <w:p w14:paraId="5110B4AB" w14:textId="77777777" w:rsidR="006A0C19" w:rsidRDefault="00000000">
      <w:r>
        <w:lastRenderedPageBreak/>
        <w:t>The objective of the questionnaire is to, Identify material sustainability aspects for NORDLBs business model Evaluate the identified sustainability aspects with regard to financial materiality Evaluate the impacts of sustainability aspects by means of severity and probability of occurrence For the implementation and decision-making of the materiality assessment, an initial assessment of the relevance of all ESRS for NORDLB is obtained from all interviewed internal stakeholders.</w:t>
      </w:r>
    </w:p>
    <w:p w14:paraId="08EFE59B" w14:textId="77777777" w:rsidR="006A0C19" w:rsidRDefault="00000000">
      <w:r>
        <w:t>In this regard, risk management and corporate development are involved in particular due to their expertise in this area.</w:t>
      </w:r>
    </w:p>
    <w:p w14:paraId="76482AD8" w14:textId="77777777" w:rsidR="006A0C19" w:rsidRDefault="00000000">
      <w:r>
        <w:t>A description of the integration of sustainability risks into the risk inventory is described in SBM-3 48 d e.</w:t>
      </w:r>
    </w:p>
    <w:p w14:paraId="49A0A1DF" w14:textId="77777777" w:rsidR="006A0C19" w:rsidRDefault="00000000">
      <w:r>
        <w:t>As the materiality analysis in accordance with ESRS did not reveal any additional new findings in the 2024 reporting year, a standard return to risk management process has not been implemented at this time.</w:t>
      </w:r>
    </w:p>
    <w:p w14:paraId="326EB62A" w14:textId="77777777" w:rsidR="006A0C19" w:rsidRDefault="00000000">
      <w:r>
        <w:t>This makes it possible to determine NORDLBs impact on biodiversity due to its business activities and locations.</w:t>
      </w:r>
    </w:p>
    <w:p w14:paraId="5C4F2E0A" w14:textId="77777777" w:rsidR="006A0C19" w:rsidRDefault="00000000">
      <w:r>
        <w:t>Added to this, the S-ESG score from the company Sparkassen Rating und Risikosysteme GmbH takes into account CO₂ emissions, water use, taxes for environmentally harmful activities, and a qualitative assessment of the physical and transitory environmental risks in the retail process.</w:t>
      </w:r>
    </w:p>
    <w:p w14:paraId="64A62C18" w14:textId="77777777" w:rsidR="006A0C19" w:rsidRDefault="00000000">
      <w:r>
        <w:t>IRO-1 20, The NORDLB Group aims to reduce CO2 emissions in the loan portfolio financed by the Bank.</w:t>
      </w:r>
    </w:p>
    <w:p w14:paraId="55F6753A" w14:textId="77777777" w:rsidR="006A0C19" w:rsidRDefault="00000000">
      <w:r>
        <w:t>In order to reduce the amount of CO2e emissions financed by the Bank, it successively looks at individual economic sectors and develops sector-related decarbonisation strategies.</w:t>
      </w:r>
    </w:p>
    <w:p w14:paraId="6AFC0A1C" w14:textId="77777777" w:rsidR="006A0C19" w:rsidRDefault="00000000">
      <w:r>
        <w:t>The NORDLB Group has developed a comprehensive action plan to achieve the decarbonisation targets it has set itself.</w:t>
      </w:r>
    </w:p>
    <w:p w14:paraId="621CBE6B" w14:textId="77777777" w:rsidR="006A0C19" w:rsidRDefault="00000000">
      <w:r>
        <w:t>This plan includes both cross-sectoral and sector-specific measures aimed at reducing CO2e emissions in the individual economic sectors.</w:t>
      </w:r>
    </w:p>
    <w:p w14:paraId="03C1FE71" w14:textId="77777777" w:rsidR="006A0C19" w:rsidRDefault="00000000">
      <w:r>
        <w:t>Through this holistic approach, NORDLB aims not only to reduce its own emissions, but also to promote sustainable business practices and thus contribute to a climate-friendly future.</w:t>
      </w:r>
    </w:p>
    <w:p w14:paraId="444AFA49" w14:textId="77777777" w:rsidR="006A0C19" w:rsidRDefault="00000000">
      <w:r>
        <w:t>If it is the result of gradual changes e.</w:t>
      </w:r>
    </w:p>
    <w:p w14:paraId="0B709611" w14:textId="77777777" w:rsidR="006A0C19" w:rsidRDefault="00000000">
      <w:r>
        <w:t>Rising temperatures, rising sea levels, loss of biodiversity, land use change, habitat destruction and resource scarcity, it is classified as chronic.</w:t>
      </w:r>
    </w:p>
    <w:p w14:paraId="7939D1F4" w14:textId="77777777" w:rsidR="006A0C19" w:rsidRDefault="00000000">
      <w:r>
        <w:t>Climate stress testing also takes into account scenarios with an increase in the global average temperature of around 4.</w:t>
      </w:r>
    </w:p>
    <w:p w14:paraId="3A387E4B" w14:textId="77777777" w:rsidR="006A0C19" w:rsidRDefault="00000000">
      <w:r>
        <w:lastRenderedPageBreak/>
        <w:t>The analysis of the effect of physical climate and environmental risks is also completed with the help of KRIs and via the semi-annual Capital Requirements Regulation disclosure for acute and chronic physical risks.</w:t>
      </w:r>
    </w:p>
    <w:p w14:paraId="2451D871" w14:textId="77777777" w:rsidR="006A0C19" w:rsidRDefault="00000000">
      <w:r>
        <w:t>The impact of individual sectors on climate and environmental risks is determined by using scientific sources and measuring or estimating greenhouse gas emissions through the Banks own CO2 accounting.</w:t>
      </w:r>
    </w:p>
    <w:p w14:paraId="72E92EAE" w14:textId="77777777" w:rsidR="006A0C19" w:rsidRDefault="00000000">
      <w:r>
        <w:t>The NORDLB Group regards transition risk as financial losses that institutions may incur directly or indirectly as a result of the adjustment process towards a lower-carbon and more environmentally sustainable economy.</w:t>
      </w:r>
    </w:p>
    <w:p w14:paraId="76B0BBEC" w14:textId="77777777" w:rsidR="006A0C19" w:rsidRDefault="00000000">
      <w:r>
        <w:t>This risk could arise, for example, due to sudden climate and environmental policy measures, technological progress or changes in market sentiment and preferences.</w:t>
      </w:r>
    </w:p>
    <w:p w14:paraId="75265088" w14:textId="77777777" w:rsidR="006A0C19" w:rsidRDefault="00000000">
      <w:r>
        <w:t>The NGFS scenarios have been created to provide a common starting point for analysing the impact of climate risks on the economy and financial system and are continually being developed.</w:t>
      </w:r>
    </w:p>
    <w:p w14:paraId="59EC5EBA" w14:textId="77777777" w:rsidR="006A0C19" w:rsidRDefault="00000000">
      <w:r>
        <w:t>They show a number of possible future scenarios depending on how climate change physical risk, transition policy, technological developments and changes in preferences transitory risk develop.</w:t>
      </w:r>
    </w:p>
    <w:p w14:paraId="5BFAE002" w14:textId="77777777" w:rsidR="006A0C19" w:rsidRDefault="00000000">
      <w:r>
        <w:t>Priority scores scale 1 high priority to 100 no priority were developed, taking into account global areas with regard to their contribution to the achievement of species protection and climate objectives.</w:t>
      </w:r>
    </w:p>
    <w:p w14:paraId="42708FC8" w14:textId="77777777" w:rsidR="006A0C19" w:rsidRDefault="00000000">
      <w:r>
        <w:t>For this purpose, the following evaluation criteria were included, utilities, regulatory or support services, cultural services, ecosystem use, pollution, use of resources and other disturbances e.</w:t>
      </w:r>
    </w:p>
    <w:p w14:paraId="7348CA70" w14:textId="77777777" w:rsidR="006A0C19" w:rsidRDefault="00000000">
      <w:r>
        <w:t>Noise, odour and light.</w:t>
      </w:r>
    </w:p>
    <w:p w14:paraId="4A8B2246" w14:textId="77777777" w:rsidR="006A0C19" w:rsidRDefault="00000000">
      <w:r>
        <w:t>For this purpose, the following evaluation criteria were included, utilities, regulatory or support services, cultural services, ecosystem use, pollution, use of resources and other disturbances e.</w:t>
      </w:r>
    </w:p>
    <w:p w14:paraId="56AEAD5F" w14:textId="77777777" w:rsidR="006A0C19" w:rsidRDefault="00000000">
      <w:r>
        <w:t>Noise, odour and light.</w:t>
      </w:r>
    </w:p>
    <w:p w14:paraId="063DFC78" w14:textId="77777777" w:rsidR="006A0C19" w:rsidRDefault="00000000">
      <w:r>
        <w:t>According to WWF Risk Filter, on account of its activity as a financial institution, there are no activities carried out at NORDLBs locations in or close to areas with biodiversity in need of protection that have an adverse impact on these areas.</w:t>
      </w:r>
    </w:p>
    <w:p w14:paraId="130B2ABD" w14:textId="77777777" w:rsidR="006A0C19" w:rsidRDefault="00000000">
      <w:r>
        <w:t>They were taken into account in the implementation planning to ensure compliance with regulatory requirements.</w:t>
      </w:r>
    </w:p>
    <w:p w14:paraId="2E734F68" w14:textId="77777777" w:rsidR="006A0C19" w:rsidRDefault="00000000">
      <w:r>
        <w:t>Both are described in more detail under IRO1 53 a, b and c.</w:t>
      </w:r>
    </w:p>
    <w:p w14:paraId="18BA0BD8" w14:textId="77777777" w:rsidR="006A0C19" w:rsidRDefault="00000000">
      <w:r>
        <w:lastRenderedPageBreak/>
        <w:t>Strategy ESRS E1 E1-1 17, NORDLB plans to adopt and publish a transition plan by 2030 in line with the development of intermediate targets.</w:t>
      </w:r>
    </w:p>
    <w:p w14:paraId="346526C0" w14:textId="77777777" w:rsidR="006A0C19" w:rsidRDefault="00000000">
      <w:r>
        <w:t>As part of this transformation process, NORDLB has developed an ESG strategy that promotes long-term sustainability and contributes to achieving the climate goals.</w:t>
      </w:r>
    </w:p>
    <w:p w14:paraId="278C5FF4" w14:textId="77777777" w:rsidR="006A0C19" w:rsidRDefault="00000000">
      <w:r>
        <w:t>These concepts define the scope of climate-related initiatives and risk assessments and are described in more detail in Tables 1 to 5.</w:t>
      </w:r>
    </w:p>
    <w:p w14:paraId="4F49E310" w14:textId="77777777" w:rsidR="006A0C19" w:rsidRDefault="00000000">
      <w:r>
        <w:t>, Minimum disclosure requirement MDR-P, Policies for dealing with material sustainability aspects Banking business policy Risk strategy Main content, objectives and reference to material impacts, risks and opportunities Core content The risk strategy includes the allocation of risk capital to material risk types, which are determined by a business area risk type matrix and associated risk substrategies.</w:t>
      </w:r>
    </w:p>
    <w:p w14:paraId="6098CB54" w14:textId="77777777" w:rsidR="006A0C19" w:rsidRDefault="00000000">
      <w:r>
        <w:t>At the same time, selected profitability indicators and climate-related key risk indicators are included in the risk-strategic objectives.</w:t>
      </w:r>
    </w:p>
    <w:p w14:paraId="60BD52A5" w14:textId="77777777" w:rsidR="006A0C19" w:rsidRDefault="00000000">
      <w:r>
        <w:t>The risk strategy is part of NORDLBs business strategy process, which takes into account internal and external influencing factors for the strategic business segments, including specific environmental factors such as climate change.</w:t>
      </w:r>
    </w:p>
    <w:p w14:paraId="5A186AD1" w14:textId="77777777" w:rsidR="006A0C19" w:rsidRDefault="00000000">
      <w:r>
        <w:t>The risk strategy describes the risk-bearing capacity concept, risk governance, risk understanding, risk culture and the organisation of risk management.</w:t>
      </w:r>
    </w:p>
    <w:p w14:paraId="75C6BCD3" w14:textId="77777777" w:rsidR="006A0C19" w:rsidRDefault="00000000">
      <w:r>
        <w:t>Provision for potentially affected stakeholders and stakeholders whose help is required in the implementation NORDLB does not publish its risk strategy externally.</w:t>
      </w:r>
    </w:p>
    <w:p w14:paraId="6446CFE1" w14:textId="77777777" w:rsidR="006A0C19" w:rsidRDefault="00000000">
      <w:r>
        <w:t>At the same time, selected profitability indicators and climate-related key risk indicators are included in the risk-strategic objectives.</w:t>
      </w:r>
    </w:p>
    <w:p w14:paraId="0BA1D3DE" w14:textId="77777777" w:rsidR="006A0C19" w:rsidRDefault="00000000">
      <w:r>
        <w:t>The risk strategy is part of NORDLBs business strategy process, which takes into account internal and external influencing factors for the strategic business segments, including specific environmental factors such as climate change.</w:t>
      </w:r>
    </w:p>
    <w:p w14:paraId="5A49990E" w14:textId="77777777" w:rsidR="006A0C19" w:rsidRDefault="00000000">
      <w:r>
        <w:t>The risk strategy describes the risk-bearing capacity concept, risk governance, risk understanding, risk culture and the organisation of risk management.</w:t>
      </w:r>
    </w:p>
    <w:p w14:paraId="54818AC5" w14:textId="77777777" w:rsidR="006A0C19" w:rsidRDefault="00000000">
      <w:r>
        <w:t>Provision for potentially affected stakeholders and stakeholders whose help is required in the implementation NORDLB does not publish its risk strategy externally.</w:t>
      </w:r>
    </w:p>
    <w:p w14:paraId="08B59BDC" w14:textId="77777777" w:rsidR="006A0C19" w:rsidRDefault="00000000">
      <w:r>
        <w:t>Sustainable investments are considered not only from an environmental and social perspective, but also in terms of their impact on long-term financial stability.</w:t>
      </w:r>
    </w:p>
    <w:p w14:paraId="3A28F6CD" w14:textId="77777777" w:rsidR="006A0C19" w:rsidRDefault="00000000">
      <w:r>
        <w:t>NORDLBs ESG strategy reflects this based on clearly defined objectives, principles, responsibilities and actions in order to comprehensively integrate sustainability aspects into all business areas.</w:t>
      </w:r>
    </w:p>
    <w:p w14:paraId="5090F2EF" w14:textId="77777777" w:rsidR="006A0C19" w:rsidRDefault="00000000">
      <w:r>
        <w:lastRenderedPageBreak/>
        <w:t>All decisions follow four central management principles, Stakeholder orientation, responsibility, integrity and transparency.</w:t>
      </w:r>
    </w:p>
    <w:p w14:paraId="63C49A35" w14:textId="77777777" w:rsidR="006A0C19" w:rsidRDefault="00000000">
      <w:r>
        <w:t>A key objective of the strategy is to decarbonise the financing portfolio, in particular by reducing CO₂ emissions and supporting the 1.</w:t>
      </w:r>
    </w:p>
    <w:p w14:paraId="085CC5DD" w14:textId="77777777" w:rsidR="006A0C19" w:rsidRDefault="00000000">
      <w:r>
        <w:t>ESG risks are actively integrated into the risk management process and business strategy.</w:t>
      </w:r>
    </w:p>
    <w:p w14:paraId="6A1F6442" w14:textId="77777777" w:rsidR="006A0C19" w:rsidRDefault="00000000">
      <w:r>
        <w:t>See E1-3 Progress is monitored against measurable targets, including the reduction of emission intensity in the energy sector and in the residential real estate sector see E1-4 in connection with E1-6.</w:t>
      </w:r>
    </w:p>
    <w:p w14:paraId="515621ED" w14:textId="77777777" w:rsidR="006A0C19" w:rsidRDefault="00000000">
      <w:r>
        <w:t>Strategically relevant ESG key figures are reported and commented on via the Banks internal sustainability management reporting implemented by the ESG strategy.</w:t>
      </w:r>
    </w:p>
    <w:p w14:paraId="706054CA" w14:textId="77777777" w:rsidR="006A0C19" w:rsidRDefault="00000000">
      <w:r>
        <w:t>General objectives The aim of the ESG strategy is to define the strategic framework for the Banks Environmental, Social &amp; Governance issues.</w:t>
      </w:r>
    </w:p>
    <w:p w14:paraId="3AA1C577" w14:textId="77777777" w:rsidR="006A0C19" w:rsidRDefault="00000000">
      <w:r>
        <w:t>Monitoring process As part of the annual ESG strategy process, the strategic business segments develop and review their ESG strategic orientation, taking into account the requirements set by the Managing Board for the targeted allocation of resources as well as internal and external influencing factors.</w:t>
      </w:r>
    </w:p>
    <w:p w14:paraId="6B213846" w14:textId="77777777" w:rsidR="006A0C19" w:rsidRDefault="00000000">
      <w:r>
        <w:t>Responsibility for top-level implementation The Managing Board is responsible for implementing NORDLBs ESG strategy.</w:t>
      </w:r>
    </w:p>
    <w:p w14:paraId="7478D1A8" w14:textId="77777777" w:rsidR="006A0C19" w:rsidRDefault="00000000">
      <w:r>
        <w:t>Provision for potentially affected stakeholders and stakeholders whose help is required in the implementation As part of the annual strategy process, a comprehensive ESG strategy was developed in 2023 and included in NORDLBs strategy compendium.</w:t>
      </w:r>
    </w:p>
    <w:p w14:paraId="5A102060" w14:textId="77777777" w:rsidR="006A0C19" w:rsidRDefault="00000000">
      <w:r>
        <w:t>Banking business policy ESG strategy Main content, objectives and reference to material impacts, risks and opportunities Core content Due to regulatory requirements, changing competitive conditions and creating transparency, ESG criteria are playing an increasingly important role.</w:t>
      </w:r>
    </w:p>
    <w:p w14:paraId="37B6F6F1" w14:textId="77777777" w:rsidR="006A0C19" w:rsidRDefault="00000000">
      <w:r>
        <w:t>Sustainable investments are considered not only from an environmental and social perspective, but also in terms of their impact on long-term financial stability.</w:t>
      </w:r>
    </w:p>
    <w:p w14:paraId="012C3CE4" w14:textId="77777777" w:rsidR="006A0C19" w:rsidRDefault="00000000">
      <w:r>
        <w:t>NORDLBs ESG strategy reflects this based on clearly defined objectives, principles, responsibilities and actions in order to comprehensively integrate sustainability aspects into all business areas.</w:t>
      </w:r>
    </w:p>
    <w:p w14:paraId="1928B94B" w14:textId="77777777" w:rsidR="006A0C19" w:rsidRDefault="00000000">
      <w:r>
        <w:t>All decisions follow four central management principles, Stakeholder orientation, responsibility, integrity and transparency.</w:t>
      </w:r>
    </w:p>
    <w:p w14:paraId="4A592A25" w14:textId="77777777" w:rsidR="006A0C19" w:rsidRDefault="00000000">
      <w:r>
        <w:t>A key objective of the strategy is to decarbonise the financing portfolio, in particular by reducing CO₂ emissions and supporting the 1.</w:t>
      </w:r>
    </w:p>
    <w:p w14:paraId="59B29FC0" w14:textId="77777777" w:rsidR="006A0C19" w:rsidRDefault="00000000">
      <w:r>
        <w:lastRenderedPageBreak/>
        <w:t>ESG risks are actively integrated into the risk management process and business strategy.</w:t>
      </w:r>
    </w:p>
    <w:p w14:paraId="34A763DD" w14:textId="77777777" w:rsidR="006A0C19" w:rsidRDefault="00000000">
      <w:r>
        <w:t>See E1-3 Progress is monitored against measurable targets, including the reduction of emission intensity in the energy sector and in the residential real estate sector see E1-4 in connection with E1-6.</w:t>
      </w:r>
    </w:p>
    <w:p w14:paraId="14AEEA55" w14:textId="77777777" w:rsidR="006A0C19" w:rsidRDefault="00000000">
      <w:r>
        <w:t>Strategically relevant ESG key figures are reported and commented on via the Banks internal sustainability management reporting implemented by the ESG strategy.</w:t>
      </w:r>
    </w:p>
    <w:p w14:paraId="15607894" w14:textId="77777777" w:rsidR="006A0C19" w:rsidRDefault="00000000">
      <w:r>
        <w:t>General objectives The aim of the ESG strategy is to define the strategic framework for the Banks Environmental, Social &amp; Governance issues.</w:t>
      </w:r>
    </w:p>
    <w:p w14:paraId="30FE73FF" w14:textId="77777777" w:rsidR="006A0C19" w:rsidRDefault="00000000">
      <w:r>
        <w:t>Monitoring process As part of the annual ESG strategy process, the strategic business segments develop and review their ESG strategic orientation, taking into account the requirements set by the Managing Board for the targeted allocation of resources as well as internal and external influencing factors.</w:t>
      </w:r>
    </w:p>
    <w:p w14:paraId="2CB4DA40" w14:textId="77777777" w:rsidR="006A0C19" w:rsidRDefault="00000000">
      <w:r>
        <w:t>Responsibility for top-level implementation The Managing Board is responsible for implementing NORDLBs ESG strategy.</w:t>
      </w:r>
    </w:p>
    <w:p w14:paraId="31259035" w14:textId="77777777" w:rsidR="006A0C19" w:rsidRDefault="00000000">
      <w:r>
        <w:t>Provision for potentially affected stakeholders and stakeholders whose help is required in the implementation As part of the annual strategy process, a comprehensive ESG strategy was developed in 2023 and included in NORDLBs strategy compendium.</w:t>
      </w:r>
    </w:p>
    <w:p w14:paraId="091A1B9F" w14:textId="77777777" w:rsidR="006A0C19" w:rsidRDefault="00000000">
      <w:r>
        <w:t>The transformation guidelines expect business partners to adhere to internationally recognised standards and promote cooperation with partners who demonstrate a high level of governance and responsibility.</w:t>
      </w:r>
    </w:p>
    <w:p w14:paraId="49A2587C" w14:textId="77777777" w:rsidR="006A0C19" w:rsidRDefault="00000000">
      <w:r>
        <w:t>Responsibility for top-level implementation The AöR Managing Board is responsible for updating NORDLBs transformation guidelines.</w:t>
      </w:r>
    </w:p>
    <w:p w14:paraId="74296FF3" w14:textId="77777777" w:rsidR="006A0C19" w:rsidRDefault="00000000">
      <w:r>
        <w:t>Provision for potentially affected stakeholders and stakeholders whose help is required in the implementation The transformation guidelines will be published on the NORDLB website as of 1 January 2025 to ensure transparency and support implementation.</w:t>
      </w:r>
    </w:p>
    <w:p w14:paraId="74B8B47C" w14:textId="77777777" w:rsidR="006A0C19" w:rsidRDefault="00000000">
      <w:r>
        <w:t>It supports the Banks strategy and commitment to sustainability and aims to promote the EUs environmental objectives and climate change mitigation in particular.</w:t>
      </w:r>
    </w:p>
    <w:p w14:paraId="6CF0F8F2" w14:textId="77777777" w:rsidR="006A0C19" w:rsidRDefault="00000000">
      <w:r>
        <w:t>General objectives The main objectives include supporting the energy transition through investments in renewable energy and energy-efficient buildings.</w:t>
      </w:r>
    </w:p>
    <w:p w14:paraId="738B5E83" w14:textId="77777777" w:rsidR="006A0C19" w:rsidRDefault="00000000">
      <w:r>
        <w:t>External audits are conducted to ensure compliance with market standards for green bonds.</w:t>
      </w:r>
    </w:p>
    <w:p w14:paraId="44B5B882" w14:textId="77777777" w:rsidR="006A0C19" w:rsidRDefault="00000000">
      <w:r>
        <w:t>Consideration of the interests of key stakeholders The update to the Green Bond Framework in 2024 was primarily due to changes in the vdp standards for the issue of Grünen Pfandbriefen.</w:t>
      </w:r>
    </w:p>
    <w:p w14:paraId="0A7422E1" w14:textId="77777777" w:rsidR="006A0C19" w:rsidRDefault="00000000">
      <w:r>
        <w:lastRenderedPageBreak/>
        <w:t>The Bank's specialist department responsible carried out the relevant changes to the GBF without involving external stakeholders.</w:t>
      </w:r>
    </w:p>
    <w:p w14:paraId="246AC870" w14:textId="77777777" w:rsidR="006A0C19" w:rsidRDefault="00000000">
      <w:r>
        <w:t>Provision for potentially affected stakeholders and stakeholders whose help is required in the implementation The reporting consists of allocation and impact reporting, which is made publicly available to investors.</w:t>
      </w:r>
    </w:p>
    <w:p w14:paraId="2F983B18" w14:textId="77777777" w:rsidR="006A0C19" w:rsidRDefault="00000000">
      <w:r>
        <w:t>General objectives The central objective of NORDLBs Sustainable Loan Framework is compliance with the ESG strategy and the targeted promotion of sustainable financing.</w:t>
      </w:r>
    </w:p>
    <w:p w14:paraId="7E1FC95A" w14:textId="77777777" w:rsidR="006A0C19" w:rsidRDefault="00000000">
      <w:r>
        <w:t>Monitoring process The Sustainable Loan Framework is updated as required and approved by the Managing Board.</w:t>
      </w:r>
    </w:p>
    <w:p w14:paraId="247C8665" w14:textId="77777777" w:rsidR="006A0C19" w:rsidRDefault="00000000">
      <w:r>
        <w:t>Responsibility for top-level implementation The Managing Board is responsible for updating NORDLBs SLF.</w:t>
      </w:r>
    </w:p>
    <w:p w14:paraId="583C9E8A" w14:textId="77777777" w:rsidR="006A0C19" w:rsidRDefault="00000000">
      <w:r>
        <w:t>Third-party standards or initiatives which the Bank undertakes to comply with In the SLF, NORDLB has defined its own eligibility criteria that contribute to achieving the goals of the Paris Agreement and the Sustainable Development Goals SDGs.</w:t>
      </w:r>
    </w:p>
    <w:p w14:paraId="289B09C6" w14:textId="77777777" w:rsidR="006A0C19" w:rsidRDefault="00000000">
      <w:r>
        <w:t>In 2024, NORDLB also started to develop a climate &amp; energy concept based on the significant impacts in banking operations, which sets out measurable goals for the future and presents suitable key figures and measures to quantify how the implementation of the concept is progressing.</w:t>
      </w:r>
    </w:p>
    <w:p w14:paraId="5ED2AB26" w14:textId="77777777" w:rsidR="006A0C19" w:rsidRDefault="00000000">
      <w:r>
        <w:t>In this context, it has also become a member of initiatives such as the Klima-Selbstverpflichtung des deutschen Finanzsektors voluntary commitment of the German financial sector to the climate and is guided, among other things, by the content underlying the initiatives when developing its ESG strategy.</w:t>
      </w:r>
    </w:p>
    <w:p w14:paraId="52FCAFD0" w14:textId="77777777" w:rsidR="006A0C19" w:rsidRDefault="00000000">
      <w:r>
        <w:t>NORDLB has based its ESG strategy on measures to adapt to climate change and takes into account regulatory requirements such as the ECB Guidelines on Climate and Environmental Risks.</w:t>
      </w:r>
    </w:p>
    <w:p w14:paraId="42F1A4B1" w14:textId="77777777" w:rsidR="006A0C19" w:rsidRDefault="00000000">
      <w:r>
        <w:t>In this context, NORDLB finances and evaluates investments in technologies that improve the energy efficiency of industrial operations, buildings and apartments.</w:t>
      </w:r>
    </w:p>
    <w:p w14:paraId="4B47E3E1" w14:textId="77777777" w:rsidR="006A0C19" w:rsidRDefault="00000000">
      <w:r>
        <w:t>As an ambition level, NORDLB initially set out to reduce its own Scope 1 and 2 emission values by three per cent of the respective previous years value.</w:t>
      </w:r>
    </w:p>
    <w:p w14:paraId="1FFE16D1" w14:textId="77777777" w:rsidR="006A0C19" w:rsidRDefault="00000000">
      <w:r>
        <w:t>Emission reductions in banking operations and banking business contribute positively to the achievement of the ESG strategic objectives see E1-4 for further information on the targets.</w:t>
      </w:r>
    </w:p>
    <w:p w14:paraId="71BE0EDD" w14:textId="77777777" w:rsidR="006A0C19" w:rsidRDefault="00000000">
      <w:r>
        <w:t>The basis for the development and implementation of effective and measurable measures is the quantification of GHG emissions and their systematic recording as part of the preparation of the NORDLB-specific greenhouse gas inventory cf.</w:t>
      </w:r>
    </w:p>
    <w:p w14:paraId="234D244E" w14:textId="77777777" w:rsidR="006A0C19" w:rsidRDefault="00000000">
      <w:r>
        <w:lastRenderedPageBreak/>
        <w:t>The data basis was converted to dual reporting in order to track and derive energy efficiency measures with regard to Scope 2 emissions.</w:t>
      </w:r>
    </w:p>
    <w:p w14:paraId="61768D17" w14:textId="77777777" w:rsidR="006A0C19" w:rsidRDefault="00000000">
      <w:r>
        <w:t>References to significant impacts, risks or opportunities Due to the resulting Scope 1 and 2 emission reduction, the measures make a positive contribution to the material impact on banking operations.</w:t>
      </w:r>
    </w:p>
    <w:p w14:paraId="1C0F9382" w14:textId="77777777" w:rsidR="006A0C19" w:rsidRDefault="00000000">
      <w:r>
        <w:t>Scope The scope of the measures described above focuses on the reduction of directly controllable Scope 1 and 2 emissions from banking operations.</w:t>
      </w:r>
    </w:p>
    <w:p w14:paraId="1C9AA823" w14:textId="77777777" w:rsidR="006A0C19" w:rsidRDefault="00000000">
      <w:r>
        <w:t>Quantitative and qualitative information on progress The ambition of the measures is to achieve a reduction in the Bank's own Scope 1 and 2 emissions.</w:t>
      </w:r>
    </w:p>
    <w:p w14:paraId="74310C3F" w14:textId="77777777" w:rsidR="006A0C19" w:rsidRDefault="00000000">
      <w:r>
        <w:t>Wherever possible, NORDLB aims to use publicly available data to determine targets and measure progress, as it makes a big difference to the data quality and validity of the decarbonisation targets.</w:t>
      </w:r>
    </w:p>
    <w:p w14:paraId="18AFBC4F" w14:textId="77777777" w:rsidR="006A0C19" w:rsidRDefault="00000000">
      <w:r>
        <w:t>NORDLB is therefore working also in cooperation with its business partners to increase the accuracy of emission data.</w:t>
      </w:r>
    </w:p>
    <w:p w14:paraId="28D7DA13" w14:textId="77777777" w:rsidR="006A0C19" w:rsidRDefault="00000000">
      <w:r>
        <w:t>It plans to achieve this through the following activity, among other things, Expansion of customer questionnaires for collecting sector-specific emissions data in the credit process, NORDLB has introduced sector-specific customer questionnaires for collecting ESG data for customers.</w:t>
      </w:r>
    </w:p>
    <w:p w14:paraId="7BD5C74B" w14:textId="77777777" w:rsidR="006A0C19" w:rsidRDefault="00000000">
      <w:r>
        <w:t>A more accurate database enables improved risk assessment at customer and sector level, which can identify climate-related risks more precisely, develop appropriate control measures and minimise potential financial losses.</w:t>
      </w:r>
    </w:p>
    <w:p w14:paraId="534B7185" w14:textId="77777777" w:rsidR="006A0C19" w:rsidRDefault="00000000">
      <w:r>
        <w:t>In addition, an improved data situation promotes significant positive impacts and opportunities in the areas of transformation financing and green funding by enabling ESG-optimised product development and targeted portfolio management.</w:t>
      </w:r>
    </w:p>
    <w:p w14:paraId="104EDD1A" w14:textId="77777777" w:rsidR="006A0C19" w:rsidRDefault="00000000">
      <w:r>
        <w:t>This contributes to the development of innovative financing offers in the field of climate and environment, where the Bank can actively support the decarbonisation of the economy.</w:t>
      </w:r>
    </w:p>
    <w:p w14:paraId="3C84E37F" w14:textId="77777777" w:rsidR="006A0C19" w:rsidRDefault="00000000">
      <w:r>
        <w:t>After all, higher data quality and thus more precise emissions data have a potential positive impact on customer and investor confidence, leading to greater transparency and traceability of sustainable financing decisions and enabling the Bank to underpin its position as a financier of sustainable projects.</w:t>
      </w:r>
    </w:p>
    <w:p w14:paraId="511849B1" w14:textId="77777777" w:rsidR="006A0C19" w:rsidRDefault="00000000">
      <w:r>
        <w:t>Time horizon Measures to improve the quality of emissions data are being taken on an ongoing basis.</w:t>
      </w:r>
    </w:p>
    <w:p w14:paraId="2BCFDAE0" w14:textId="77777777" w:rsidR="006A0C19" w:rsidRDefault="00000000">
      <w:r>
        <w:t xml:space="preserve">Expected and achieved greenhouse gas reduction This measure does not lead to direct greenhouse gas reductions, but has an indirect impact on this through improved </w:t>
      </w:r>
      <w:r>
        <w:lastRenderedPageBreak/>
        <w:t>controllability based on increased data quality, enabling NORDLB to develop measures in the future with a direct reduction effect on greenhouse gas emissions.</w:t>
      </w:r>
    </w:p>
    <w:p w14:paraId="600C9977" w14:textId="77777777" w:rsidR="006A0C19" w:rsidRDefault="00000000">
      <w:r>
        <w:t>Effective controllability makes it possible to set clear targets, monitor progress and make necessary adjustments to ensure that the set climate goals are achieved.</w:t>
      </w:r>
    </w:p>
    <w:p w14:paraId="5E685F1E" w14:textId="77777777" w:rsidR="006A0C19" w:rsidRDefault="00000000">
      <w:r>
        <w:t>NORDLB is working on the following approaches to increase its controllability, Development of ESG indicators for active portfolio management, In order to be able to manage its new business in the future within the sectors and in the overall view of the NORDLB financing portfolio, NORDLB plans to develop specific key figures to measure whether and to what extent planned new business activities affect the achievement of the sector-specific decarbonisation targets set.</w:t>
      </w:r>
    </w:p>
    <w:p w14:paraId="6515E986" w14:textId="77777777" w:rsidR="006A0C19" w:rsidRDefault="00000000">
      <w:r>
        <w:t>Establishment of a dashboard for creating transparency in customer business, NORDLB plans to establish a dashboard for all participants in customer business in order to create transparency of the status quo of emissions data development and, in particular, to measure progress with regard to achieving the decarbonisation targets.</w:t>
      </w:r>
    </w:p>
    <w:p w14:paraId="14AC9B8A" w14:textId="77777777" w:rsidR="006A0C19" w:rsidRDefault="00000000">
      <w:r>
        <w:t>By collecting and analysing relevant data more precisely, the ambitions and targets set in particular in connection with emission reduction targets can be systematically managed and stored with suitable key figures.</w:t>
      </w:r>
    </w:p>
    <w:p w14:paraId="3CD7B927" w14:textId="77777777" w:rsidR="006A0C19" w:rsidRDefault="00000000">
      <w:r>
        <w:t>Expected and achieved greenhouse gas reduction This measure does not lead to direct greenhouse gas reductions, but has an indirect impact on this through improved controllability based on increased data quality, enabling NORDLB to develop measures in the future with a direct reduction effect on greenhouse gas emissions.</w:t>
      </w:r>
    </w:p>
    <w:p w14:paraId="3AE6D39A" w14:textId="77777777" w:rsidR="006A0C19" w:rsidRDefault="00000000">
      <w:r>
        <w:t>NORDLBs approach to embedding ESG risks in credit risk management takes into account different approaches, To implement the transformation guidelines cf.</w:t>
      </w:r>
    </w:p>
    <w:p w14:paraId="44508AE5" w14:textId="77777777" w:rsidR="006A0C19" w:rsidRDefault="00000000">
      <w:r>
        <w:t>Expected and achieved greenhouse gas reduction This measure does not lead to direct greenhouse gas reductions, but has an indirect impact on this through improved controllability based on increased data quality, enabling NORDLB to develop measures in the future with a direct reduction effect on greenhouse gas emissions.</w:t>
      </w:r>
    </w:p>
    <w:p w14:paraId="60ED45C3" w14:textId="77777777" w:rsidR="006A0C19" w:rsidRDefault="00000000">
      <w:r>
        <w:t>In addition, measures to adapt to climate change, such as green infrastructure in the form of roof greening, have been implemented.</w:t>
      </w:r>
    </w:p>
    <w:p w14:paraId="099A2A20" w14:textId="77777777" w:rsidR="006A0C19" w:rsidRDefault="00000000">
      <w:r>
        <w:t>The measures in NORDLBs banking business are aimed at achieving its set emission reduction targets in the financing business and integrating climate risks into governance processes.</w:t>
      </w:r>
    </w:p>
    <w:p w14:paraId="7A4ED0C2" w14:textId="77777777" w:rsidR="006A0C19" w:rsidRDefault="00000000">
      <w:r>
        <w:t>No sector-specific measures regarding decarbonisation levers were decided for the 2024 financial year.</w:t>
      </w:r>
    </w:p>
    <w:p w14:paraId="3CAB9917" w14:textId="77777777" w:rsidR="006A0C19" w:rsidRDefault="00000000">
      <w:r>
        <w:t>Further information on NORDLBs decarbonisation levers can be found in E1-4 34 f.</w:t>
      </w:r>
    </w:p>
    <w:p w14:paraId="1E1CCF84" w14:textId="77777777" w:rsidR="006A0C19" w:rsidRDefault="00000000">
      <w:r>
        <w:lastRenderedPageBreak/>
        <w:t>29, i, With regard to the planned measures within the scope of NORDLBs business activities, capital expenditure CapEx and operating expenses OpEx do not represent significant key figures for reporting.</w:t>
      </w:r>
    </w:p>
    <w:p w14:paraId="5251AB5B" w14:textId="77777777" w:rsidR="006A0C19" w:rsidRDefault="00000000">
      <w:r>
        <w:t>The ability to implement the defined measures in banking operations depends on NORDLBs strategic orientation with regard to its own Scope 1 and 2 emissions and the funds provided for target and measure development as well as the processes for reducing energy requirements and emissions reduction.</w:t>
      </w:r>
    </w:p>
    <w:p w14:paraId="2227A8F0" w14:textId="77777777" w:rsidR="006A0C19" w:rsidRDefault="00000000">
      <w:r>
        <w:t>Parameters und targets ESRS E1 E1-4 32, 33, MDR-T, NORDLB has not yet adopted any defined climate-related targets or strategies in banking operations.</w:t>
      </w:r>
    </w:p>
    <w:p w14:paraId="6688C1B9" w14:textId="77777777" w:rsidR="006A0C19" w:rsidRDefault="00000000">
      <w:r>
        <w:t>NORDLB has set itself reduction targets for physical emission intensity by 2030 for each financed sector cf.</w:t>
      </w:r>
    </w:p>
    <w:p w14:paraId="277CBB70" w14:textId="77777777" w:rsidR="006A0C19" w:rsidRDefault="00000000">
      <w:r>
        <w:t>The concerned departmentsmarket divisions are also involved in the development of the objectives as part of the annual validation.</w:t>
      </w:r>
    </w:p>
    <w:p w14:paraId="772F7A5F" w14:textId="77777777" w:rsidR="006A0C19" w:rsidRDefault="00000000">
      <w:r>
        <w:t>The goals are defined as a reduction of physical emission intensities.</w:t>
      </w:r>
    </w:p>
    <w:p w14:paraId="737681AC" w14:textId="77777777" w:rsidR="006A0C19" w:rsidRDefault="00000000">
      <w:r>
        <w:t>Targets related to environmental aspects are based on sound scientific evidence In order to achieve a climate-neutral on-balance sheet lending business in the long term excluding guarantees, letters of credit, internal lines for hedging transactions, NORDLB follows scientifically recognised sector decarbonisation guidelines, e.</w:t>
      </w:r>
    </w:p>
    <w:p w14:paraId="2459AABB" w14:textId="77777777" w:rsidR="006A0C19" w:rsidRDefault="00000000">
      <w:r>
        <w:t>Inclusion of stakeholders The goals were developed internally at NORDLB.</w:t>
      </w:r>
    </w:p>
    <w:p w14:paraId="1EF79C88" w14:textId="77777777" w:rsidR="006A0C19" w:rsidRDefault="00000000">
      <w:r>
        <w:t>Changes to the objective and related key figures, underlying measurement methods, material assumptions, constraints, sources and data collection methods NORDLB is publishing its climate targets for the banking business for the first time in its 2025 sustainability report.</w:t>
      </w:r>
    </w:p>
    <w:p w14:paraId="1C3CC3A8" w14:textId="77777777" w:rsidR="006A0C19" w:rsidRDefault="00000000">
      <w:r>
        <w:t>Under its Green Bond Framework, NORDLB can issue green senior and subordinated bonds green bearer or registered bonds, green covered bonds Grüne Pfandbriefe, green promissory notes green bonds, green deposits green term deposits and deposits and green commercial papers green unsecured, short-term bonds.</w:t>
      </w:r>
    </w:p>
    <w:p w14:paraId="622ACAFD" w14:textId="77777777" w:rsidR="006A0C19" w:rsidRDefault="00000000">
      <w:r>
        <w:t>BLSK is involved in regional sustainability initiatives such as the Energiegenossenschaft Braunschweiger Land eG and the HarzForumZukunft.</w:t>
      </w:r>
    </w:p>
    <w:p w14:paraId="1EBA2647" w14:textId="77777777" w:rsidR="006A0C19" w:rsidRDefault="00000000">
      <w:r>
        <w:t>NORDLB has introduced an internal Sustainable Loan Framework and the public Green Funding Framework in order to specifically align financial products with sustainability.</w:t>
      </w:r>
    </w:p>
    <w:p w14:paraId="665B2784" w14:textId="77777777" w:rsidR="006A0C19" w:rsidRDefault="00000000">
      <w:r>
        <w:t>In order to meet the requirements and contribute to the achievement of NORDLBs climate and, in particular, decarbonisation targets, successive sector-specific transition paths have been developed since 2023 and serve theCRR disclosure sectors as well as all sectors relevant to NORDLB beyond that.</w:t>
      </w:r>
    </w:p>
    <w:p w14:paraId="5207D5DC" w14:textId="77777777" w:rsidR="006A0C19" w:rsidRDefault="00000000">
      <w:r>
        <w:lastRenderedPageBreak/>
        <w:t>In order to reinforce the ESG strategic alignment in the Oil &amp; Gas sector, clear ESG exclusion criteria have been defined for upstream activities in the Oil &amp; Gas sector and thus a concrete exclusion of activities for the development, exploration and extraction of conventional and unconventional oil and gas deposits.</w:t>
      </w:r>
    </w:p>
    <w:p w14:paraId="11A429C6" w14:textId="77777777" w:rsidR="006A0C19" w:rsidRDefault="00000000">
      <w:r>
        <w:t>The following table shows the considered scopes of GHG emission intensity values per emission intensity target of the financed sectors, , Objectives and scopes per sector Sector Scope Target Agriculture Dairy Scope-1, Scope-2, Scope-3 Upstream only Reduction of physical emissions intensity by eight per cent by 2030 in order not to exceed a value of 1.</w:t>
      </w:r>
    </w:p>
    <w:p w14:paraId="61E34407" w14:textId="77777777" w:rsidR="006A0C19" w:rsidRDefault="00000000">
      <w:r>
        <w:t>Transparency and reporting on methods and progress also play an important role in achieving optimum coherence between objectives and inventory.</w:t>
      </w:r>
    </w:p>
    <w:p w14:paraId="66B5BC19" w14:textId="77777777" w:rsidR="006A0C19" w:rsidRDefault="00000000">
      <w:r>
        <w:t>These measures are intended to implement the set GHG emission reduction targets realistically and comprehensively in accordance with the emissions recorded in the GHG inventory.</w:t>
      </w:r>
    </w:p>
    <w:p w14:paraId="64FDF913" w14:textId="77777777" w:rsidR="006A0C19" w:rsidRDefault="00000000">
      <w:r>
        <w:t>In line with the reference paths, NORDLBs objectives are based on the current scientific findings and frameworks for reducing GHG emissions in relation to the Paris Agreement's goal to limit global warming to 1.</w:t>
      </w:r>
    </w:p>
    <w:p w14:paraId="7E49409D" w14:textId="77777777" w:rsidR="006A0C19" w:rsidRDefault="00000000">
      <w:r>
        <w:t>When analysing opportunities, NORDLB is strategically oriented towards EU taxonomy-eligible economic activities as well as the overarching environmental goals and associated regulatory requirements.</w:t>
      </w:r>
    </w:p>
    <w:p w14:paraId="5B40CAC2" w14:textId="77777777" w:rsidR="006A0C19" w:rsidRDefault="00000000">
      <w:r>
        <w:t>Decarbonisation via portfolio management, By steering financial flows, investment decisions and lending, the portfolio is gradually aligned with lower-emission and more sustainable economic activities.</w:t>
      </w:r>
    </w:p>
    <w:p w14:paraId="5FAF5AC1" w14:textId="77777777" w:rsidR="006A0C19" w:rsidRDefault="00000000">
      <w:r>
        <w:t>This includes promoting climate-friendly sectors, phasing out carbon-intensive industries,and integrating climate risks into credit portfolio management.</w:t>
      </w:r>
    </w:p>
    <w:p w14:paraId="653975A1" w14:textId="77777777" w:rsidR="006A0C19" w:rsidRDefault="00000000">
      <w:r>
        <w:t>This helps the real economy reduce its CO₂ emissions and operate in a climate-neutral manner in the long term.</w:t>
      </w:r>
    </w:p>
    <w:p w14:paraId="68628152" w14:textId="77777777" w:rsidR="006A0C19" w:rsidRDefault="00000000">
      <w:r>
        <w:t>The specification of the parameter currently refers to electricity generation PACTA-relevant share of the value chain and is based on the reference path IEA NZ 2050.</w:t>
      </w:r>
    </w:p>
    <w:p w14:paraId="26080CD8" w14:textId="77777777" w:rsidR="006A0C19" w:rsidRDefault="00000000">
      <w:r>
        <w:t>, MDR-M minimum disclosure requirement, Key figures relating to material sustainability aspects Key figures Emissions intensity, aviation Explanatory text Physical emission intensity of Scope 3.</w:t>
      </w:r>
    </w:p>
    <w:p w14:paraId="1DE17D15" w14:textId="77777777" w:rsidR="006A0C19" w:rsidRDefault="00000000">
      <w:r>
        <w:t>The specification of the parameter currently refers to passenger air traffic PACTA- relevant share of the value chain and is based on the reference path IEA NZ 2050.</w:t>
      </w:r>
    </w:p>
    <w:p w14:paraId="6E885476" w14:textId="77777777" w:rsidR="006A0C19" w:rsidRDefault="00000000">
      <w:r>
        <w:lastRenderedPageBreak/>
        <w:t>, MDR-M minimum disclosure requirement, Key figures relating to material sustainability aspects Key figures Emissions intensity, steel Explanatory text Physical emission intensity of Scope 3.</w:t>
      </w:r>
    </w:p>
    <w:p w14:paraId="7F1D17CB" w14:textId="77777777" w:rsidR="006A0C19" w:rsidRDefault="00000000">
      <w:r>
        <w:t>Tables 13, MDR-M minimum disclosure requirement, Key figures relating to material sustainability aspects Key figures Emissions intensity, automotive Explanatory text Physical emissions intensity of Scope 3.</w:t>
      </w:r>
    </w:p>
    <w:p w14:paraId="1A26BA5D" w14:textId="77777777" w:rsidR="006A0C19" w:rsidRDefault="00000000">
      <w:r>
        <w:t>Methods and assumptions Due to the complexity of the value chain, companies currently mainly publish emissions and targets based on absolute emissions.</w:t>
      </w:r>
    </w:p>
    <w:p w14:paraId="5AC83FC0" w14:textId="77777777" w:rsidR="006A0C19" w:rsidRDefault="00000000">
      <w:r>
        <w:t>For this reason, NORDLB uses indexed absolute emissions as a metric for management, which is designed to reflect absolute customer emissions and targets.</w:t>
      </w:r>
    </w:p>
    <w:p w14:paraId="4F428AE8" w14:textId="77777777" w:rsidR="006A0C19" w:rsidRDefault="00000000">
      <w:r>
        <w:t>The metric measures the alignment of the average weighted absolute portfolio emissions.</w:t>
      </w:r>
    </w:p>
    <w:p w14:paraId="46D7BE2C" w14:textId="77777777" w:rsidR="006A0C19" w:rsidRDefault="00000000">
      <w:r>
        <w:t>Methods and assumptions Scope 3 GHG emissions are captured using the VfU tool by applying emission factors to a variety of operational activities.</w:t>
      </w:r>
    </w:p>
    <w:p w14:paraId="5DA77A4B" w14:textId="77777777" w:rsidR="006A0C19" w:rsidRDefault="00000000">
      <w:r>
        <w:t>This consolidated data is then used to calculate the greenhouse gas emissions in tonnes of CO2 equivalents tCO2e associated with the Companys indirect operating activities.</w:t>
      </w:r>
    </w:p>
    <w:p w14:paraId="7D0B870E" w14:textId="77777777" w:rsidR="006A0C19" w:rsidRDefault="00000000">
      <w:r>
        <w:t>If no direct data is available for the material Scope 3 categories, the estimate is based on industry averages, emissions factors, projections of comparable activities or expenditure-based estimates using external data sources.</w:t>
      </w:r>
    </w:p>
    <w:p w14:paraId="3E490EEF" w14:textId="77777777" w:rsidR="006A0C19" w:rsidRDefault="00000000">
      <w:r>
        <w:t>The tool applies emission factors to these data points in order to derive the relevant greenhouse gas emissions associated with a companys operational activities.</w:t>
      </w:r>
    </w:p>
    <w:p w14:paraId="13CEC16A" w14:textId="77777777" w:rsidR="006A0C19" w:rsidRDefault="00000000">
      <w:r>
        <w:t>Disclosure of the emissions intensity of a business activity enables, among other things, greater comparability and transparency of a banks business activities.</w:t>
      </w:r>
    </w:p>
    <w:p w14:paraId="7DDECA22" w14:textId="77777777" w:rsidR="006A0C19" w:rsidRDefault="00000000">
      <w:r>
        <w:t>The data quality level tends to be distorted downwards by the emissions weighting across Scope 1, 2 and 3 due to the often strong impact of Scope 3 emissions.</w:t>
      </w:r>
    </w:p>
    <w:p w14:paraId="66FD7741" w14:textId="77777777" w:rsidR="006A0C19" w:rsidRDefault="00000000">
      <w:r>
        <w:t>The key figures thus support NORDLB in dealing with climate-related risks and opportunities in the development of a sustainable and resilient sustainability strategy.</w:t>
      </w:r>
    </w:p>
    <w:p w14:paraId="24D4F106" w14:textId="77777777" w:rsidR="006A0C19" w:rsidRDefault="00000000">
      <w:r>
        <w:t>Renewable energies are defined by the following Statistical System of Industries in the European Community sectors, Renewable energy refers to sectors that promote, generate or use sustainable energy sources.</w:t>
      </w:r>
    </w:p>
    <w:p w14:paraId="182F490D" w14:textId="77777777" w:rsidR="006A0C19" w:rsidRDefault="00000000">
      <w:r>
        <w:t>Therefore, there is no evidence in the reporting year regarding the reduction and storage of greenhouse gases achieved as part of NORDLBs activities.</w:t>
      </w:r>
    </w:p>
    <w:p w14:paraId="69123157" w14:textId="77777777" w:rsidR="006A0C19" w:rsidRDefault="00000000">
      <w:r>
        <w:t>NORDLB also does not use any further CO2 credits apart from the disclosures provided in this standardchapter or the set GHG emission reduction targets cf.</w:t>
      </w:r>
    </w:p>
    <w:p w14:paraId="79FBCA97" w14:textId="77777777" w:rsidR="006A0C19" w:rsidRDefault="00000000">
      <w:r>
        <w:lastRenderedPageBreak/>
        <w:t>E1-9 65, , 66, NORDLB does not currently differentiate in its reporting between large geographical areas affected by acute and chronic physical risks from climate change for the expected financial impact.</w:t>
      </w:r>
    </w:p>
    <w:p w14:paraId="4B9809F3" w14:textId="77777777" w:rsidR="006A0C19" w:rsidRDefault="00000000">
      <w:r>
        <w:t>In the reporting, NORDLB differentiates the information on significant assets with a significant physical risk by economic sector NACE classification for those sectors that are affected by acute and chronic events resulting from climate change.</w:t>
      </w:r>
    </w:p>
    <w:p w14:paraId="22C29C4D" w14:textId="77777777" w:rsidR="006A0C19" w:rsidRDefault="00000000">
      <w:r>
        <w:t>For example, it examines the extent to which customers have rising production costs due to political or regulatory control measures, such as rising CO2 prices.</w:t>
      </w:r>
    </w:p>
    <w:p w14:paraId="1EF2F477" w14:textId="77777777" w:rsidR="006A0C19" w:rsidRDefault="00000000">
      <w:r>
        <w:t>Climate-related transition risks are included via the NGFS scenarios in conjunction with macroeconomic variables and trends in determining the impact of climate change and environmental degradation on the business environment and business at NORDLB.</w:t>
      </w:r>
    </w:p>
    <w:p w14:paraId="69993F70" w14:textId="68870B92" w:rsidR="006A0C19" w:rsidRDefault="00000000">
      <w:r>
        <w:t>The biodiversity concepts include the ESG strategy, the transformation guidelines and the consideration of biodiversity in the upstream process of the risk strategy.</w:t>
      </w:r>
    </w:p>
    <w:p w14:paraId="37238D18" w14:textId="77777777" w:rsidR="006A0C19" w:rsidRDefault="00000000">
      <w:r>
        <w:t>The specific correlations between the concepts and the topic of biodiversity are presented below, ESG strategy cf.</w:t>
      </w:r>
    </w:p>
    <w:p w14:paraId="69E8B0A7" w14:textId="77777777" w:rsidR="006A0C19" w:rsidRDefault="00000000">
      <w:r>
        <w:t>In the future, NORDLB will deal in-depth with the topic of biodiversity and anchor it even more deeply in its strategic sustainability orientation, although biodiversity was already recognised by explicit thematic consideration in the ESG strategy in 2024 and has taken into account the direct factors influencing the loss of biodiversity.</w:t>
      </w:r>
    </w:p>
    <w:p w14:paraId="1ECDD5D4" w14:textId="77777777" w:rsidR="006A0C19" w:rsidRDefault="00000000">
      <w:r>
        <w:t>In the 2024 financial year, the ESG strategy stipulated that the Performance Standard 6 Biodiversity Conservation and Sustainable Management of Living Natural Resources of the International Finance Corporation World Bank should be taken into account in the business initiation process in particular for projects with renewable resources outside the high-income OECD countries and the European Union.</w:t>
      </w:r>
    </w:p>
    <w:p w14:paraId="5990F3B7" w14:textId="77777777" w:rsidR="006A0C19" w:rsidRDefault="00000000">
      <w:r>
        <w:t>The ESG strategy is supplemented here by the transformation guidelines, introduced on 1 January 2025, and takes into account direct influencing factors on the loss of biodiversity such as climate change, land use changes and environmental pollution.</w:t>
      </w:r>
    </w:p>
    <w:p w14:paraId="28E29B2F" w14:textId="77777777" w:rsidR="006A0C19" w:rsidRDefault="00000000">
      <w:r>
        <w:t>The upstream process of the risk strategy takes into account the field of action biodiversity due to the increasing loss of biodiversity and the associated potential impact on the credit rating of companies, as around 75 per cent of all loans granted by credit institutions to companies depend on ecosystem services.</w:t>
      </w:r>
    </w:p>
    <w:p w14:paraId="18681C8A" w14:textId="77777777" w:rsidR="006A0C19" w:rsidRDefault="00000000">
      <w:r>
        <w:t>In doing so, NORDLB is guided by international standards for the management of natural habitats as well as the key elements of the United Nations International Convention on Biological Diversity, conservation of biodiversity, sustainable use of its components and the fair and equitable sharing of the benefits arising out of the utilization of genetic resources.</w:t>
      </w:r>
    </w:p>
    <w:p w14:paraId="6D1B9207" w14:textId="77777777" w:rsidR="006A0C19" w:rsidRDefault="00000000">
      <w:r>
        <w:lastRenderedPageBreak/>
        <w:t>For the practical implementation of the Convention, NORDLB also refers to the aspects of the EU Commissions common agricultural policy, in particular the protection and conservation of rural heritage, water management and water consumption as well as climate change.</w:t>
      </w:r>
    </w:p>
    <w:p w14:paraId="55BE03B6" w14:textId="77777777" w:rsidR="006A0C19" w:rsidRDefault="00000000">
      <w:r>
        <w:t>For business transactions relating to renewable resources that take place outside the OECD countries or the EU area, NORDLB takes into account the Performance Standard 6 Biodiversity Conservation and Sustainable Management of Living Natural Resources of the International Finance Corporation of the World Bank.</w:t>
      </w:r>
    </w:p>
    <w:p w14:paraId="75A14FFB" w14:textId="77777777" w:rsidR="006A0C19" w:rsidRDefault="00000000">
      <w:r>
        <w:t>For business transactions relating to renewable resources that take place outside the OECD countries or the EU area, NORDLB takes into account the Performance Standard 6 Biodiversity Conservation and Sustainable Management of Living Natural Resources of the International Finance Corporation of the World Bank.</w:t>
      </w:r>
    </w:p>
    <w:p w14:paraId="48863B7B" w14:textId="77777777" w:rsidR="006A0C19" w:rsidRDefault="00000000">
      <w:r>
        <w:t>For business transactions relating to renewable resources that take place outside the OECD countries or the EU area, NORDLB takes into account the Performance Standard 6 Biodiversity Conservation and Sustainable Management of Living Natural Resources of the International Finance Corporation of the World Bank.</w:t>
      </w:r>
    </w:p>
    <w:p w14:paraId="60A4BBB8" w14:textId="77777777" w:rsidR="006A0C19" w:rsidRDefault="00000000">
      <w:r>
        <w:t>For business relationships relating to palm oil, NORDLB expects compliance with the No Deforestation, No Peat, No Exploitation Policy and membership of the Roundtable on Sustainable Palm Oil or another recognised organisation with at least equivalent standards, which must be followed and documented for the duration of the business relationship.</w:t>
      </w:r>
    </w:p>
    <w:p w14:paraId="2AC25A1C" w14:textId="77777777" w:rsidR="006A0C19" w:rsidRDefault="00000000">
      <w:r>
        <w:t>There is currently no concept applicable to NORDLB for measuring the impact of business activities on biodiversity, which does not make it possible to formulate quantifiable measures.</w:t>
      </w:r>
    </w:p>
    <w:p w14:paraId="7D07BCF5" w14:textId="77777777" w:rsidR="006A0C19" w:rsidRDefault="00000000">
      <w:r>
        <w:t>In particular, there is a lack of publicly available customer data that can be used to develop potentials and business cases for the analysis of opportunities for biodiversity aspects in order to create measures.</w:t>
      </w:r>
    </w:p>
    <w:p w14:paraId="039429C4" w14:textId="5F5198C2" w:rsidR="006A0C19" w:rsidRDefault="00000000">
      <w:r>
        <w:t xml:space="preserve">A risk assessment of the impacts of biodiversity loss is possible based on the existing regulatory scenario risk perspective and tools available on the market </w:t>
      </w:r>
      <w:r w:rsidR="008A51E5">
        <w:t>ENCORE but</w:t>
      </w:r>
      <w:r>
        <w:t xml:space="preserve"> deriving opportunities from this is challenging and there are currently no standard procedures for determining opportunities from the consideration of biodiversity aspects in the business activities of credit institutions.</w:t>
      </w:r>
    </w:p>
    <w:p w14:paraId="6612E6D1" w14:textId="77777777" w:rsidR="006A0C19" w:rsidRDefault="00000000">
      <w:r>
        <w:t>Parameters and targets ESRS E4 E4-4 30, 31, MDR-T, At the time of publication, NORDLB does not monitor the effectiveness of its concepts and measures concerning material sustainability-related impacts, risks and opportunities associated with biodiversity and ecosystems.</w:t>
      </w:r>
    </w:p>
    <w:p w14:paraId="7E2DDCFA" w14:textId="45D64410" w:rsidR="006A0C19" w:rsidRDefault="00000000">
      <w:r>
        <w:lastRenderedPageBreak/>
        <w:t>NORDLB plans to define measurable result-oriented goals in connection with biodiversity and ecosystems within the timeframe by 2030 at the latest based on the Global Diversity Framework of the Conference of the Parties</w:t>
      </w:r>
      <w:r w:rsidR="00993388">
        <w:t>.</w:t>
      </w:r>
    </w:p>
    <w:p w14:paraId="40836918" w14:textId="77777777" w:rsidR="006A0C19" w:rsidRDefault="00000000">
      <w:r>
        <w:t>Priority scores scale 1 high priority to 100 no priority were developed, taking into account global areas with regard to their contribution to the achievement of species protection and climate objectives.</w:t>
      </w:r>
    </w:p>
    <w:p w14:paraId="0C638461" w14:textId="77777777" w:rsidR="006A0C19" w:rsidRDefault="00000000">
      <w:r>
        <w:t>They thus support NORDLB in addressing biodiversity risks and developing a resilient sustainability strategy.</w:t>
      </w:r>
    </w:p>
    <w:p w14:paraId="60DA3BBA" w14:textId="77777777" w:rsidR="006A0C19" w:rsidRDefault="00000000">
      <w:r>
        <w:t>The results are detailed below, , Exposure to sectors in the field of biodiversity and ecosystems Exposure to sectors that have an impact on the main drivers of biodiversity loss 24.</w:t>
      </w:r>
    </w:p>
    <w:p w14:paraId="2F323B25" w14:textId="77777777" w:rsidR="006A0C19" w:rsidRDefault="00000000">
      <w:r>
        <w:t>In the 2024 financial year, NORDLB did not set any measurable targets for biodiversity in the portfolio that are subject to progress measurement.</w:t>
      </w:r>
    </w:p>
    <w:p w14:paraId="3513B57C" w14:textId="77777777" w:rsidR="006A0C19" w:rsidRDefault="00000000">
      <w:r>
        <w:t>The analysis of general market developments and specific market analyses reveals trends towards an environmentally and biodiversitypositive orientation of economic activities, in particular biodiversity-positive lending by credit institutions.</w:t>
      </w:r>
    </w:p>
    <w:p w14:paraId="502634FB" w14:textId="77777777" w:rsidR="006A0C19" w:rsidRDefault="00000000">
      <w:r>
        <w:t>Among other things, cooperation with stakeholders on biodiversity aspects represents an opportunity for NORDLB to develop solutions that are geared especially towards sustainability and biodiversity.</w:t>
      </w:r>
    </w:p>
    <w:p w14:paraId="64CB6057" w14:textId="77777777" w:rsidR="006A0C19" w:rsidRDefault="00000000">
      <w:r>
        <w:t>On this basis, NORDLB plans to actively use the increasing demand for biodiversity-positive financial products to achieve long-term added value for stakeholders as well as the environment, society and the economy.</w:t>
      </w:r>
    </w:p>
    <w:p w14:paraId="693BDDAB" w14:textId="77777777" w:rsidR="006A0C19" w:rsidRDefault="00000000">
      <w:r>
        <w:t>The EUs objective is to steer investment or capital flows in line with environmental objectives through increased transparency in order to promote sustainable economic activities.</w:t>
      </w:r>
    </w:p>
    <w:p w14:paraId="38B3D0D3" w14:textId="77777777" w:rsidR="006A0C19" w:rsidRDefault="00000000">
      <w:r>
        <w:t>With regard to the consideration of the EU Taxonomy in NORDLBs business strategy, please refer to the Strategy ESRS 2 section of this Sustainability Report.</w:t>
      </w:r>
    </w:p>
    <w:p w14:paraId="655EF11D" w14:textId="77777777" w:rsidR="006A0C19" w:rsidRDefault="00000000">
      <w:r>
        <w:t>In particular, it states that an economic activity is considered to be environmentally sustainable if, It makes a significant contribution to the achievement of one or more of the environmental objectives referred to in the Taxonomy Regulation.</w:t>
      </w:r>
    </w:p>
    <w:p w14:paraId="0654C3CC" w14:textId="77777777" w:rsidR="006A0C19" w:rsidRDefault="00000000">
      <w:r>
        <w:t>The regulatory implementation of the detailed technical assessment criteria is carried out for the environmental objectives Climate Change Mitigation and Climate Change Adaptation via Delegated Regulation 20212139 and for the other four environmental objectives, Sustainable use and protection of water and marine resources, Transition to a circular economy, Pollution prevention and control and Protection and restoration of biodiversity and ecosystems via Delegated Regulation 20232486.</w:t>
      </w:r>
    </w:p>
    <w:p w14:paraId="7CE82FEA" w14:textId="77777777" w:rsidR="006A0C19" w:rsidRDefault="00000000">
      <w:r>
        <w:lastRenderedPageBreak/>
        <w:t>In this way, the criteria for environmentally sustainable economic activities can be changed in the future in order to actually achieve the objectives of the Paris Agreement on Climate Change.</w:t>
      </w:r>
    </w:p>
    <w:p w14:paraId="728316CC" w14:textId="77777777" w:rsidR="006A0C19" w:rsidRDefault="00000000">
      <w:r>
        <w:t>NORDLB provides technical support to check the taxonomy compliance of earmarked loans and credit, such as project financing, using information on the financed project or activities provided by the borrower.</w:t>
      </w:r>
    </w:p>
    <w:p w14:paraId="2A0E7471" w14:textId="77777777" w:rsidR="006A0C19" w:rsidRDefault="00000000">
      <w:r>
        <w:t>Transparency provisions pursuant to Article 8 of the Taxonomy Regulation General information Article 8 of the Taxonomy Regulation requires entities subject to non-financial reporting to disclose in the consolidated non-financial statement how and to what extent the entitys activities are related to economic activities that qualify as environmentally sustainable economic activities.</w:t>
      </w:r>
    </w:p>
    <w:p w14:paraId="0795CEEC" w14:textId="77777777" w:rsidR="006A0C19" w:rsidRDefault="00000000">
      <w:r>
        <w:t>The changes result in particular from significantly increased GAR assets denominator of GAR as a result of regulatory changes.</w:t>
      </w:r>
    </w:p>
    <w:p w14:paraId="192FEC3C" w14:textId="77777777" w:rsidR="006A0C19" w:rsidRDefault="00000000">
      <w:r>
        <w:t>For financial companies, full reporting is only required for the environmental objectives of Climate Change Mitigation and Climate Change Adaptation by the reporting date of 31 December 2024.</w:t>
      </w:r>
    </w:p>
    <w:p w14:paraId="5E866B9F" w14:textId="77777777" w:rsidR="006A0C19" w:rsidRDefault="00000000">
      <w:r>
        <w:t>For the four environmental objectives Water and Marine Resources , Circular Economy , Pollution and Biodiversity and Ecosystems , only disclosures on taxonomy eligibility need to be made for the current reporting date.</w:t>
      </w:r>
    </w:p>
    <w:p w14:paraId="65DBAAF2" w14:textId="77777777" w:rsidR="006A0C19" w:rsidRDefault="00000000">
      <w:r>
        <w:t>The columns on taxonomy alignment are only relevant for these four environmental objectives for the following reporting date.</w:t>
      </w:r>
    </w:p>
    <w:p w14:paraId="3739ED3E" w14:textId="77777777" w:rsidR="006A0C19" w:rsidRDefault="00000000">
      <w:r>
        <w:t>HR work is geared towards five strategic focus topics, which are supported by measures for operational implementation, Working world Culture &amp; change Expertise &amp; development Recruiting &amp; employer brand HR business model The focus topics are supplemented by the action areas Operational Excellence and Strategic Consulting as the foundation for the HR department's cooperation with other departments.</w:t>
      </w:r>
    </w:p>
    <w:p w14:paraId="444F2982" w14:textId="77777777" w:rsidR="006A0C19" w:rsidRDefault="00000000">
      <w:r>
        <w:t>General objectives The comprehensive objective of the HR strategy is to secure the future and sustainable success of NORDLB through modern HR practices to attract, retain and promote the performance of employees.</w:t>
      </w:r>
    </w:p>
    <w:p w14:paraId="2BF82CBB" w14:textId="77777777" w:rsidR="006A0C19" w:rsidRDefault="00000000">
      <w:r>
        <w:t>The action areas and measures are aimed at promoting employee satisfaction and retention while at the same time increasing the efficiency and productivity of the organisation.</w:t>
      </w:r>
    </w:p>
    <w:p w14:paraId="6AD8C6DE" w14:textId="77777777" w:rsidR="006A0C19" w:rsidRDefault="00000000">
      <w:r>
        <w:t>To this end, the following strategic objectives are pursued in particular, create a future-oriented working world with modern working conditions, create an appreciative and diverse work culture, promote the potential of employees and develop their skills for future requirements, attract the employees of tomorrow with modern selection processes, ensure reliable HR work with data-based decisions and efficient processes.</w:t>
      </w:r>
    </w:p>
    <w:p w14:paraId="195210B0" w14:textId="77777777" w:rsidR="006A0C19" w:rsidRDefault="00000000">
      <w:r>
        <w:lastRenderedPageBreak/>
        <w:t>References to significant impacts, risks or opportunities The HR strategy addresses the material impacts, risks and opportunities related to its own workforce by addressing the strategic focus topics on working conditions, which are intended to promote employee satisfaction and well-being, with a particular focus on promoting equal opportunities and performance.</w:t>
      </w:r>
    </w:p>
    <w:p w14:paraId="7C56E1E9" w14:textId="77777777" w:rsidR="006A0C19" w:rsidRDefault="00000000">
      <w:r>
        <w:t>Scope and information on whether the concept covers specific groups within the workforce or the entire workforce The HR strategy applies to all employees of the NORDLB Group and covers the entire workforce.</w:t>
      </w:r>
    </w:p>
    <w:p w14:paraId="2C25ADC5" w14:textId="77777777" w:rsidR="006A0C19" w:rsidRDefault="00000000">
      <w:r>
        <w:t>Third-party standards or initiatives which the Bank undertakes to comply with NA Consideration of the interests of key stakeholders The further development and implementation of the HR strategy takes into account the requirements of the Banks business areas, the internal viewpoint of the HR department and the analysis of internal and external influencing factors such as the competitive situation on the labour market and the requirements of potential employees.</w:t>
      </w:r>
    </w:p>
    <w:p w14:paraId="3C88174A" w14:textId="77777777" w:rsidR="006A0C19" w:rsidRDefault="00000000">
      <w:r>
        <w:t>Provision for potentially affected stakeholders and stakeholders whose help is required in the implementation The HR strategy is communicated to all employees on the intranet and in specific formats, such as presentations to the General Staff Council, in order to ensure a common understanding and ensure support in its implementation.</w:t>
      </w:r>
    </w:p>
    <w:p w14:paraId="4BF2389D" w14:textId="77777777" w:rsidR="006A0C19" w:rsidRDefault="00000000">
      <w:r>
        <w:t>It is supplemented by company regulations such as collective agreements, which serve as the basis for the design and implementation of individual HR measures, as well as the Code of Conduct and the Diversity Policy.</w:t>
      </w:r>
    </w:p>
    <w:p w14:paraId="2672CADC" w14:textId="77777777" w:rsidR="006A0C19" w:rsidRDefault="00000000">
      <w:r>
        <w:t>Collective Agreements In the implementation of the HR strategy, collective agreements are an important instrument of the staff council, helping to represent the interests of employees.</w:t>
      </w:r>
    </w:p>
    <w:p w14:paraId="1CDD1C03" w14:textId="77777777" w:rsidR="006A0C19" w:rsidRDefault="00000000">
      <w:r>
        <w:t>The topics covered by the collective agreements also relate to the potential positive impacts by contributing to the implementation of HR measures geared to the needs of employees and to the potential negative impacts by promoting healthy working conditions, for example in terms of working hours.</w:t>
      </w:r>
    </w:p>
    <w:p w14:paraId="69885A81" w14:textId="77777777" w:rsidR="006A0C19" w:rsidRDefault="00000000">
      <w:r>
        <w:t>Code of Conduct The NORDLB Groups Code of Conduct forms the framework for integrity, ethical and fair conduct and defines binding principles of conduct that, among other things, aim to ensure a respectful and nondiscriminatory working environment.</w:t>
      </w:r>
    </w:p>
    <w:p w14:paraId="2F0508A4" w14:textId="77777777" w:rsidR="006A0C19" w:rsidRDefault="00000000">
      <w:r>
        <w:t>Measures to increase the visibility of diversity at the Bank include actions such as information stands on Orange Day or offers for experiencing physical limitations on German Diversity Day.</w:t>
      </w:r>
    </w:p>
    <w:p w14:paraId="6F294621" w14:textId="77777777" w:rsidR="006A0C19" w:rsidRDefault="00000000">
      <w:r>
        <w:t>Qualification measures include the introduction of diversity management at NORDLB, for example for young employees, as well as specific offers relating to the different facets of diversity, such as online lectures on the topic of age or mens health.</w:t>
      </w:r>
    </w:p>
    <w:p w14:paraId="1D7455EE" w14:textId="77777777" w:rsidR="006A0C19" w:rsidRDefault="00000000">
      <w:r>
        <w:lastRenderedPageBreak/>
        <w:t>NORDLB is committed to the ten principles of the UN Global Compact on human rights, labour standards, environmental protection and the prevention of corruption and has incorporated these into its internal exclusion criteria and sector principles.</w:t>
      </w:r>
    </w:p>
    <w:p w14:paraId="13113B31" w14:textId="77777777" w:rsidR="006A0C19" w:rsidRDefault="00000000">
      <w:r>
        <w:t>NORDLBs transformation guidelines, developed as part of its ESG strategy, include ESG aspects in business decision-making at all levels and provide a framework for how NORDLB intends to deal with business opportunities and risks in connection with direct and indirect sustainability impacts see also E-1.</w:t>
      </w:r>
    </w:p>
    <w:p w14:paraId="17189554" w14:textId="77777777" w:rsidR="006A0C19" w:rsidRDefault="00000000">
      <w:r>
        <w:t>In addition, compliance with human and employee rights is part of the Code of Conduct, the Diversity Policy, the UK Master Slavery Agreement and the Human Rights Policy Statement.</w:t>
      </w:r>
    </w:p>
    <w:p w14:paraId="252578C8" w14:textId="77777777" w:rsidR="006A0C19" w:rsidRDefault="00000000">
      <w:r>
        <w:t>NORDLB has established risk management in its own business operations with regard to respect for the human rights, including employee rights, of persons in its own workforce.</w:t>
      </w:r>
    </w:p>
    <w:p w14:paraId="29974C27" w14:textId="77777777" w:rsidR="006A0C19" w:rsidRDefault="00000000">
      <w:r>
        <w:t>As part of the risk analysis, the existing concepts and company regulations on human rights issues, such as working hours, holidays or remuneration, and their implementation are evaluated by the respective specialist departments with regard to potential risks and existing prevention measures.</w:t>
      </w:r>
    </w:p>
    <w:p w14:paraId="2C513030" w14:textId="77777777" w:rsidR="006A0C19" w:rsidRDefault="00000000">
      <w:r>
        <w:t>Preventive measures include, for example, company regulations on working hours and the obligation of managers to monitor compliance with them.</w:t>
      </w:r>
    </w:p>
    <w:p w14:paraId="41B267DF" w14:textId="77777777" w:rsidR="006A0C19" w:rsidRDefault="00000000">
      <w:r>
        <w:t>As a signatory to the UN Global Compact, NORDLB expressly commits to the principles relating to human rights and working conditions and has defined the principles and values pursued by NORDLB in accordance with international standards as binding requirements in the Human Rights Policy.</w:t>
      </w:r>
    </w:p>
    <w:p w14:paraId="7447A5F5" w14:textId="77777777" w:rsidR="006A0C19" w:rsidRDefault="00000000">
      <w:r>
        <w:t>The inclusion agreement concluded between the employer, staff council and the severely disabled representatives sets out measures that help increase people's awareness of the particular situation of people with disabilities and to help ensure participation in working life within NORDLB.</w:t>
      </w:r>
    </w:p>
    <w:p w14:paraId="7BB6A0EF" w14:textId="77777777" w:rsidR="006A0C19" w:rsidRDefault="00000000">
      <w:r>
        <w:t>Systematic diversity management refers to all dimensions of the Diversity Charta and aims to contribute to the visibility, acceptance and inclusion of marginalised groups of people from all dimensions of diversity.</w:t>
      </w:r>
    </w:p>
    <w:p w14:paraId="2848F779" w14:textId="77777777" w:rsidR="006A0C19" w:rsidRDefault="00000000">
      <w:r>
        <w:t>In addition to legal regulations such as the AGG in Germany and corresponding local regulations at the foreign locations, internal regulations such as the Code of Conduct, the Diversity Policy and the Human Rights Policy set the framework for ensuring equal treatment and preventing discrimination.</w:t>
      </w:r>
    </w:p>
    <w:p w14:paraId="124AA02C" w14:textId="77777777" w:rsidR="006A0C19" w:rsidRDefault="00000000">
      <w:r>
        <w:t>Antidiscrimination is addressed in various actions and measures adopted by the Community of Diversity in order to continuously raise awareness and proactively counteract any discrimination.</w:t>
      </w:r>
    </w:p>
    <w:p w14:paraId="53EF68D6" w14:textId="77777777" w:rsidR="006A0C19" w:rsidRDefault="00000000">
      <w:r>
        <w:lastRenderedPageBreak/>
        <w:t>Trusted third parties and representatives of employees with severe disabilities have been elected to support and protect people with disabilities, those at risk of disability and those with severe disabilities.</w:t>
      </w:r>
    </w:p>
    <w:p w14:paraId="2295C411" w14:textId="77777777" w:rsidR="006A0C19" w:rsidRDefault="00000000">
      <w:r>
        <w:t>Involvement occurs via participation rights for staff councils to design and implement measures that help promote positive impacts, such as instruments for personnel development and remuneration.</w:t>
      </w:r>
    </w:p>
    <w:p w14:paraId="668F9059" w14:textId="77777777" w:rsidR="006A0C19" w:rsidRDefault="00000000">
      <w:r>
        <w:t>Using their participation rights, staff councils are also involved in the implementation of preventive measures to avoid potential negative effects, for example, in the design of regulations for compliance with working hours.</w:t>
      </w:r>
    </w:p>
    <w:p w14:paraId="2CA18DCF" w14:textId="77777777" w:rsidR="006A0C19" w:rsidRDefault="00000000">
      <w:r>
        <w:t>The staff council and management work together on the basis of the Lower Saxony Employee Representation Act and jointly implement legal, collective agreement and company regulations.</w:t>
      </w:r>
    </w:p>
    <w:p w14:paraId="4CCA121E" w14:textId="77777777" w:rsidR="006A0C19" w:rsidRDefault="00000000">
      <w:r>
        <w:t>Employees are involved in the Banks business development and the resulting impact on staff through briefings given to the Economic Committee of the staff council.</w:t>
      </w:r>
    </w:p>
    <w:p w14:paraId="7F25F385" w14:textId="77777777" w:rsidR="006A0C19" w:rsidRDefault="00000000">
      <w:r>
        <w:t>This also includes regular reporting on the Bank's activities in terms of reducing CO2 emissions and transitioning to a climate-neutral economy.</w:t>
      </w:r>
    </w:p>
    <w:p w14:paraId="6DFC215C" w14:textId="77777777" w:rsidR="006A0C19" w:rsidRDefault="00000000">
      <w:r>
        <w:t>NORDLB is committed to collective agreement coverage and the further development of collective agreements together with the social partners.</w:t>
      </w:r>
    </w:p>
    <w:p w14:paraId="7C98C3C6" w14:textId="77777777" w:rsidR="006A0C19" w:rsidRDefault="00000000">
      <w:r>
        <w:t>The internal requirements include the principles of conduct in the Code of Conduct, the Human Rights Policy, the Diversity Policy and guidelines and collective agreements on HR issues relating to the recruitment, remuneration and further development of employees.</w:t>
      </w:r>
    </w:p>
    <w:p w14:paraId="0B9B7ECA" w14:textId="77777777" w:rsidR="006A0C19" w:rsidRDefault="00000000">
      <w:r>
        <w:t>NORDLB strives to ensure that people with disabilities can fully participate in work life in order to ensure their social participation, self-determination and inclusion in working life.</w:t>
      </w:r>
    </w:p>
    <w:p w14:paraId="675BC899" w14:textId="77777777" w:rsidR="006A0C19" w:rsidRDefault="00000000">
      <w:r>
        <w:t>The focus is on special redundancy protection, help with workplace equipment and support provided by specialised services.</w:t>
      </w:r>
    </w:p>
    <w:p w14:paraId="472B7EC8" w14:textId="77777777" w:rsidR="006A0C19" w:rsidRDefault="00000000">
      <w:r>
        <w:t>Employees can get involved in the Community of Diversity, which exists to raise awareness and promote understanding.</w:t>
      </w:r>
    </w:p>
    <w:p w14:paraId="6AAB9964" w14:textId="77777777" w:rsidR="006A0C19" w:rsidRDefault="00000000">
      <w:r>
        <w:t>The inclusion agreement concluded between the employer and staff council and the severely disabled representatives defines measures that are intended to contribute to an increased awareness of the special situation people with disabilities find themselves in and to ensure they can participate in work processes within NORDLB.</w:t>
      </w:r>
    </w:p>
    <w:p w14:paraId="54289041" w14:textId="77777777" w:rsidR="006A0C19" w:rsidRDefault="00000000">
      <w:r>
        <w:t>NORDLB ensures compliance with its human rights due diligence obligations in accordance with the legal provisions and leading international and national standards.</w:t>
      </w:r>
    </w:p>
    <w:p w14:paraId="33330247" w14:textId="77777777" w:rsidR="006A0C19" w:rsidRDefault="00000000">
      <w:r>
        <w:t xml:space="preserve">Compliance with these requirements must be monitored by the managers, who can see the recorded working hours for collectively agreed salaried employees via the HR information </w:t>
      </w:r>
      <w:r>
        <w:lastRenderedPageBreak/>
        <w:t>system and can agree individual measures with the employee to remedy the situation, such as prioritising tasks, if action is required, for example, due to the maximum permissible working hours being exceeded.</w:t>
      </w:r>
    </w:p>
    <w:p w14:paraId="46EB3084" w14:textId="77777777" w:rsidR="006A0C19" w:rsidRDefault="00000000">
      <w:r>
        <w:t>The assessment of potential risks and the effectiveness of the measures with regard to NORDLB employees is regularly documented as part of the risk analysis for its own business operations.</w:t>
      </w:r>
    </w:p>
    <w:p w14:paraId="47B0FFCF" w14:textId="77777777" w:rsidR="006A0C19" w:rsidRDefault="00000000">
      <w:r>
        <w:t>Internal guidelines from the HR and Compliance departments provide guidance for dealing with employees who have given relevant information.</w:t>
      </w:r>
    </w:p>
    <w:p w14:paraId="6C528974" w14:textId="77777777" w:rsidR="006A0C19" w:rsidRDefault="00000000">
      <w:r>
        <w:t>Measures have already been implemented in previous reporting years for the impacts identified concerning a stable working environment, collective agreements, social dialogue, social responsibility and working hours.</w:t>
      </w:r>
    </w:p>
    <w:p w14:paraId="35701E81" w14:textId="77777777" w:rsidR="006A0C19" w:rsidRDefault="00000000">
      <w:r>
        <w:t>Social dialogue consists of constructive cooperation between the Bank and the staff council when negotiating employment agreements and involving the staff council in personnel management measures see also S1-2.</w:t>
      </w:r>
    </w:p>
    <w:p w14:paraId="294EFBFA" w14:textId="77777777" w:rsidR="006A0C19" w:rsidRDefault="00000000">
      <w:r>
        <w:t>NORDLBs social commitment is anchored in the ESG strategy and includes support for employees to engage socially through a variety of different measures.</w:t>
      </w:r>
    </w:p>
    <w:p w14:paraId="562579BD" w14:textId="77777777" w:rsidR="006A0C19" w:rsidRDefault="00000000">
      <w:r>
        <w:t>These framework conditions also include the material impacts on the workforce identified in the materiality analysis, such as the competitive situation in the labour market, the importance of systematic diversity management, training and development, the development of talent and the promotion of women in leadership.</w:t>
      </w:r>
    </w:p>
    <w:p w14:paraId="76BC3248" w14:textId="77777777" w:rsidR="006A0C19" w:rsidRDefault="00000000">
      <w:r>
        <w:t>The HR issues considered in this analysis, such as working hours, remuneration, equal treatment and discrimination, provide information on the effectiveness of the preventive measures to avoid potential negative impacts identified in the materiality analysis.</w:t>
      </w:r>
    </w:p>
    <w:p w14:paraId="2CE1E034" w14:textId="77777777" w:rsidR="006A0C19" w:rsidRDefault="00000000">
      <w:r>
        <w:t>NORDLB assesses the overall effectiveness of the measures with regard to employee retention with a target for the employee redundancy rate see S1-5.</w:t>
      </w:r>
    </w:p>
    <w:p w14:paraId="706301E1" w14:textId="77777777" w:rsidR="006A0C19" w:rsidRDefault="00000000">
      <w:r>
        <w:t>The new employer brand will be implemented with an internal communications campaign followed by external communication and marketing measures, such as the revision of the careers page on the website or marketing measures on social media channels.</w:t>
      </w:r>
    </w:p>
    <w:p w14:paraId="214C1086" w14:textId="77777777" w:rsidR="006A0C19" w:rsidRDefault="00000000">
      <w:r>
        <w:t>Occupational health management supplements the statutory occupational health and safety by designing health-promoting working conditions, raising awareness and supporting managers, and providing preventive and individual offers.</w:t>
      </w:r>
    </w:p>
    <w:p w14:paraId="7E229AD9" w14:textId="77777777" w:rsidR="006A0C19" w:rsidRDefault="00000000">
      <w:r>
        <w:t xml:space="preserve">The health promotion offers include, a company medical service with advice on the optimal design of workplaces, health seminars and annual flu vaccinations an external advisory service for work-related or psychosocial problems for managers and employees company sports, special discounts at fitness clubs, bicycle leasing, relaxing lunch breaks, active breaks specific seminar offers for managers, information materials on addiction prevention and </w:t>
      </w:r>
      <w:r>
        <w:lastRenderedPageBreak/>
        <w:t>dealing with employees with mental health problems Scope The OHM measures are available to almost all employees of the NORDLB Group.</w:t>
      </w:r>
    </w:p>
    <w:p w14:paraId="109B838D" w14:textId="77777777" w:rsidR="006A0C19" w:rsidRDefault="00000000">
      <w:r>
        <w:t>A key measure is the talent identification and development process, which identifies talent in the respective areas of the Bank according to a uniform, objective approach.</w:t>
      </w:r>
    </w:p>
    <w:p w14:paraId="39127058" w14:textId="77777777" w:rsidR="006A0C19" w:rsidRDefault="00000000">
      <w:r>
        <w:t>The identified talents are then subject to a centrally managed development programme and are given individual support by their respective manager.</w:t>
      </w:r>
    </w:p>
    <w:p w14:paraId="136CBBAF" w14:textId="77777777" w:rsidR="006A0C19" w:rsidRDefault="00000000">
      <w:r>
        <w:t>A Bank-wide roll-out and implementation of development measures is planned for 2025.</w:t>
      </w:r>
    </w:p>
    <w:p w14:paraId="4D68E8A3" w14:textId="77777777" w:rsidR="006A0C19" w:rsidRDefault="00000000">
      <w:r>
        <w:t>Targeted social media and trade fair activities as well as individual development opportunities and takeover offers are essential building blocks of our work with young talent.</w:t>
      </w:r>
    </w:p>
    <w:p w14:paraId="4CB19AAB" w14:textId="77777777" w:rsidR="006A0C19" w:rsidRDefault="00000000">
      <w:r>
        <w:t>These include the following activities, Recruiting campaigns, events such as Open Day at NORDLB and participation in training and university trade fairs Apprentice network meetings with other companies in the Hanover region Extensive range of training and study offers in predominantly commercial and IT related professions Trainee programmes, university internships and work-study activities Offer of target group-specific benefits, such as a free Deutschlandticket The aim of personnel development is to prepare managers and employees with systematic learning management for future requirements whilst also promoting individual potential and development opportunities.</w:t>
      </w:r>
    </w:p>
    <w:p w14:paraId="548769B6" w14:textId="77777777" w:rsidR="006A0C19" w:rsidRDefault="00000000">
      <w:r>
        <w:t>The measures for qualification and development include, among other things, The training programme with a focus on interdisciplinary content oriented to NORDLBs skills model Specialist seminars and training courses Offers for self-directed learning via a digital learning platform Qualification offers on focus topics such as sustainability or artificial intelligence The cross-disciplinary qualification is managed via a central training budget.</w:t>
      </w:r>
    </w:p>
    <w:p w14:paraId="69EF51EB" w14:textId="77777777" w:rsidR="006A0C19" w:rsidRDefault="00000000">
      <w:r>
        <w:t>In addition, each specialist unit has a decentralised training budget, which is mainly used for professional qualification and the implementation of individual measures.</w:t>
      </w:r>
    </w:p>
    <w:p w14:paraId="1D26864E" w14:textId="77777777" w:rsidR="006A0C19" w:rsidRDefault="00000000">
      <w:r>
        <w:t>Scope The further training measures are available to all employees of the NORDLB Group.</w:t>
      </w:r>
    </w:p>
    <w:p w14:paraId="69FB2152" w14:textId="77777777" w:rsidR="006A0C19" w:rsidRDefault="00000000">
      <w:r>
        <w:t>The measures relating to junior staff are available to the corresponding target group within the NORDLB Groups employees.</w:t>
      </w:r>
    </w:p>
    <w:p w14:paraId="623A2F76" w14:textId="77777777" w:rsidR="006A0C19" w:rsidRDefault="00000000">
      <w:r>
        <w:t>Time horizon The training and further education measures are available on an ongoing basis.</w:t>
      </w:r>
    </w:p>
    <w:p w14:paraId="6D3BB88D" w14:textId="77777777" w:rsidR="006A0C19" w:rsidRDefault="00000000">
      <w:r>
        <w:t>Managers are responsible for ensuring that employees are adequately qualified.</w:t>
      </w:r>
    </w:p>
    <w:p w14:paraId="2723EEA3" w14:textId="77777777" w:rsidR="006A0C19" w:rsidRDefault="00000000">
      <w:r>
        <w:t>Further training is managed through staff reviews, in which managers and employees discuss further training needs together and agree on corresponding measures.</w:t>
      </w:r>
    </w:p>
    <w:p w14:paraId="2886AEF8" w14:textId="77777777" w:rsidR="006A0C19" w:rsidRDefault="00000000">
      <w:r>
        <w:t>With its systematic diversity management, NORDLB pursues the objective of establishing a culture of diversity and fair development prospects.</w:t>
      </w:r>
    </w:p>
    <w:p w14:paraId="51F32C12" w14:textId="77777777" w:rsidR="006A0C19" w:rsidRDefault="00000000">
      <w:r>
        <w:lastRenderedPageBreak/>
        <w:t>At the same time, diversity management should contribute to the promotion of inclusion and the prevention of discrimination in everyday work.</w:t>
      </w:r>
    </w:p>
    <w:p w14:paraId="78EE8F6B" w14:textId="77777777" w:rsidR="006A0C19" w:rsidRDefault="00000000">
      <w:r>
        <w:t>The activities are driven by the Bank-wide, cross-departmental network Community of Diversity in all dimensions of the Diversity Charta.</w:t>
      </w:r>
    </w:p>
    <w:p w14:paraId="7300F6C0" w14:textId="77777777" w:rsidR="006A0C19" w:rsidRDefault="00000000">
      <w:r>
        <w:t>The activities of the community of diversity include, awareness-raising measures information and qualification offers initiation of process improvements to promote equal opportunities Measures to increase awareness and visibility of diversity at the Bank include actions such as information stands on Orange Day or offers for experiencing physical limitations on German Diversity Day.</w:t>
      </w:r>
    </w:p>
    <w:p w14:paraId="07071FC3" w14:textId="77777777" w:rsidR="006A0C19" w:rsidRDefault="00000000">
      <w:r>
        <w:t>Qualification measures include the introduction of diversity management at NORDLB, for example for young employees, as well as specific offers relating to the different facets of diversity, such as online lectures on the topic of age or mens health.</w:t>
      </w:r>
    </w:p>
    <w:p w14:paraId="375A20A1" w14:textId="77777777" w:rsidR="006A0C19" w:rsidRDefault="00000000">
      <w:r>
        <w:t>Time horizon Diversity management activities are carried out on an ongoing basis with an annual focus on specific campaign days.</w:t>
      </w:r>
    </w:p>
    <w:p w14:paraId="17A2A173" w14:textId="77777777" w:rsidR="006A0C19" w:rsidRDefault="00000000">
      <w:r>
        <w:t>The aspiration to achieve improvements in this area is anchored in the HR strategy under the strategic priorities of Expertise &amp; Development and Culture &amp; Change.</w:t>
      </w:r>
    </w:p>
    <w:p w14:paraId="55186DE7" w14:textId="77777777" w:rsidR="006A0C19" w:rsidRDefault="00000000">
      <w:r>
        <w:t>Increasing the proportion of women in leadership NORDLB pursues the objective of increasing the proportion of women in leadership with the interlinked measures of talent identification and development as well as equal replacement of management positions.</w:t>
      </w:r>
    </w:p>
    <w:p w14:paraId="253D0871" w14:textId="77777777" w:rsidR="006A0C19" w:rsidRDefault="00000000">
      <w:r>
        <w:t>Talent identification and development For talent identification, the goal has been set to establish parity between female and male talents.</w:t>
      </w:r>
    </w:p>
    <w:p w14:paraId="3179A281" w14:textId="77777777" w:rsidR="006A0C19" w:rsidRDefault="00000000">
      <w:r>
        <w:t>The plan is to roll out the talent identification process throughout the Bank and implement development measures for the identified talents in 2025.</w:t>
      </w:r>
    </w:p>
    <w:p w14:paraId="225C0555" w14:textId="77777777" w:rsidR="006A0C19" w:rsidRDefault="00000000">
      <w:r>
        <w:t>The clear level of ambition is intended to support a holistic approach to increasing the share of women in leadership consisting of measures to create transparency, the further development of tools to aid work-life balance and targeted support measures.</w:t>
      </w:r>
    </w:p>
    <w:p w14:paraId="3F4558E2" w14:textId="77777777" w:rsidR="006A0C19" w:rsidRDefault="00000000">
      <w:r>
        <w:t>At the beginning of 2025, the annual kick-off event of the womens network woman@work with the involvement of the Managing Board created the starting point for initiating measures and actions.</w:t>
      </w:r>
    </w:p>
    <w:p w14:paraId="626FA91F" w14:textId="77777777" w:rsidR="006A0C19" w:rsidRDefault="00000000">
      <w:r>
        <w:t>Strengthen employee retention All measures from the strategic priorities working environment, culture &amp; change, expertise &amp; development, recruiting &amp; employer brand defined in the HR strategy have the overall objective of strengthening employee loyalty to NORDLB.</w:t>
      </w:r>
    </w:p>
    <w:p w14:paraId="70B7EDFD" w14:textId="77777777" w:rsidR="006A0C19" w:rsidRDefault="00000000">
      <w:r>
        <w:t>To that end, the HR strategy has set a measurable and result-oriented target for the employee redundancy rate.</w:t>
      </w:r>
    </w:p>
    <w:p w14:paraId="5B31FA0B" w14:textId="77777777" w:rsidR="006A0C19" w:rsidRDefault="00000000">
      <w:r>
        <w:lastRenderedPageBreak/>
        <w:t>Reference year 2023 Period including possible stages or intermediate targets 2024 Methods and significant assumptions See Environmental objectives are based on conclusive scientific findings NA Inclusion of stakeholders The targets are defined with the involvement of the HR department as part of the annual updating of the HR strategy.</w:t>
      </w:r>
    </w:p>
    <w:p w14:paraId="275270DB" w14:textId="77777777" w:rsidR="006A0C19" w:rsidRDefault="00000000">
      <w:r>
        <w:t>Description of the performance compared to the stated objectives The employee redundancy rate in 2024 was at a stable level of 2.</w:t>
      </w:r>
    </w:p>
    <w:p w14:paraId="20C05AE0" w14:textId="77777777" w:rsidR="006A0C19" w:rsidRDefault="00000000">
      <w:r>
        <w:t>In addition, evaluations and analyses on focus topics such as gender equality are used to create transparency and derive the need for action.</w:t>
      </w:r>
    </w:p>
    <w:p w14:paraId="0E6B0AA3" w14:textId="77777777" w:rsidR="006A0C19" w:rsidRDefault="00000000">
      <w:r>
        <w:t>Methods and assumptions The calculation of the percentage of employees who do not receive appropriate remuneration is based on the actual measurement of the number of employees and the gross salary of the employees as at the reporting date 31 December of the reporting period in the foreign branches, representative offices, subsidiaries and NORDLB AöR in Germany.</w:t>
      </w:r>
    </w:p>
    <w:p w14:paraId="3B83B8BA" w14:textId="6FBEADFE" w:rsidR="006A0C19" w:rsidRDefault="00000000">
      <w:r>
        <w:t>Information regarding the further employee training and skills development, Percentage of employees, who have participated in regular Average number of training Gender* performance and career development reviews hours per employee Male 92.</w:t>
      </w:r>
    </w:p>
    <w:p w14:paraId="4752832C" w14:textId="77777777" w:rsidR="006A0C19" w:rsidRDefault="00000000">
      <w:r>
        <w:t>Methods and assumptions The information is based on the actual measurement of the total traning hours as well as the participation in performancecareer development reviews by gender during the reporting period in the foreign branches, representative offices, subsidiaries and NORDLB AöR in Germany.</w:t>
      </w:r>
    </w:p>
    <w:p w14:paraId="437F1363" w14:textId="0125D7CC" w:rsidR="006A0C19" w:rsidRDefault="00000000">
      <w:r>
        <w:t>The percentage of employees covered by a health and safety management system based on legal requirements andor recognised standards or guidelines is 100%.</w:t>
      </w:r>
    </w:p>
    <w:p w14:paraId="7D17A616" w14:textId="77777777" w:rsidR="006A0C19" w:rsidRDefault="00000000">
      <w:r>
        <w:t>The information is based on the actual measurement of the total remuneration and the total working hours of employees during the reporting period in the foreign branches, representative offices, subsidiaries and NORDLB AöR in Germany.</w:t>
      </w:r>
    </w:p>
    <w:p w14:paraId="0F4B9421" w14:textId="77777777" w:rsidR="006A0C19" w:rsidRDefault="00000000">
      <w:r>
        <w:t>Methods and assumptions See 103, Impact, risk and opportunity management ESRS G1 G1-1 9, MDR-P, NORDLB is committed to promoting a corporate culture based on ethical principles and legal compliance.</w:t>
      </w:r>
    </w:p>
    <w:p w14:paraId="617E6C4F" w14:textId="77777777" w:rsidR="006A0C19" w:rsidRDefault="00000000">
      <w:r>
        <w:t>The Code of Conduct serves as an essential guide for all employees to ensure that conduct is in line with the companys values and legal requirements.</w:t>
      </w:r>
    </w:p>
    <w:p w14:paraId="4A0E06FD" w14:textId="77777777" w:rsidR="006A0C19" w:rsidRDefault="00000000">
      <w:r>
        <w:t>It covers important topics such as risk management, data protection and corruption prevention and supports employees in identifying and avoiding potential violations.</w:t>
      </w:r>
    </w:p>
    <w:p w14:paraId="172EEE28" w14:textId="77777777" w:rsidR="006A0C19" w:rsidRDefault="00000000">
      <w:r>
        <w:t xml:space="preserve">References to significant impacts, risks or opportunities The Code of Conduct relates to material impacts by counteracting any discriminatory behaviour and promoting behaviour that has a positive impact on cooperation within the Bank and relationships with customers </w:t>
      </w:r>
      <w:r>
        <w:lastRenderedPageBreak/>
        <w:t>and other stakeholders, with an express commitment to diversity and equal opportunities and zero tolerance for any form of discrimination.</w:t>
      </w:r>
    </w:p>
    <w:p w14:paraId="7E732AA0" w14:textId="77777777" w:rsidR="006A0C19" w:rsidRDefault="00000000">
      <w:r>
        <w:t>Monitoring process As part of the instruction system, the Code of Conduct is reviewed every 36 months to ensure it is up to date and adapted to changing social conditions, such as changing ethical values abd legal changes.</w:t>
      </w:r>
    </w:p>
    <w:p w14:paraId="233741E0" w14:textId="77777777" w:rsidR="006A0C19" w:rsidRDefault="00000000">
      <w:r>
        <w:t>Scope and information on whether the concept covers specific groups within the workforce or the entire workforce The Code of Conduct forms the framework for integrity, value-conscious and fair conduct and is binding for all members of the Managing Board, managers and employees of the NORDLB Group, thus covering the entire workforce.</w:t>
      </w:r>
    </w:p>
    <w:p w14:paraId="19E6EAB2" w14:textId="77777777" w:rsidR="006A0C19" w:rsidRDefault="00000000">
      <w:r>
        <w:t>Third-party standards or initiatives which the Bank undertakes to comply with Diversity Charter International Labour Organisation Core Labour Standards UN Global Compact Consideration of the interests of key stakeholders The Code of Conduct aims to ensure that all internal and external stakeholders behave with integrity, value awareness and fairness.</w:t>
      </w:r>
    </w:p>
    <w:p w14:paraId="4AC66A9B" w14:textId="77777777" w:rsidR="006A0C19" w:rsidRDefault="00000000">
      <w:r>
        <w:t>Further information on NORDLBs HR strategy can be found here under 19.</w:t>
      </w:r>
    </w:p>
    <w:p w14:paraId="38F4A223" w14:textId="77777777" w:rsidR="006A0C19" w:rsidRDefault="00000000">
      <w:r>
        <w:t>, MDR-P minimum disclosure requirement, Concepts for dealing with material sustainability aspects Gifts and Invitations Policy Policy Invitations and Gifts Policy Main content, objectives and reference to material impacts, risks and opportunities Core content The Invitations and Gifts Policy specifies the requirements of the Code of Conduct, which does not tolerate any form of corruption, bribery and the taking or granting of advantages in public or private business transactions.</w:t>
      </w:r>
    </w:p>
    <w:p w14:paraId="1BFCECC9" w14:textId="77777777" w:rsidR="006A0C19" w:rsidRDefault="00000000">
      <w:r>
        <w:t>General objectives The Directive therefore supports the ability to maintain the level of socially appropriate conduct with regard to invitations and gifts from and to customers and services without the appearance of corruption or takinggiving advantages.</w:t>
      </w:r>
    </w:p>
    <w:p w14:paraId="5114AD37" w14:textId="77777777" w:rsidR="006A0C19" w:rsidRDefault="00000000">
      <w:r>
        <w:t>Compliance with the policy is monitored by a reporting process with a robot-assisted approval process.</w:t>
      </w:r>
    </w:p>
    <w:p w14:paraId="2145FACA" w14:textId="77777777" w:rsidR="006A0C19" w:rsidRDefault="00000000">
      <w:r>
        <w:t>References to significant impacts, risks or opportunities The policy therefore essentially has an impact on the mitigation of possible compliance risks by supporting the workforce in avoiding conflicts of interest.</w:t>
      </w:r>
    </w:p>
    <w:p w14:paraId="14B2C8C3" w14:textId="77777777" w:rsidR="006A0C19" w:rsidRDefault="00000000">
      <w:r>
        <w:t>Third-party standards or initiatives which the Bank undertakes to comply with na Consideration of the interests of key stakeholders na Provision for potentially affected stakeholders and stakeholders whose help is required in the implementation The guidelines will be made available on the Employee Portal.</w:t>
      </w:r>
    </w:p>
    <w:p w14:paraId="29CCAF37" w14:textId="77777777" w:rsidR="006A0C19" w:rsidRDefault="00000000">
      <w:r>
        <w:t>General objectives In the interests of the Bank, employees should contact the Ombudsman or Compliance as soon as possible if they become aware of or suspect legal violations and other criminal acts that may constitute an economic andor reputational risk for the Bank.</w:t>
      </w:r>
    </w:p>
    <w:p w14:paraId="2C6AAAAC" w14:textId="77777777" w:rsidR="006A0C19" w:rsidRDefault="00000000">
      <w:r>
        <w:lastRenderedPageBreak/>
        <w:t>Responsibility for top-level implementation The NORDLB Managing Board is responsible for implementing the policy.</w:t>
      </w:r>
    </w:p>
    <w:p w14:paraId="13224C39" w14:textId="77777777" w:rsidR="006A0C19" w:rsidRDefault="00000000">
      <w:r>
        <w:t>Consideration of the interests of key stakeholders na Provision for potentially affected stakeholders and stakeholders whose help is required in the implementation The policy is not actively made available to external stakeholders.</w:t>
      </w:r>
    </w:p>
    <w:p w14:paraId="25D2E1FA" w14:textId="77777777" w:rsidR="006A0C19" w:rsidRDefault="00000000">
      <w:r>
        <w:t>The activities they undertake, for example in the compliance department at NORDLB, ensure that the employees who receive information have the necessary expertise to work in accordance with the process.</w:t>
      </w:r>
    </w:p>
    <w:p w14:paraId="2634014C" w14:textId="77777777" w:rsidR="006A0C19" w:rsidRDefault="00000000">
      <w:r>
        <w:t>General objectives The main objectives are to comply with legal requirements for the prevention of money laundering and terrorist financing and to ensure the integrity and security of financial transactions.</w:t>
      </w:r>
    </w:p>
    <w:p w14:paraId="34229368" w14:textId="77777777" w:rsidR="006A0C19" w:rsidRDefault="00000000">
      <w:r>
        <w:t>Responsibility for top-level implementation NORDLBs Managing Board is responsible for implementing the anti-money laundering and terrorist financing strategy.</w:t>
      </w:r>
    </w:p>
    <w:p w14:paraId="2D7DCB9B" w14:textId="77777777" w:rsidR="006A0C19" w:rsidRDefault="00000000">
      <w:r>
        <w:t>Consideration of the interests of key stakeholders The policy takes into account the requirements of the BaFin and other supervisory authorities as well as the interests of customers and the Bank.</w:t>
      </w:r>
    </w:p>
    <w:p w14:paraId="4DF8D672" w14:textId="77777777" w:rsidR="006A0C19" w:rsidRDefault="00000000">
      <w:r>
        <w:t>Provision for potentially affected stakeholders and stakeholders whose help is required in the implementation The policy is communicated to all relevant stakeholders through training and regular reporting.</w:t>
      </w:r>
    </w:p>
    <w:p w14:paraId="5E47A4C9" w14:textId="77777777" w:rsidR="006A0C19" w:rsidRDefault="00000000">
      <w:r>
        <w:t>All employees are called upon to act in accordance with their duties and not to accept or grant any benefits that improve the economic, legal or even merely personal situation of the recipients materially or intangibly without any entitlement to this.</w:t>
      </w:r>
    </w:p>
    <w:p w14:paraId="7D8996E5" w14:textId="77777777" w:rsidR="006A0C19" w:rsidRDefault="00000000">
      <w:r>
        <w:t>In order to ensure that employees meet NORDLBs standards in the context of integrity and compliance, they are subjected to a reliability check upon hiring or on an ad hoc basis.</w:t>
      </w:r>
    </w:p>
    <w:p w14:paraId="226ED444" w14:textId="77777777" w:rsidR="006A0C19" w:rsidRDefault="00000000">
      <w:r>
        <w:t>The investigation is always carried out by the compliance anti-fraud manager and the anti-fraud auditor from Auditing.</w:t>
      </w:r>
    </w:p>
    <w:p w14:paraId="10D1FEF6" w14:textId="77777777" w:rsidR="006A0C19" w:rsidRDefault="00000000">
      <w:r>
        <w:t>If the initial suspicion persists or a certain level of damage is reached, the Governance, OpRisk and Compliance Committee is convened for further assessment and clarification.</w:t>
      </w:r>
    </w:p>
    <w:p w14:paraId="632ED711" w14:textId="77777777" w:rsidR="006A0C19" w:rsidRDefault="00000000">
      <w:r>
        <w:t>This includes managers from the Risk Controlling, Compliance, Auditing advisory and Legal departments, as well as HR in the case of employees.</w:t>
      </w:r>
    </w:p>
    <w:p w14:paraId="16FD8DC1" w14:textId="77777777" w:rsidR="006A0C19" w:rsidRDefault="00000000">
      <w:r>
        <w:t>Parameters and targets ESRS G1 G1-4 24, , MDR-M, There are no convictions for violations of anti-corruption and bribery regulations in this financial year.</w:t>
      </w:r>
    </w:p>
    <w:p w14:paraId="1833F224" w14:textId="77777777" w:rsidR="006A0C19" w:rsidRDefault="00000000">
      <w:r>
        <w:t>NORDLB deals with tax issues in accordance with the corporate strategy and the fundamental corporate values as defined in the Ethics &amp; Compliance Policy.</w:t>
      </w:r>
    </w:p>
    <w:p w14:paraId="1BDD1E6E" w14:textId="77777777" w:rsidR="006A0C19" w:rsidRDefault="00000000">
      <w:r>
        <w:lastRenderedPageBreak/>
        <w:t>General objectives The general objectives of NORDLBs Group Tax Framework Policy include compliance with the corporate strategy and ethical values so that tax decisions are made in accordance with these principles.</w:t>
      </w:r>
    </w:p>
    <w:p w14:paraId="0CE52327" w14:textId="77777777" w:rsidR="006A0C19" w:rsidRDefault="00000000">
      <w:r>
        <w:t>Compliance with tax disclosure and declaration obligations must be ensured, and relevant documents must be stored in accordance with legal requirements.</w:t>
      </w:r>
    </w:p>
    <w:p w14:paraId="4D8243B1" w14:textId="77777777" w:rsidR="006A0C19" w:rsidRDefault="00000000">
      <w:r>
        <w:t>In the NORDLB Group, NORDLB's Managing Board is responsible for creating, reviewing, updating, implementing and monitoring compliance with the Group Tax Framework Policy by virtue of its position as an executive body.</w:t>
      </w:r>
    </w:p>
    <w:p w14:paraId="196BC3CE" w14:textId="77777777" w:rsidR="006A0C19" w:rsidRDefault="00000000">
      <w:r>
        <w:t>In addition, NORDLB fulfils its obligation to have established and continue to establish appropriate processes and controls to ensure compliance with tax regulations.</w:t>
      </w:r>
    </w:p>
    <w:p w14:paraId="56437BE5" w14:textId="77777777" w:rsidR="006A0C19" w:rsidRDefault="00000000">
      <w:r>
        <w:t>Consideration of the interests of key stakeholders The policy will be made available to the auditor during the audit of the annual financial statements and updated if necessary.</w:t>
      </w:r>
    </w:p>
    <w:p w14:paraId="75F4D3A9" w14:textId="77777777" w:rsidR="006A0C19" w:rsidRDefault="00000000">
      <w:r>
        <w:t>Provision for potentially affected stakeholders and stakeholders whose help is required in the implementation The policy is not shared externally.</w:t>
      </w:r>
    </w:p>
    <w:p w14:paraId="4C68E192" w14:textId="77777777" w:rsidR="006A0C19" w:rsidRDefault="00000000">
      <w:r>
        <w:t>To that end, the Managing Board has set up the Tax Compliance function and delegated its duties to the Tax OU and appointed a TCO.</w:t>
      </w:r>
    </w:p>
    <w:p w14:paraId="6EA27C85" w14:textId="77777777" w:rsidR="006A0C19" w:rsidRDefault="00000000">
      <w:r>
        <w:t>As part of this task, the Tax OU and the TCO are entitled to issue instructions to other specialist departments of NORDLB that can be used to ensure compliance with tax law requirements.</w:t>
      </w:r>
    </w:p>
    <w:p w14:paraId="6A8FFC64" w14:textId="77777777" w:rsidR="006A0C19" w:rsidRDefault="00000000">
      <w:r>
        <w:t>The subsidiaries must implement this policy properly and ensure its implementation and compliance.</w:t>
      </w:r>
    </w:p>
    <w:p w14:paraId="30D26EC2" w14:textId="77777777" w:rsidR="006A0C19" w:rsidRDefault="00000000">
      <w:r>
        <w:t>If individual NORDLB Group companies issue or have issued their own regulations in connection with the responsibility and accountability for tax matters, they may not contradict this policy.</w:t>
      </w:r>
    </w:p>
    <w:p w14:paraId="13EFC792" w14:textId="77777777" w:rsidR="006A0C19" w:rsidRDefault="00000000">
      <w:r>
        <w:t>In addition to the controls carried out by the Tax OUs as part of process consultations and random checks, further development of the TCMS is also carried out in coordination with other divisions particularly Compliance and established systems.</w:t>
      </w:r>
    </w:p>
    <w:p w14:paraId="70C7DD44" w14:textId="77777777" w:rsidR="006A0C19" w:rsidRDefault="00000000">
      <w:r>
        <w:t>The compliance programme is subject to continuous optimisation and further development.</w:t>
      </w:r>
    </w:p>
    <w:p w14:paraId="3E806081" w14:textId="77777777" w:rsidR="006A0C19" w:rsidRDefault="00000000">
      <w:r>
        <w:t>The TCO is also responsible for the risk management task of identifying company-specific risk potentials and evaluating tax risks as well as developing proposals for avoiding or managing tax compliance risks.</w:t>
      </w:r>
    </w:p>
    <w:p w14:paraId="5E0316CB" w14:textId="77777777" w:rsidR="006A0C19" w:rsidRDefault="00000000">
      <w:r>
        <w:t>Together with the Tax OU, the TCO is responsible for the annual Tax Compliance Annual Report for the Managing Board, in which the tax-relevant status and, if necessary, possible countermeasures for observations and findings are reported.</w:t>
      </w:r>
    </w:p>
    <w:p w14:paraId="378E5319" w14:textId="77777777" w:rsidR="006A0C19" w:rsidRDefault="00000000">
      <w:r>
        <w:lastRenderedPageBreak/>
        <w:t>How the effectiveness of actions and initiatives in achieving results for own workforce is tracked and evaluated The measures that lead to a proper audit process are regularly checked and adapted or extended as necessary.</w:t>
      </w:r>
    </w:p>
    <w:p w14:paraId="6A16A864" w14:textId="00C2C014" w:rsidR="006A0C19" w:rsidRDefault="00000000">
      <w:r>
        <w:t>NORDLB also has an independent and effective whistleblower system, which is described in detail</w:t>
      </w:r>
      <w:r w:rsidR="00837113">
        <w:t>.</w:t>
      </w:r>
    </w:p>
    <w:p w14:paraId="0246FB05" w14:textId="77777777" w:rsidR="006A0C19" w:rsidRDefault="00000000">
      <w:r>
        <w:t>In cases in which NORDLB employees become aware of this or there is a justified suspicion that business transactions may be suitable for promoting unlawful taxation, these employees must inform NORDLBs head of compliance, who then decides on the further course of action.</w:t>
      </w:r>
    </w:p>
    <w:p w14:paraId="78189780" w14:textId="77777777" w:rsidR="006A0C19" w:rsidRDefault="00000000">
      <w:r>
        <w:t>Among other things, the written documentation of internal regulations published on the Intranet by the NORDLB Managing Board as well as more detailed work instructions and processes ensure internal transparency.</w:t>
      </w:r>
    </w:p>
    <w:p w14:paraId="6278FB8B" w14:textId="77777777" w:rsidR="006A0C19" w:rsidRDefault="00000000">
      <w:r>
        <w:t>This applies in particular to so-called power purchase agreements, which are used by many companies to implement their sustainability goals.</w:t>
      </w:r>
    </w:p>
    <w:p w14:paraId="5656DF6F" w14:textId="77777777" w:rsidR="006A0C19" w:rsidRDefault="00000000">
      <w:r>
        <w:t>The aim of IFRS 18 is to reduce the previous diversity in reporting with regard to the presentation of expenses and income and introduce a different structure for the income statement.</w:t>
      </w:r>
    </w:p>
    <w:p w14:paraId="5DC67A4B" w14:textId="77777777" w:rsidR="006A0C19" w:rsidRDefault="00000000">
      <w:r>
        <w:t>IFRS 19 Subsidiaries without public accountability, Disclosures IFRS 19 is intended to give eligible subsidiaries the option subject to existing local regulations to voluntarily apply the IFRS accounting standards with reduced disclosure requirements specified in the new standard in their individual or sub-consolidated financial statements.</w:t>
      </w:r>
    </w:p>
    <w:p w14:paraId="224E6857" w14:textId="77777777" w:rsidR="006A0C19" w:rsidRDefault="00000000">
      <w:r>
        <w:t>Capitalised costs of internally developed software comprise expenses for internal and external services incurred during the development phase which are directly attributable for customising and testing activities in particular.</w:t>
      </w:r>
    </w:p>
    <w:p w14:paraId="350583F5" w14:textId="77777777" w:rsidR="006A0C19" w:rsidRDefault="00000000">
      <w:r>
        <w:t>Differences between assumptions made and developments that actually take place as well as changes in the assumptions made when measuring defined benefit plans and similar obligations result in actuarial gains and losses, which are recognised under other comprehensive income in the year during which they arise.</w:t>
      </w:r>
    </w:p>
    <w:p w14:paraId="2FA42A3E" w14:textId="77777777" w:rsidR="006A0C19" w:rsidRDefault="00000000">
      <w:r>
        <w:t>In the Energy area, the focus is on predominantly project-related transactions in the renewable energy sectors, in particular wind and solarphotovoltaics in Europe.</w:t>
      </w:r>
    </w:p>
    <w:p w14:paraId="47F55701" w14:textId="77777777" w:rsidR="006A0C19" w:rsidRDefault="00000000">
      <w:r>
        <w:t>As part of the Bank-wide ESG approach, Treasury is also responsible for the issuance capability of green bonds and contributes to the creation of a green value chain that extends from green assets to the issuance of green bonds.</w:t>
      </w:r>
    </w:p>
    <w:p w14:paraId="2A1789F8" w14:textId="77777777" w:rsidR="006A0C19" w:rsidRDefault="00000000">
      <w:r>
        <w:t>The impairment of deferred taxes is based on the Banks successful business development in recent years combined with the positive taxable result based on the medium-term plan.</w:t>
      </w:r>
    </w:p>
    <w:p w14:paraId="6414C94E" w14:textId="77777777" w:rsidR="006A0C19" w:rsidRDefault="00000000">
      <w:r>
        <w:lastRenderedPageBreak/>
        <w:t>The objectives are to ensure adequate capital adequacy in quantitative and qualitative terms, to achieve an appropriate return on equity and to ensure long-term compliance with the regulatory minimum capital requirements at Group level.</w:t>
      </w:r>
    </w:p>
    <w:p w14:paraId="0C7BA9DA" w14:textId="77777777" w:rsidR="006A0C19" w:rsidRDefault="00000000">
      <w:r>
        <w:t>These regulatory capital ratios are subject to statutory minimum capital requirements and capital buffers as well as additional requirements applicable individually at NORDLB Group level for compliance with certain capital ratios by the European Central Bank in its role as the competent supervisory authority of NORDLB.</w:t>
      </w:r>
    </w:p>
    <w:p w14:paraId="7F2FD4FA" w14:textId="77777777" w:rsidR="006A0C19" w:rsidRDefault="00000000">
      <w:r>
        <w:t>Future demands on equity management will remain diverse due to the need to respond to new regulatory requirements and ongoing changes in the ECB's andor SRB's individual minimum capital requirements, the specialist monitoring of the Bank's internal optimisation measures and the implementation of or support with special regulatory requirements.</w:t>
      </w:r>
    </w:p>
    <w:p w14:paraId="690A7148" w14:textId="77777777" w:rsidR="006A0C19" w:rsidRDefault="00000000">
      <w:r>
        <w:t>Based on the measures agreed in the basic agreement to strengthen capital, NORDLB concluded guarantee contracts with the State of Lower Saxony in 2019 to hedge loss risks and free up regulatory capital.</w:t>
      </w:r>
    </w:p>
    <w:sectPr w:rsidR="006A0C1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93938681">
    <w:abstractNumId w:val="8"/>
  </w:num>
  <w:num w:numId="2" w16cid:durableId="668869025">
    <w:abstractNumId w:val="6"/>
  </w:num>
  <w:num w:numId="3" w16cid:durableId="1741514298">
    <w:abstractNumId w:val="5"/>
  </w:num>
  <w:num w:numId="4" w16cid:durableId="1220627132">
    <w:abstractNumId w:val="4"/>
  </w:num>
  <w:num w:numId="5" w16cid:durableId="1890721410">
    <w:abstractNumId w:val="7"/>
  </w:num>
  <w:num w:numId="6" w16cid:durableId="1276017324">
    <w:abstractNumId w:val="3"/>
  </w:num>
  <w:num w:numId="7" w16cid:durableId="279144537">
    <w:abstractNumId w:val="2"/>
  </w:num>
  <w:num w:numId="8" w16cid:durableId="522089728">
    <w:abstractNumId w:val="1"/>
  </w:num>
  <w:num w:numId="9" w16cid:durableId="1809201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0C19"/>
    <w:rsid w:val="00837113"/>
    <w:rsid w:val="008A51E5"/>
    <w:rsid w:val="00993388"/>
    <w:rsid w:val="00AA1D8D"/>
    <w:rsid w:val="00B47730"/>
    <w:rsid w:val="00CB0664"/>
    <w:rsid w:val="00D45721"/>
    <w:rsid w:val="00D70F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C11AE8"/>
  <w14:defaultImageDpi w14:val="300"/>
  <w15:docId w15:val="{83F9B840-C550-EB4C-8E85-90E104B6F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41</Pages>
  <Words>15333</Words>
  <Characters>87404</Characters>
  <Application>Microsoft Office Word</Application>
  <DocSecurity>0</DocSecurity>
  <Lines>728</Lines>
  <Paragraphs>205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102532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5</cp:revision>
  <dcterms:created xsi:type="dcterms:W3CDTF">2013-12-23T23:15:00Z</dcterms:created>
  <dcterms:modified xsi:type="dcterms:W3CDTF">2025-08-01T12:00:00Z</dcterms:modified>
  <cp:category/>
</cp:coreProperties>
</file>