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C37C" w14:textId="77777777" w:rsidR="00CB4CF4" w:rsidRDefault="00000000">
      <w:r>
        <w:t>The information published in this non-financial report by Norddeutsche Landesbank Girozentrale abbreviated to NORDLB, with registered offices in Hanover, Braunschweig and Magdeburg, is important for understanding the business development, operating results and position of the NORD-LB Group, and for understanding the effects of its activities in accordance with the requirements of Sections 315c in conjunction with Sections 289c, 289d and 289e HGB.</w:t>
      </w:r>
    </w:p>
    <w:p w14:paraId="5D8D5339" w14:textId="77777777" w:rsidR="00CB4CF4" w:rsidRDefault="00000000">
      <w:r>
        <w:t>As part of the materiality analysis, the ESG topics that are relevant to the business activities of the NORDLB Group were identified by means of a comprehensive assessment of internal and external stakeholders, industry trends, regulatory requirements and risk analyses.</w:t>
      </w:r>
    </w:p>
    <w:p w14:paraId="11BE901F" w14:textId="77777777" w:rsidR="00CB4CF4" w:rsidRDefault="00000000">
      <w:r>
        <w:t>The goal is to reduce our own Scope 1 and 2 CO2 emissions each year.</w:t>
      </w:r>
    </w:p>
    <w:p w14:paraId="56ABA3A4" w14:textId="77777777" w:rsidR="00CB4CF4" w:rsidRDefault="00000000">
      <w:r>
        <w:t>CO2 emissions are monitored via internal sustainability management reports newly created in 2023.</w:t>
      </w:r>
    </w:p>
    <w:p w14:paraId="11B1B521" w14:textId="77777777" w:rsidR="00CB4CF4" w:rsidRDefault="00000000">
      <w:r>
        <w:t>Diversity and equal opportunities employee issues, social issues, respect for human rights The responsible handling of human rights, labour standards and diversity are a basic prerequisite for the NORDLB Group as a future-oriented employer.</w:t>
      </w:r>
    </w:p>
    <w:p w14:paraId="697E71B3" w14:textId="77777777" w:rsidR="00CB4CF4" w:rsidRDefault="00000000">
      <w:r>
        <w:t>In the reporting year, diversity management was promoted through activities, workshops and measures.</w:t>
      </w:r>
    </w:p>
    <w:p w14:paraId="32DCE181" w14:textId="77777777" w:rsidR="00CB4CF4" w:rsidRDefault="00000000">
      <w:r>
        <w:t>Corporate conduct and governance environmental issues In 2023, the Managing Board finalised and adopted the ESG framework, which describes the ESG commitments entered into and the business exclusions, among other things.</w:t>
      </w:r>
    </w:p>
    <w:p w14:paraId="5EC3E6E8" w14:textId="77777777" w:rsidR="00CB4CF4" w:rsidRDefault="00000000">
      <w:r>
        <w:t>During the course of the year, a holistic ESG strategy was drawn up for the NORDLB Group, which incorporated both the ESG framework and the existing climate strategy.</w:t>
      </w:r>
    </w:p>
    <w:p w14:paraId="1C7E3258" w14:textId="77777777" w:rsidR="00CB4CF4" w:rsidRDefault="00000000">
      <w:r>
        <w:t>Lawful conduct and anti-corruption combating corruption and bribery With its compliance management, the NORDLB Group pursues the objective of implementing regulationcompliant procedures and monitoring national and international legal standards and voluntary commitments.</w:t>
      </w:r>
    </w:p>
    <w:p w14:paraId="305E0833" w14:textId="77777777" w:rsidR="00CB4CF4" w:rsidRDefault="00000000">
      <w:r>
        <w:t>The Managing Board is provided with comprehensive information on compliance-relevant topics in an annual compliance report.</w:t>
      </w:r>
    </w:p>
    <w:p w14:paraId="226D6924" w14:textId="77777777" w:rsidR="00CB4CF4" w:rsidRDefault="00000000">
      <w:r>
        <w:t>Digital responsibility and data security social isuues, respect for human rights This topic includes the safeguarding of customer or other third party rights to data protection and privacy, and includes issues such as the protection of personal customer data through appropriate information security measures, the dissemination of new technologies and security risks, liability and cybersecurity.</w:t>
      </w:r>
    </w:p>
    <w:p w14:paraId="5A675109" w14:textId="77777777" w:rsidR="00CB4CF4" w:rsidRDefault="00000000">
      <w:r>
        <w:t>A detailed description of the business model as well as important trends and factors that could influence the future development of the NORDLB Group are included in the financial report as part of the Group management report as at 31 December 2023.</w:t>
      </w:r>
    </w:p>
    <w:p w14:paraId="489CA0A2" w14:textId="77777777" w:rsidR="00CB4CF4" w:rsidRDefault="00000000">
      <w:r>
        <w:lastRenderedPageBreak/>
        <w:t>Sustainability in the NORDLB Group Banks have a significant impact on a sustainable economy and society by directing financial flows and in this way enabling economic growth, creating jobs and providing social services.</w:t>
      </w:r>
    </w:p>
    <w:p w14:paraId="3BCB42F0" w14:textId="77777777" w:rsidR="00CB4CF4" w:rsidRDefault="00000000">
      <w:r>
        <w:t>With the adoption of the EU Action Plan and the Green Deal, among other things, the European Union has launched initiatives for the transition to a sustainable economy and thus called on companies to pay greater attention to, manage and report externally on environmental, social and governance issues in the context of their business.</w:t>
      </w:r>
    </w:p>
    <w:p w14:paraId="7FD3D417" w14:textId="77777777" w:rsidR="00CB4CF4" w:rsidRDefault="00000000">
      <w:r>
        <w:t>By financing renewable energies and sustainable real estate, the NORDLB Group is playing its part in achieving the climate goals.</w:t>
      </w:r>
    </w:p>
    <w:p w14:paraId="7C7C6D90" w14:textId="77777777" w:rsidR="00CB4CF4" w:rsidRDefault="00000000">
      <w:r>
        <w:t>Consideration of industrial sectors through sector sprints The NORDLB Group aims to reduce CO2 emissions in the loan portfolio financed by the Bank.</w:t>
      </w:r>
    </w:p>
    <w:p w14:paraId="4C842D37" w14:textId="77777777" w:rsidR="00CB4CF4" w:rsidRDefault="00000000">
      <w:r>
        <w:t>To reduce the scope of the CO2 emissions financed by the Bank, it progressively looks at individual economic sectors industries and develops appropriate sector-related strategies via sector sprints.</w:t>
      </w:r>
    </w:p>
    <w:p w14:paraId="05C77339" w14:textId="77777777" w:rsidR="00CB4CF4" w:rsidRDefault="00000000">
      <w:r>
        <w:t>These sector sprints serve to clarify how the Bank can reduce the financed greenhouse gas emissions in CO2 to zero for the corresponding loan sub-portfolios.</w:t>
      </w:r>
    </w:p>
    <w:p w14:paraId="4F9BF5D2" w14:textId="77777777" w:rsidR="00CB4CF4" w:rsidRDefault="00000000">
      <w:r>
        <w:t>Following the stock take of the loan sub-portfolios, measures are then developed to achieve the goal of financing zero greenhouse gas emissions in these portfolios of the respective economic sector.</w:t>
      </w:r>
    </w:p>
    <w:p w14:paraId="2D326842" w14:textId="77777777" w:rsidR="00CB4CF4" w:rsidRDefault="00000000">
      <w:r>
        <w:t>The BLUE project was initiated on 1 January 2024 to further incorporate sustainability and ESG into the Bank and to develop market opportunities in the context of ESG.</w:t>
      </w:r>
    </w:p>
    <w:p w14:paraId="01D68632" w14:textId="77777777" w:rsidR="00CB4CF4" w:rsidRDefault="00000000">
      <w:r>
        <w:t>In the 2023 financial year, Project CARE focused primarily on continuing activities aimed at measurability and the future reduction of CO2 emissions in the NORDLB Groups financing portfolio.</w:t>
      </w:r>
    </w:p>
    <w:p w14:paraId="1DE6D3F4" w14:textId="77777777" w:rsidR="00CB4CF4" w:rsidRDefault="00000000">
      <w:r>
        <w:t>In addition to this, an ESG- specific governance model was established, internal sustainability management reporting was introduced into the Banks processes and a comprehensive ESG strategy for NORDLB was formulated and adopted by the Banks governing bodies.</w:t>
      </w:r>
    </w:p>
    <w:p w14:paraId="3B5DFC6E" w14:textId="77777777" w:rsidR="00CB4CF4" w:rsidRDefault="00000000">
      <w:r>
        <w:t>To achieve such a climate-neutral portfolio, the NORDLB Group has, for the first time, identified currently financed emissions in all sectors baselining as a reference point.</w:t>
      </w:r>
    </w:p>
    <w:p w14:paraId="1FA9C8B4" w14:textId="77777777" w:rsidR="00CB4CF4" w:rsidRDefault="00000000">
      <w:r>
        <w:t>Based on this sector-specific baselining, NORDLB develops transition scenarios with which the Bank can support its customers on the path to net zero.</w:t>
      </w:r>
    </w:p>
    <w:p w14:paraId="4F855278" w14:textId="77777777" w:rsidR="00CB4CF4" w:rsidRDefault="00000000">
      <w:r>
        <w:t>In this way, the CARE project will enable the Banks line organisation to focus its financing resources on sustainable financing activities and thus make a significant contribution to the decarbonisation targets of the Paris Agreement and the German Climate Protection Act.</w:t>
      </w:r>
    </w:p>
    <w:p w14:paraId="48B99E75" w14:textId="77777777" w:rsidR="00CB4CF4" w:rsidRDefault="00000000">
      <w:r>
        <w:lastRenderedPageBreak/>
        <w:t>In addition, steering impetus with regard to sustainability objectives will be derived from the reporting.</w:t>
      </w:r>
    </w:p>
    <w:p w14:paraId="1400D8AE" w14:textId="77777777" w:rsidR="00CB4CF4" w:rsidRDefault="00000000">
      <w:r>
        <w:t>They are used to quantify and monitor the Banks results and progress in relation to sustainability objectives.</w:t>
      </w:r>
    </w:p>
    <w:p w14:paraId="7F854D72" w14:textId="77777777" w:rsidR="00CB4CF4" w:rsidRDefault="00000000">
      <w:r>
        <w:t>The NORDLB Groups climate strategy adopted last year has been incorporated into the new, more comprehensive ESG strategy.</w:t>
      </w:r>
    </w:p>
    <w:p w14:paraId="37F8FE22" w14:textId="77777777" w:rsidR="00CB4CF4" w:rsidRDefault="00000000">
      <w:r>
        <w:t>In addition, a customer-specific ESG score is determined and checks are made to ensure compliance of the lending transactions within the framework of the European Taxonomy Regulation.</w:t>
      </w:r>
    </w:p>
    <w:p w14:paraId="663A3198" w14:textId="77777777" w:rsidR="00CB4CF4" w:rsidRDefault="00000000">
      <w:r>
        <w:t>More detailed information on the ESG scores can be found in the Sustainability section of the business strategy.</w:t>
      </w:r>
    </w:p>
    <w:p w14:paraId="618D8CDA" w14:textId="77777777" w:rsidR="00CB4CF4" w:rsidRDefault="00000000">
      <w:r>
        <w:t>Due to the rapidly developing marketcompetitive and regulatory environment, new, ESG-specific requirements for the NORDLB Group emerged during 2023 e.</w:t>
      </w:r>
    </w:p>
    <w:p w14:paraId="0E6171F9" w14:textId="77777777" w:rsidR="00CB4CF4" w:rsidRDefault="00000000">
      <w:r>
        <w:t>Implementation of the Corporate Sustainability Reporting Directive .</w:t>
      </w:r>
    </w:p>
    <w:p w14:paraId="4B5E0AB7" w14:textId="77777777" w:rsidR="00CB4CF4" w:rsidRDefault="00000000">
      <w:r>
        <w:t>As part of this, measures are to be taken to incorporate sustainability initiatives and combat corruption and bribery in the Banks own business model.</w:t>
      </w:r>
    </w:p>
    <w:p w14:paraId="71CDDD3A" w14:textId="77777777" w:rsidR="00CB4CF4" w:rsidRDefault="00000000">
      <w:r>
        <w:t>In the infrastructure projects, NORDLB is active in several sectors, with a focus and expertise in the following areas, social infrastructure, transport and digital infrastructure.</w:t>
      </w:r>
    </w:p>
    <w:p w14:paraId="01ACF69B" w14:textId="77777777" w:rsidR="00CB4CF4" w:rsidRDefault="00000000">
      <w:r>
        <w:t>For the 2023 financial year, ESG objectives will once again be incorporated into the variable remuneration components of the Managing Board.</w:t>
      </w:r>
    </w:p>
    <w:p w14:paraId="637D4770" w14:textId="77777777" w:rsidR="00CB4CF4" w:rsidRDefault="00000000">
      <w:r>
        <w:t>In 2023, the NORDLB Groups ESG framework and subsequently the NORDLB Groups comprehensive ESG strategy were adopted by the Managing Board.</w:t>
      </w:r>
    </w:p>
    <w:p w14:paraId="582A7732" w14:textId="77777777" w:rsidR="00CB4CF4" w:rsidRDefault="00000000">
      <w:r>
        <w:t>The ESG framework and the Banks climate strategy adopted in 2022 have been integrated into the ESG strategy.</w:t>
      </w:r>
    </w:p>
    <w:p w14:paraId="702B8C08" w14:textId="77777777" w:rsidR="00CB4CF4" w:rsidRDefault="00000000">
      <w:r>
        <w:t>The ESG strategy came into force on 1 January 2024, replacing the climate strategy and the ESG framework.</w:t>
      </w:r>
    </w:p>
    <w:p w14:paraId="51A80B10" w14:textId="77777777" w:rsidR="00CB4CF4" w:rsidRDefault="00000000">
      <w:r>
        <w:t>To make the credit check as clear and intuitive as possible for employees in terms of ESG issues, an overarching ESG strategy was created in 2023 that applies across the whole of the NORDLB Group.</w:t>
      </w:r>
    </w:p>
    <w:p w14:paraId="36BD3DE7" w14:textId="77777777" w:rsidR="00CB4CF4" w:rsidRDefault="00000000">
      <w:r>
        <w:t>Exclusions of certain business activities in the lending business, Ship demolition, No accompaniment of business with shipyards that cannot demonstrate certification according to EU standards or internationally recognised environmental and social standards.</w:t>
      </w:r>
    </w:p>
    <w:p w14:paraId="14FC9FA3" w14:textId="77777777" w:rsidR="00CB4CF4" w:rsidRDefault="00000000">
      <w:r>
        <w:lastRenderedPageBreak/>
        <w:t>Hydro power, As part of an environmental audit, customers must demonstrate how to ensure that environmental protection requirements are taken into account.</w:t>
      </w:r>
    </w:p>
    <w:p w14:paraId="3A84E617" w14:textId="77777777" w:rsidR="00CB4CF4" w:rsidRDefault="00000000">
      <w:r>
        <w:t>Additional industry-specific regulations for business activities in non-high-income OECD countries Agriculture, Consideration of the World Banks biodiversity guideline Biodiversity Conservation and Sustainable Management of Living Natural Resources.</w:t>
      </w:r>
    </w:p>
    <w:p w14:paraId="177BCAD6" w14:textId="77777777" w:rsidR="00CB4CF4" w:rsidRDefault="00000000">
      <w:r>
        <w:t>Mining, metals, oil and gas, Consideration of the UNEP FI Initiatives Environmental and Social Risk Briefing on Mining and Metals and Oil &amp; Gas Fishing and fish farming, Consideration of the UNEP FI initiatives Environmental and Social Risk Briefing on Agriculture and Fisheries.</w:t>
      </w:r>
    </w:p>
    <w:p w14:paraId="03213C5A" w14:textId="77777777" w:rsidR="00CB4CF4" w:rsidRDefault="00000000">
      <w:r>
        <w:t>Wood industry and processing as well as paper production, Consideration of the UNEP FI Initiatives Environmental and Social Risk Briefing on Forestry and Logging.</w:t>
      </w:r>
    </w:p>
    <w:p w14:paraId="2D14FC8C" w14:textId="77777777" w:rsidR="00CB4CF4" w:rsidRDefault="00000000">
      <w:r>
        <w:t>All employees in the lending area are obliged to observe the business exclusions in the ESG strategy when carrying out their credit check.</w:t>
      </w:r>
    </w:p>
    <w:p w14:paraId="19295504" w14:textId="77777777" w:rsidR="00CB4CF4" w:rsidRDefault="00000000">
      <w:r>
        <w:t>To this end, the processes include a mandatory ESG strategy checklist, which provides employees with instructions on which aspects of the ESG strategy must be checked.</w:t>
      </w:r>
    </w:p>
    <w:p w14:paraId="61AF2FE0" w14:textId="77777777" w:rsidR="00CB4CF4" w:rsidRDefault="00000000">
      <w:r>
        <w:t>In addition, the ESG strategy also mentions the memberships entered into, the recognition of values and principles as well as the reporting standards for providing transparency as part of the sustainability report.</w:t>
      </w:r>
    </w:p>
    <w:p w14:paraId="18CC91C6" w14:textId="77777777" w:rsidR="00CB4CF4" w:rsidRDefault="00000000">
      <w:r>
        <w:t>NORDLB is committed to human rights and the avoidance of all types of human rights risks.</w:t>
      </w:r>
    </w:p>
    <w:p w14:paraId="7B0113E5" w14:textId="77777777" w:rsidR="00CB4CF4" w:rsidRDefault="00000000">
      <w:r>
        <w:t>The NORDLB Group is also committed to its responsibility for human rights and the environment in its supply chains.</w:t>
      </w:r>
    </w:p>
    <w:p w14:paraId="73653685" w14:textId="77777777" w:rsidR="00CB4CF4" w:rsidRDefault="00000000">
      <w:r>
        <w:t>Accordingly, the NORDLB Group respects human rights in its own business activities as well as in its supply chain, supported by risk analyses.</w:t>
      </w:r>
    </w:p>
    <w:p w14:paraId="0CE96F9A" w14:textId="77777777" w:rsidR="00CB4CF4" w:rsidRDefault="00000000">
      <w:r>
        <w:t>The purpose of this policy is to prevent or minimise risks to human rights and to prevent, end or minimise the extent of human rights violations.</w:t>
      </w:r>
    </w:p>
    <w:p w14:paraId="726B0DFB" w14:textId="77777777" w:rsidR="00CB4CF4" w:rsidRDefault="00000000">
      <w:r>
        <w:t>The NORDLB Group publishes its position on the handling of human rights in the supply chain with its policy statement on the Supply Chain Due Diligence Act LkSG on its homepage at 1.</w:t>
      </w:r>
    </w:p>
    <w:p w14:paraId="10044861" w14:textId="77777777" w:rsidR="00CB4CF4" w:rsidRDefault="00000000">
      <w:r>
        <w:t>Management of ESG risks The NORDLB Groups understanding of ESG risks includes events or conditions from the areas of climateenvironment, social or corporate governance, the occurrence of which may have an actual or potentially significant negative impact on the Groups net assets, financial position, earnings and reputation.</w:t>
      </w:r>
    </w:p>
    <w:p w14:paraId="0F595DD3" w14:textId="77777777" w:rsidR="00CB4CF4" w:rsidRDefault="00000000">
      <w:r>
        <w:t>The qualitative materiality assessment of the risk drivers was differentiated over different time horizons according to physical and transitory climate and environmental risks.</w:t>
      </w:r>
    </w:p>
    <w:p w14:paraId="72711E0C" w14:textId="77777777" w:rsidR="00CB4CF4" w:rsidRDefault="00000000">
      <w:r>
        <w:lastRenderedPageBreak/>
        <w:t>In the current reporting year, the risk driver analysis was also expanded to include social and governance aspects and the quantification of the individual E, S and G risk drivers expanded.</w:t>
      </w:r>
    </w:p>
    <w:p w14:paraId="789AAD9D" w14:textId="77777777" w:rsidR="00CB4CF4" w:rsidRDefault="00000000">
      <w:r>
        <w:t>Operational environmental management is working to gradually reduce the NORDLB Groups emissions, mainly by consolidating the work area and concentrating on the building at Friedrichswall 10.</w:t>
      </w:r>
    </w:p>
    <w:p w14:paraId="61035898" w14:textId="77777777" w:rsidR="00CB4CF4" w:rsidRDefault="00000000">
      <w:r>
        <w:t>The ESG transformation has had a far-reaching impact on the workforce from new job profiles and demand for knowledge to the increasing need for employees to work meaningfully in a company that is focused on sustainability.</w:t>
      </w:r>
    </w:p>
    <w:p w14:paraId="586AA319" w14:textId="77777777" w:rsidR="00CB4CF4" w:rsidRDefault="00000000">
      <w:r>
        <w:t>After achieving the targets aimed at the required reduction of staff, the focus shifted to systematic expansion of employer positioning and the promotion of training and further education measures.</w:t>
      </w:r>
    </w:p>
    <w:p w14:paraId="0DFFD4CB" w14:textId="77777777" w:rsidR="00CB4CF4" w:rsidRDefault="00000000">
      <w:r>
        <w:t>To further implement the cultural change already initiated, leadership principles were developed in 2023 and introduced through interactive exchange between the management team, managers and employees.</w:t>
      </w:r>
    </w:p>
    <w:p w14:paraId="2A933A00" w14:textId="77777777" w:rsidR="00CB4CF4" w:rsidRDefault="00000000">
      <w:r>
        <w:t>The comprehensive transformation of the NORDLB Group accompanied by the challenges concerning cultural change, digitalisation and sustainability as well as the intensified dynamics on the labour market have formed the framework for the HR strategy and HR-related areas of activity.</w:t>
      </w:r>
    </w:p>
    <w:p w14:paraId="6D24EC10" w14:textId="77777777" w:rsidR="00CB4CF4" w:rsidRDefault="00000000">
      <w:r>
        <w:t>HR strategy To attract young talent to the company at an early stage and motivate and retain employees in a targeted manner, the NORDLB Group pursues future-oriented and employee-oriented HR work.</w:t>
      </w:r>
    </w:p>
    <w:p w14:paraId="3C810864" w14:textId="77777777" w:rsidR="00CB4CF4" w:rsidRDefault="00000000">
      <w:r>
        <w:t>In the NORDLB Group, the fundamentals of this HR work are based on a HR strategy that has been derived from the businessrisk strategy and adopted by the Managing Board.</w:t>
      </w:r>
    </w:p>
    <w:p w14:paraId="3D2BB16E" w14:textId="77777777" w:rsidR="00CB4CF4" w:rsidRDefault="00000000">
      <w:r>
        <w:t>The NORDLB Career Start Instagram channel was launched in 2021 and further developed in 2023 in order to help improve employer attractiveness among the target group and provide an authentic insight into training in the NORDLB Group.</w:t>
      </w:r>
    </w:p>
    <w:p w14:paraId="50429F47" w14:textId="77777777" w:rsidR="00CB4CF4" w:rsidRDefault="00000000">
      <w:r>
        <w:t>Further education The qualification and development measures are geared towards the future needs of the NORDLB Group in order to support the transformation and further development of the business model in the best way possible.</w:t>
      </w:r>
    </w:p>
    <w:p w14:paraId="26E54A3A" w14:textId="77777777" w:rsidR="00CB4CF4" w:rsidRDefault="00000000">
      <w:r>
        <w:t>These were used to identify individual qualification and development needs and initiate corresponding measures for various employee-related events.</w:t>
      </w:r>
    </w:p>
    <w:p w14:paraId="455D47F8" w14:textId="77777777" w:rsidR="00CB4CF4" w:rsidRDefault="00000000">
      <w:r>
        <w:t>Dialogue with staff involves a range of formats, including inductions and return-to-work meetings, development discussions, performance reviews as well as objective discussions, for those employees who have agreed on objectives at their annual appraisal.</w:t>
      </w:r>
    </w:p>
    <w:p w14:paraId="269ED813" w14:textId="77777777" w:rsidR="00CB4CF4" w:rsidRDefault="00000000">
      <w:r>
        <w:lastRenderedPageBreak/>
        <w:t>Managers are responsible for ensuring that employees are sufficiently qualified.</w:t>
      </w:r>
    </w:p>
    <w:p w14:paraId="36D428B8" w14:textId="77777777" w:rsidR="00CB4CF4" w:rsidRDefault="00000000">
      <w:r>
        <w:t>This involves checking, documenting and confirming that the employee is adequately qualified or that measures have been taken to ensure qualification is carried out as part of the performance review, which is held annually between the manager and the employee.</w:t>
      </w:r>
    </w:p>
    <w:p w14:paraId="042AF031" w14:textId="77777777" w:rsidR="00CB4CF4" w:rsidRDefault="00000000">
      <w:r>
        <w:t>The performance review also includes validating the legally prescribed qualifications e.</w:t>
      </w:r>
    </w:p>
    <w:p w14:paraId="7E4D3701" w14:textId="77777777" w:rsidR="00CB4CF4" w:rsidRDefault="00000000">
      <w:r>
        <w:t>Web-based training compliance, MaRisk and money laundering, which are also monitored during the year via system-supported tracking to ensure they are kept up to date.</w:t>
      </w:r>
    </w:p>
    <w:p w14:paraId="73440BD5" w14:textId="77777777" w:rsidR="00CB4CF4" w:rsidRDefault="00000000">
      <w:r>
        <w:t>Diversity and equal opportunities For NORDLB and its Managing Board, the responsible handling of human rights, labour standards and diversity form the basic prerequisites for future-oriented and modern work at the Bank.</w:t>
      </w:r>
    </w:p>
    <w:p w14:paraId="1486EEEE" w14:textId="77777777" w:rsidR="00CB4CF4" w:rsidRDefault="00000000">
      <w:r>
        <w:t>This encompasses employing a holistic approach towards its business relationships and supply chains, and creating an inclusive working environment in which employees feel valued, accepted and supported.</w:t>
      </w:r>
    </w:p>
    <w:p w14:paraId="1788E061" w14:textId="77777777" w:rsidR="00CB4CF4" w:rsidRDefault="00000000">
      <w:r>
        <w:t>Since 2013, NORDLB has been a member of the initiative Diversity as an Opportunity the Diversity Charter for Companies in Germany and is therefore expressly committed to diversity and equal opportunities in a non-discriminatory environment.</w:t>
      </w:r>
    </w:p>
    <w:p w14:paraId="79149A63" w14:textId="77777777" w:rsidR="00CB4CF4" w:rsidRDefault="00000000">
      <w:r>
        <w:t>As part of society, NORDLB considers it an important task to protect it from criminal acts by preventing them as well as by demonstrating its own ethical, moral and legally compliant conduct in order to live up to the trust placed in it by employees, customers and business partners and to maintain and build on this trust.</w:t>
      </w:r>
    </w:p>
    <w:p w14:paraId="2673CE2A" w14:textId="77777777" w:rsidR="00CB4CF4" w:rsidRDefault="00000000">
      <w:r>
        <w:t>NORDLB has established a compliance management system based on the IDW PS 980 standard and described in the Corporate Compliance Policy.</w:t>
      </w:r>
    </w:p>
    <w:p w14:paraId="43B8E106" w14:textId="77777777" w:rsidR="00CB4CF4" w:rsidRDefault="00000000">
      <w:r>
        <w:t>The following subject areas are summarised under the compliance function, Regulatory compliance, Capital market compliance, Prevention of money laundering, terrorist financing and other criminal offences fraud.</w:t>
      </w:r>
    </w:p>
    <w:p w14:paraId="269D6CC3" w14:textId="77777777" w:rsidR="00CB4CF4" w:rsidRDefault="00000000">
      <w:r>
        <w:t>To ensure ethics, integrity, legally compliant conduct and professional conduct in the fight against corruption bribery or take advantagegrant of advantage of its employees, the Managing Board of NORDLB sets out binding principles of conduct with a Code of Conduct and ensures that employees have clearly defined scope for action that combines the requirements of complying with the law and ethically correct behaviour, thus linking corporate success with social responsibility.</w:t>
      </w:r>
    </w:p>
    <w:p w14:paraId="0062368E" w14:textId="77777777" w:rsidR="00CB4CF4" w:rsidRDefault="00000000">
      <w:r>
        <w:t>The appropriateness and effectiveness of the existing measures, procedures and control systems are regularly monitored by the compliance functions.</w:t>
      </w:r>
    </w:p>
    <w:p w14:paraId="52D3A486" w14:textId="77777777" w:rsidR="00CB4CF4" w:rsidRDefault="00000000">
      <w:r>
        <w:t>The Managing Board is fully informed of compliance activity results as part of the annual compliance report.</w:t>
      </w:r>
    </w:p>
    <w:p w14:paraId="1C5B98B4" w14:textId="77777777" w:rsidR="00CB4CF4" w:rsidRDefault="00000000">
      <w:r>
        <w:lastRenderedPageBreak/>
        <w:t>Protecting these values is essential for maintaining and strengthening the performance and a competitive position, the trust of business partners, customers and employees, and reputation in the public eye, and to prevent abuse.</w:t>
      </w:r>
    </w:p>
    <w:p w14:paraId="00FDE219" w14:textId="77777777" w:rsidR="00CB4CF4" w:rsidRDefault="00000000">
      <w:r>
        <w:t>Based on the business strategy and the information security strategy as part of the risk strategy, the corresponding requirements are operationalised via guidelines on information security and information security guidelines in manuals and work instructions, and are made available to every employee of the NORDLB Group.</w:t>
      </w:r>
    </w:p>
    <w:p w14:paraId="26D78F1B" w14:textId="77777777" w:rsidR="00CB4CF4" w:rsidRDefault="00000000">
      <w:r>
        <w:t>The respective information security officers were commissioned by the managing boards to develop, implement and continuously improve information security requirements.</w:t>
      </w:r>
    </w:p>
    <w:p w14:paraId="3699D73A" w14:textId="77777777" w:rsidR="00CB4CF4" w:rsidRDefault="00000000">
      <w:r>
        <w:t>In the past financial year, the focus of the adjustments to the NORDLB Groups ISMS was on further developing the information risk management .</w:t>
      </w:r>
    </w:p>
    <w:p w14:paraId="46E297EF" w14:textId="77777777" w:rsidR="00CB4CF4" w:rsidRDefault="00000000">
      <w:r>
        <w:t>As part of the internal control system, audits and security checks, compliance with these requirements is checked regularly and on an ad-hoc basis.</w:t>
      </w:r>
    </w:p>
    <w:p w14:paraId="7DEB9578" w14:textId="77777777" w:rsidR="00CB4CF4" w:rsidRDefault="00000000">
      <w:r>
        <w:t>Details of this will be communicated to the Managing Board as part of regular reporting in the compliance report.</w:t>
      </w:r>
    </w:p>
    <w:p w14:paraId="51D22124" w14:textId="77777777" w:rsidR="00CB4CF4" w:rsidRDefault="00000000">
      <w:r>
        <w:t>Every employee is responsible for compliance with data protection regulations.</w:t>
      </w:r>
    </w:p>
    <w:p w14:paraId="054E485C" w14:textId="77777777" w:rsidR="00CB4CF4" w:rsidRDefault="00000000">
      <w:r>
        <w:t>According to the GDPR, the NORDLB Groups institutions are obliged to have appropriate principles and procedures in place to ensure compliance with data protection.</w:t>
      </w:r>
    </w:p>
    <w:p w14:paraId="273AA294" w14:textId="77777777" w:rsidR="00CB4CF4" w:rsidRDefault="00000000">
      <w:r>
        <w:t>To ensure and monitor compliance, appropriateness and effectiveness of all data protection-relevant requirements, annual Group-wide analyses are carried out based on risk-oriented audit plans.</w:t>
      </w:r>
    </w:p>
    <w:p w14:paraId="0F7BC13D" w14:textId="77777777" w:rsidR="00CB4CF4" w:rsidRDefault="00000000">
      <w:r>
        <w:t>The EUs objective is to steer investment or capital flows in line with environmental objectives through increased transparency in order to promote sustainable economic activities.</w:t>
      </w:r>
    </w:p>
    <w:p w14:paraId="19B100DA" w14:textId="77777777" w:rsidR="00CB4CF4" w:rsidRDefault="00000000">
      <w:r>
        <w:t>With regard to consideration of the EU taxonomy in NORDLBs business strategy, please refer to the Sustainability in the business strategy section of this non-financial report.</w:t>
      </w:r>
    </w:p>
    <w:p w14:paraId="367A6DCF" w14:textId="77777777" w:rsidR="00CB4CF4" w:rsidRDefault="00000000">
      <w:r>
        <w:t>In particular, it states that an economic activity is considered to be environmentally sustainable if, It makes a significant contribution to the achievement of one or more of the environmental objectives referred to in the Taxonomy Regulation.</w:t>
      </w:r>
    </w:p>
    <w:p w14:paraId="11D36409" w14:textId="77777777" w:rsidR="00CB4CF4" w:rsidRDefault="00000000">
      <w:r>
        <w:t>The regulatory implementation of the detailed technical assessment criteria takes place via Delegated Regulation 20212139 for the environmental objectives climate change mitigation and climate change adaptation and via Delegated Regulation 20232486 for the other four environmental objectives.</w:t>
      </w:r>
    </w:p>
    <w:p w14:paraId="75B16BD5" w14:textId="77777777" w:rsidR="00CB4CF4" w:rsidRDefault="00000000">
      <w:r>
        <w:lastRenderedPageBreak/>
        <w:t>In this way, the criteria for environmentally sustainable economic activities can be changed in the future in order to actually achieve the objectives of the Paris Agreement on Climate Change.</w:t>
      </w:r>
    </w:p>
    <w:p w14:paraId="3282BDEB" w14:textId="77777777" w:rsidR="00CB4CF4" w:rsidRDefault="00000000">
      <w:r>
        <w:t>NORDLB provides technical support to check the taxonomy compliance of earmarked loans and credit, such as project financing, using information on the financed project or activities provided by the borrower.</w:t>
      </w:r>
    </w:p>
    <w:p w14:paraId="5CBCBDA8" w14:textId="77777777" w:rsidR="00CB4CF4" w:rsidRDefault="00000000">
      <w:r>
        <w:t>Transparency provisions pursuant to Article 8 of the Taxonomy Regulation General information Article 8 of the Taxonomy Regulation requires entities subject to non-financial reporting to disclose in the consolidated non-financial statement how and to what extent the entitys activities are related to economic activities that qualify as environmentally sustainable economic activities.</w:t>
      </w:r>
    </w:p>
    <w:p w14:paraId="4FC4B557" w14:textId="77777777" w:rsidR="00CB4CF4" w:rsidRDefault="00000000">
      <w:r>
        <w:t>As NORDLB has a large number of special purpose vehicles as direct counterparties, in particular also in the renewable energy sector, it can be assumed that the assets relevant for GAR will increase as at the subsequent reporting date.</w:t>
      </w:r>
    </w:p>
    <w:p w14:paraId="486DA63E" w14:textId="77777777" w:rsidR="00CB4CF4" w:rsidRDefault="00000000">
      <w:r>
        <w:t>Assuming taxonomy compliance, NORDLBs GAR will therefore likely increase in the future.</w:t>
      </w:r>
    </w:p>
    <w:p w14:paraId="318F77FC" w14:textId="77777777" w:rsidR="00CB4CF4" w:rsidRDefault="00000000">
      <w:r>
        <w:t>However, due to the short-term nature of this change to the regulatory requirement, it was no longer possible to implement the adjustment for the reporting date of 31 December 2023.</w:t>
      </w:r>
    </w:p>
    <w:p w14:paraId="67FAC1C1" w14:textId="77777777" w:rsidR="00CB4CF4" w:rsidRDefault="00000000">
      <w:r>
        <w:t>All environmental targets are summarised in the last five columns.</w:t>
      </w:r>
    </w:p>
    <w:p w14:paraId="19E806B2" w14:textId="77777777" w:rsidR="00CB4CF4" w:rsidRDefault="00000000">
      <w:r>
        <w:t>For the four environmental objectives of water and marine resources , circular economy , pollution, prevention and control and biodiversity and ecosystems , taxonomy-eligibility information only has to be published for the current reporting date.</w:t>
      </w:r>
    </w:p>
    <w:p w14:paraId="75559E9F" w14:textId="77777777" w:rsidR="00CB4CF4" w:rsidRDefault="00000000">
      <w:r>
        <w:t>The taxonomy compliance columns are only relevant for these four environmental objectives on the following reporting date.</w:t>
      </w:r>
    </w:p>
    <w:p w14:paraId="70B3304C" w14:textId="77777777" w:rsidR="00CB4CF4" w:rsidRDefault="00000000">
      <w:r>
        <w:t>The stock of environmentally sustainable assets in NORDLB is expected to increase once financial companies have published the relevant data on taxonomy compliance in the following year.</w:t>
      </w:r>
    </w:p>
    <w:p w14:paraId="2550BB16" w14:textId="77777777" w:rsidR="00CB4CF4" w:rsidRDefault="00000000">
      <w:r>
        <w:t>At present, NORDLB is not yet technically in a position to implement taxonomy compliance in the retail client business on the taxonomy reporting forms.</w:t>
      </w:r>
    </w:p>
    <w:p w14:paraId="25260EFD" w14:textId="77777777" w:rsidR="00CB4CF4" w:rsidRDefault="00000000">
      <w:r>
        <w:t>The Bank expects that the GAR will also improve significantly as a result, as a large number of transactions from, among other things, the renewable energy sector, for which taxonomy compliance exists, will become relevant in calculating the GAR.</w:t>
      </w:r>
    </w:p>
    <w:p w14:paraId="4019CB23" w14:textId="34090D1A" w:rsidR="00CB4CF4" w:rsidRDefault="00000000">
      <w:r>
        <w:t xml:space="preserve">Publications on the four environmental goals of water and marine resources , circular economy , pollution, prevention and control and biodiversity and ecosystems must be </w:t>
      </w:r>
      <w:r>
        <w:lastRenderedPageBreak/>
        <w:t xml:space="preserve">submitted by both financial and non-financial undertakings as at the reporting date of 31 </w:t>
      </w:r>
      <w:r w:rsidR="005C7F3C">
        <w:t>December 2023.</w:t>
      </w:r>
    </w:p>
    <w:p w14:paraId="3892E5A4" w14:textId="77777777" w:rsidR="00CB4CF4" w:rsidRDefault="00000000">
      <w:r>
        <w:t>Due to the lack of corresponding information, NORDLB does not report any taxonomy eligibility for the four stated environmental objectives as at the current reporting date.</w:t>
      </w:r>
    </w:p>
    <w:p w14:paraId="76809BF1" w14:textId="77777777" w:rsidR="00CB4CF4" w:rsidRDefault="00000000">
      <w:r>
        <w:t>As described in the section Transparency requirements pursuant to Article 8 of the Taxonomy Regulation, the amended interpretation has not yet been implemented by NORDLB as at the reporting date of 31 December 2023.</w:t>
      </w:r>
    </w:p>
    <w:p w14:paraId="3EEB64D0" w14:textId="77777777" w:rsidR="00CB4CF4" w:rsidRDefault="00000000">
      <w:r>
        <w:t>Furthermore, the executive directors are responsible for such internal control as the executive directors consider necessary to enable the preparation of a Combined Separate Non-financial Report that is free from material misstatement whether due to fraud or error.</w:t>
      </w:r>
    </w:p>
    <w:sectPr w:rsidR="00CB4C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788594884">
    <w:abstractNumId w:val="8"/>
  </w:num>
  <w:num w:numId="2" w16cid:durableId="650214469">
    <w:abstractNumId w:val="6"/>
  </w:num>
  <w:num w:numId="3" w16cid:durableId="1987471841">
    <w:abstractNumId w:val="5"/>
  </w:num>
  <w:num w:numId="4" w16cid:durableId="2112969615">
    <w:abstractNumId w:val="4"/>
  </w:num>
  <w:num w:numId="5" w16cid:durableId="202210192">
    <w:abstractNumId w:val="7"/>
  </w:num>
  <w:num w:numId="6" w16cid:durableId="373887121">
    <w:abstractNumId w:val="3"/>
  </w:num>
  <w:num w:numId="7" w16cid:durableId="127403652">
    <w:abstractNumId w:val="2"/>
  </w:num>
  <w:num w:numId="8" w16cid:durableId="1494947549">
    <w:abstractNumId w:val="1"/>
  </w:num>
  <w:num w:numId="9" w16cid:durableId="412318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F3C"/>
    <w:rsid w:val="00AA1D8D"/>
    <w:rsid w:val="00B47730"/>
    <w:rsid w:val="00CB0664"/>
    <w:rsid w:val="00CB4CF4"/>
    <w:rsid w:val="00D457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CE25B"/>
  <w14:defaultImageDpi w14:val="300"/>
  <w15:docId w15:val="{83F9B840-C550-EB4C-8E85-90E104B6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3110</Words>
  <Characters>17730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cp:revision>
  <dcterms:created xsi:type="dcterms:W3CDTF">2013-12-23T23:15:00Z</dcterms:created>
  <dcterms:modified xsi:type="dcterms:W3CDTF">2025-08-01T12:10:00Z</dcterms:modified>
  <cp:category/>
</cp:coreProperties>
</file>