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This regulatory framework is based on three pillars applying to the sector's institutions, essentially viewing an increase in the sensitivity of minimum capital requirements to the credit, market and operational risk levels to which the institutions are exposed Pillar I, and the reinforcement of the banking supervision process not only to ensure that these minimum requirements are met but also to encourage institutions to develop better risk monitoring and management techniques Pillar II.</w:t>
      </w:r>
    </w:p>
    <w:p>
      <w:r>
        <w:t>In light of this regulatory framework and with a specific focus on Pillar III, Novo Banco Group hereinafter novobanco Group is releasing this Market Discipline report, which is primarily of a prudential nature and aims to ensure compliance with the disclosure requirements outlined in Part VIII of the consolidated and updated text of Regulation no.</w:t>
      </w:r>
    </w:p>
    <w:p>
      <w:r>
        <w:t>The risk management policies and systems implemented in Novo Banco, S.</w:t>
      </w:r>
    </w:p>
    <w:p>
      <w:r>
        <w:t>Are appropriate to the profile and strategy outlined for the institution.</w:t>
      </w:r>
    </w:p>
    <w:p>
      <w:r>
        <w:t>In 2023, in the context of the European Central Bank's approval of the waiver from the requirement to be authorised as a financial holding company, novobanco was the entity designated to ensure the Group's compliance with prudential requirements on a consolidated basis, in accordance with Article 21-A, of Directive 201336EU and Article 35-D of the RGICSF.</w:t>
      </w:r>
    </w:p>
    <w:p>
      <w:r>
        <w:t>The risk appetite framework adopted by the novobanco Group is one of the key components of the Risk Function governance model.</w:t>
      </w:r>
    </w:p>
    <w:p>
      <w:r>
        <w:t>The RAF establishes the strategic direction for risk management by setting standards, norms, objectives and responsibilities for all areas of the Bank.</w:t>
      </w:r>
    </w:p>
    <w:p>
      <w:r>
        <w:t>This risk appetite is defined as the level of risk that the novobanco Group is willing to accept in the development of its activities.</w:t>
      </w:r>
    </w:p>
    <w:p>
      <w:r>
        <w:t>The Bank's lending strategy remains focused on credit activities in Portugal, in accordance with the goals outlined in its medium-term plan and aligned with the objectives of the Portuguese business community.</w:t>
      </w:r>
    </w:p>
    <w:p>
      <w:r>
        <w:t>The Bank targets medium and low-risk companies and individuals, while ensuring appropriate remuneration for the risk associated with each operation.</w:t>
      </w:r>
    </w:p>
    <w:p>
      <w:r>
        <w:t>In the management of non-financial risks, the Bank recognises that it is not feasible to eliminate such risks on a cost-benefit basis, and therefore establishes tolerance levels according to the various categories of risk, Operational, Information and Communication Technologies and Security, Compliance, and Reputation.</w:t>
      </w:r>
    </w:p>
    <w:p>
      <w:r>
        <w:t>The second line of defence includes the Global Risk Department and the Compliance Department , the former being responsible for verifying that risk remains within the defined limits, through its correct identification, measurement, monitoring and reporting.</w:t>
      </w:r>
    </w:p>
    <w:p>
      <w:r>
        <w:t>The third line of defence is the Internal Audit Department , which is responsible for ensuring that policies and processes are adequate and correctly implemented, and for their independent review.</w:t>
      </w:r>
    </w:p>
    <w:p>
      <w:r>
        <w:t>Provides constant monitoring and assessment of the Banks performance, especially in regard to the institutions strategy and general policies, the Group's commercial structure and decisions deemed strategic, owing to the sum or risk involved or their special nature, including compliance with capital requirements.</w:t>
      </w:r>
    </w:p>
    <w:p>
      <w:r>
        <w:t>Its responsibilities also include defining the target risk profile by setting global and specific limits and establishing the general principles of risk management and control, ensuring that the Group has the necessary skills and resources for the purpose.</w:t>
      </w:r>
    </w:p>
    <w:p>
      <w:r>
        <w:t>In its activity, the GSB is directly supported by 5 five Committees, Financial Affairs Audit Committee, Risk Committee, Compliance Committee, Nomination Committee and Remuneration Committee, which have their own legally established powers and responsibilities and others delegated by the General and Supervisory Board.</w:t>
      </w:r>
    </w:p>
    <w:p>
      <w:r>
        <w:t>EBD Committees Risk Committee Responsible for issuing an opinion on, approving, under the powers delegated by the Executive Board of Directors, and monitoring novobanco Groups policies and risk levels.</w:t>
      </w:r>
    </w:p>
    <w:p>
      <w:r>
        <w:t>Compliance and Product Committee The Committee is the global forum where, from a compliance standpoint, products and services to be developed andor distributed by the Bank are approved.</w:t>
      </w:r>
    </w:p>
    <w:p>
      <w:r>
        <w:t>The Committee is also responsible for monitoring all relevant compliance matters, with particular emphasis on the analysis of new legislation and regulations impacting the Group's activity and on compliance therewith, as well as matters of conflicts of interest conduct, products and financial intermediation, and money laundering.</w:t>
      </w:r>
    </w:p>
    <w:p>
      <w:r>
        <w:t>Sub-Committees of the EBD's Risk Committee Operational Risk Committee Responsible for developing and monitoring the non-financial risk policies and operational risk levels of novobanco.</w:t>
      </w:r>
    </w:p>
    <w:p>
      <w:r>
        <w:t>To identify, assess, monitor and report on the different types of risk assumed, thus ensuring the holistic management of novobanco Group's overall risk exposure, compliance with internal and regulatory rules, and the execution and monitoring of mitigation actions.</w:t>
      </w:r>
    </w:p>
    <w:p>
      <w:r>
        <w:t>To implement the risk policies defined by the Executive Board of Directors and Risk Committee, through the definition of the risk-taking policy and principles.</w:t>
      </w:r>
    </w:p>
    <w:p>
      <w:r>
        <w:t>To contribute to the value creation targets through the development and monitoring of methodologies for the identification and quantification of risks, such as internal rating models and capital and liquidity ratios, as well as support tools for the structuring, pricing and approval of transactions.</w:t>
      </w:r>
    </w:p>
    <w:p>
      <w:r>
        <w:t>To ensure the necessary methodological adaptations in accordance with regulatory developments on risk issues.</w:t>
      </w:r>
    </w:p>
    <w:p>
      <w:r>
        <w:t>To identify and monitor the implementation of improvements identified through operational risk management tools.</w:t>
      </w:r>
    </w:p>
    <w:p>
      <w:r>
        <w:t>At functional level, this area is subdivided into two units, Research and Development R&amp;D, whose functions are, , to develop and monitor methodologies and models for the identification and quantification of the various types of risk, including, for credit risk, the default probability , loss given default , and credit conversion factor models used in novobanco Group.</w:t>
      </w:r>
    </w:p>
    <w:p>
      <w:r>
        <w:t>Heads of risk, audit, and compliance functions coordination in 2023 2.</w:t>
      </w:r>
    </w:p>
    <w:p>
      <w:r>
        <w:t>Inclusion of rules to apply to deferred Variable Remuneration in the event of the death or disability of the employee or member of the Management Body.</w:t>
      </w:r>
    </w:p>
    <w:p>
      <w:r>
        <w:t>Once approved, the Policy will also be brought to the attention of the Executive Board of Directors.</w:t>
      </w:r>
    </w:p>
    <w:p>
      <w:r>
        <w:t>The other members of the General and Supervisory Board are not entitled to remuneration for the performance of their functions.</w:t>
      </w:r>
    </w:p>
    <w:p>
      <w:r>
        <w:t>Hence the annual variable remuneration component is awarded based on the achievement of financial and nonfinancial objectives KPIs, which are established and agreed upon annually with each member of the Executive Board of Directors.</w:t>
      </w:r>
    </w:p>
    <w:p>
      <w:r>
        <w:t>Except in the first year of employment, when a sign-on bonus may be granted, it is not permissible to establish a guaranteed variable remuneration.</w:t>
      </w:r>
    </w:p>
    <w:p>
      <w:r>
        <w:t>It's worth noting that the Policy provides for the possibility of members of the Executive Board of Directors who were previously employees of the Bank before assuming their current roles retaining certain benefits contractually established, such as SAMS healthcare services for banking sector employees, special loan conditions, and pension plan.</w:t>
      </w:r>
    </w:p>
    <w:p>
      <w:r>
        <w:t>As in previous years, the main indicators were defined according to three major priorities for action, In Capital management, novobanco aims to maintain compliance with capital ratios requirements, at all times, from both a regulatory perspective and an internal perspective.</w:t>
      </w:r>
    </w:p>
    <w:p>
      <w:r>
        <w:t>This remuneration may still be subject to the risk adjustment mechanisms provided for in the Remuneration Policy, namely, Malus andor Clawback.</w:t>
      </w:r>
    </w:p>
    <w:p>
      <w:r>
        <w:t>To ensure stability and continuity in management and to comply with regulatory requirements, novobanco also has a succession planning policy.</w:t>
      </w:r>
    </w:p>
    <w:p>
      <w:r>
        <w:t>Regarding diversity objectives, the Bank has been watching two indicators with particular attention, , the pay gap and, the representation of women in management positions.</w:t>
      </w:r>
    </w:p>
    <w:p>
      <w:r>
        <w:t>In view of the objective defined in the Policy, and in order to make gender diversity an increasingly fundamental element of the Bank's culture, the Gender Equality Plan was approved by novobanco in March 2023.</w:t>
      </w:r>
    </w:p>
    <w:p>
      <w:r>
        <w:t>Moreover, novobanco has incorporated into its governance model, especially at the level of the Nomination Committee, processes for monitoring compliance with the Gender Equality Plan and the individual measures set out therein.</w:t>
      </w:r>
    </w:p>
    <w:p>
      <w:r>
        <w:t>As part of the implementation of the Social Dividend programme, the Bank widely adopted practices to support work-life balance during the period under analysis, including under the teleworking 2023 MARKET DISCIPLINE 49 policy, which was applied extensively.</w:t>
      </w:r>
    </w:p>
    <w:p>
      <w:r>
        <w:t>With regard to gender diversity in the composition of the GSB and EBD, and in compliance with the relevant regulatory requirements, the Selection and Assessment Policy for Management and Supervisory Bodies and Key Function Holders has set a target of at least 20% of the under-represented gender at the next renewal of the mandate of these bodies.</w:t>
      </w:r>
    </w:p>
    <w:p>
      <w:r>
        <w:t>However, compared to 2022, we note that overall gender diversity at GSB and EBD level has increased by novobanco 's strong commitment to achieving the targets it has set itself in this area.</w:t>
      </w:r>
    </w:p>
    <w:p>
      <w:r>
        <w:t>This ensures that the Bank maintains its capital ratios within stipulated risk thresholds, and that mitigating measures are implemented to prevent noncompliance with these thresholds.</w:t>
      </w:r>
    </w:p>
    <w:p>
      <w:r>
        <w:t>CRR's initial transitional arrangements The CRR and Directive 201336EU of the European Parliament and of the Council , applicable to all European Union Member States, established uniform rules on prudential requirements for the activities of credit institutions, adopting the regulatory framework commonly known as Basel III.</w:t>
      </w:r>
    </w:p>
    <w:p>
      <w:r>
        <w:t>The current regulatory framework, which came into force on 1 January 2014, provides for a set of transitional arrangements that enable banks to phase in the capital calculation rules under the CRR.</w:t>
      </w:r>
    </w:p>
    <w:p>
      <w:r>
        <w:t>In addition to the minimum requirements established in the CRR, the ECB, in the context of the SREP, determined compliance by the novobanco Group with the Pillar II capital requirement of 3.</w:t>
      </w:r>
    </w:p>
    <w:p>
      <w:r>
        <w:t>This process also involves making quarterly reports to the Regulatory Entities for compliance with the aforementioned Regulation and monthly reports for novobanco Group internal monitoring purposes.</w:t>
      </w:r>
    </w:p>
    <w:p>
      <w:r>
        <w:t>The GRD monitors compliance with the Portfolio Limits established for Individuals and Companies, monthly reporting on production in the case of Individuals and the risk profile of each commercial segment in the case of Companies to the Commercial Departments.</w:t>
      </w:r>
    </w:p>
    <w:p>
      <w:r>
        <w:t>The rules on the use of the standardised or IRB approaches and on the monitoring of coverage levels of relevant exposures and credit risk-weighted assets by the IRB approach or the level of portfolios that have authorisation to use the standardised approach on a permanent basis, are defined in the Bank's internal documentation on the governance of the IRB approach.</w:t>
      </w:r>
    </w:p>
    <w:p>
      <w:r>
        <w:t>For internal risk management and calculation of impairment purposes, novobanco Group also calculates LGD parameters, based on internal data, for the other retail products such as credit cards and for corporate portfolios medium and large companies and real estate developers.</w:t>
      </w:r>
    </w:p>
    <w:p>
      <w:r>
        <w:t>In accordance with the regulatory requirements in force, namely EBAGL2016707 and EBARTS201606, novobanco implemented in May 2020 a new definition of default NDoD, aligned not only with these regulatory requirements but also with best market practices.</w:t>
      </w:r>
    </w:p>
    <w:p>
      <w:r>
        <w:t>For those models where, for reasons of relevance and priority, the MVO cannot ensure validation, the bank ensures that the essential principles of independent validation are applied, through validation by internal structures other than those responsible for the development and use of these models.</w:t>
      </w:r>
    </w:p>
    <w:p>
      <w:r>
        <w:t>The overall opinion on the quality of the data used in the validation process is an integral part of the process and is further complemented by data quality reports that are produced by the CDO Office, in line with the Data Quality and Governance Policy under implementation at novobanco.</w:t>
      </w:r>
    </w:p>
    <w:p>
      <w:r>
        <w:t>In accordance with the Models Committee's terms of reference, the MVO is also responsible for submitting a bi-monthly progress report on corrective measures to the models so that further action can be taken to address any situations where there is a risk of non-compliance with the approved deadlines.</w:t>
      </w:r>
    </w:p>
    <w:p>
      <w:r>
        <w:t>While not having voting rights, departments closely associated with model usage or relevant source information, such as the RtD, Credit Recovery and Management Information, and Data Governance departments, are invited to participate in the Models Committee as deemed necessary, providing clarifications and taking note of the resolutions.</w:t>
      </w:r>
    </w:p>
    <w:p>
      <w:r>
        <w:t>The completeness, robustness and independence of the MVO's annual activity are subject to permanent audit by the IAD, which is responsible for ensuring the 3rd line of defence in matters of Model Risk Policy.</w:t>
      </w:r>
    </w:p>
    <w:p>
      <w:r>
        <w:t>The PD used by NB Group to calculate regulatory capital requirements for credit risk follows a calibration close to a through-the-cycle approach, since the anchor point is defined, by imposition of the supervisor, as the average value of the historical series of defaults observed in NB Group.</w:t>
      </w:r>
    </w:p>
    <w:p>
      <w:r>
        <w:t>The novobanco Group has implemented over the last few years a collateral management process that ensures compliance with the various operational requirements set out in the regulations in force.</w:t>
      </w:r>
    </w:p>
    <w:p>
      <w:r>
        <w:t>Other types of guarantees are also used by the novobanco Group, which, while not eligible as risk mitigators for purposes of calculating regulatory capital requirements under the standardised approach and IRB foundation approach, effectively reduce the credit risk to which the novobanco Group is subject.</w:t>
      </w:r>
    </w:p>
    <w:p>
      <w:r>
        <w:t>Ongoing regulatory changes and uncertainty regarding the final legislative framework may lead to increased volatility and lower trading volumes.</w:t>
      </w:r>
    </w:p>
    <w:p>
      <w:r>
        <w:t>Market risk is managed in accordance with the investment policy guidelines approved annually and monitored on a monthly basis in the Risk Committee and the Risk Committee of the General and Supervisory Board.</w:t>
      </w:r>
    </w:p>
    <w:p>
      <w:r>
        <w:t>Therefore, all the employees are responsible for the management and control of these risks within their sphere of responsibility.</w:t>
      </w:r>
    </w:p>
    <w:p>
      <w:r>
        <w:t>The non-financial risk management model implemented incorporates the 3 Lines of Defence principle, with clearly defined roles and responsibilities, and is supported by a specific structure within the Global Risk Department exclusively dedicated to designing, monitoring and maintaining the model.</w:t>
      </w:r>
    </w:p>
    <w:p>
      <w:r>
        <w:t>Effective risk management requires identifying the root causes of a risk in order to develop the most appropriate mitigation strategy.</w:t>
      </w:r>
    </w:p>
    <w:p>
      <w:r>
        <w:t>Implementation of controls alerts to detect and prevent fraud risk, based on assessments and information obtained through various non-financial risk management tools.</w:t>
      </w:r>
    </w:p>
    <w:p>
      <w:r>
        <w:t>Responsibilities assumed under the Outsourcing Risk Policy, , validation of risk assessments carried out in connection to outsourcing agreements,, monitoring of the implementation of remediation measures identified in the annual assessment of this Policy's effectiveness,, validation of Exit Plans for activities considered as critical,, issuing of outsourcing sign-offs as a means of verifying effective compliance with the Policy,, checking that outsourcing agreements are properly framed, and, supervision of outsourcing sign-offs issued by the risk units of the Group's subsidiaries.</w:t>
      </w:r>
    </w:p>
    <w:p>
      <w:r>
        <w:t>Development of other models to support risk classifications for decision-making processes in the Group.</w:t>
      </w:r>
    </w:p>
    <w:p>
      <w:r>
        <w:t>Responsibilities assumed under the Model Risk Policy, maintenance of novobanco Group's Inventory of Models, which includes not only the regulatory models, but all the decision support models.</w:t>
      </w:r>
    </w:p>
    <w:p>
      <w:r>
        <w:t>Under the standardised approach, own funds requirements for operational risk, KTSA, correspond to the average of the last three years of the sum of the risk-weighted relevant indicators, which are determined on a yearly basis, for the eight regulatory business lines corporate finance, trading and sales, payment and settlement, commercial banking, agency services, retail banking, retail brokerage and asset management.</w:t>
      </w:r>
    </w:p>
    <w:p>
      <w:r>
        <w:t>The CALCO approves the interest rate risk management and strategy, while the Risk Executive Committee monitors the evolution of this risk.</w:t>
      </w:r>
    </w:p>
    <w:p>
      <w:r>
        <w:t>The interest rate risk hedging strategy is defined and approved by the CALCO Committee, based on the interest rate risk management principles.</w:t>
      </w:r>
    </w:p>
    <w:p>
      <w:r>
        <w:t>The interest rate risk control framework allows novobanco Group to monitor and measure the impact of different interest rate scenarios, both from an economic value perspective and from a net interest income perspective, changing and adapting its risk profile in line with the defined risk management strategy.</w:t>
      </w:r>
    </w:p>
    <w:p>
      <w:r>
        <w:t>The audit area, acting as the third line of defence, is responsible for reviewing the processes implemented against existing legal standards and guidelines, producing recommendations to ensure their integrity, quality and compliance.</w:t>
      </w:r>
    </w:p>
    <w:p>
      <w:r>
        <w:t>Adequacy of liquidity risk management measures to liquidity risk profile and strategy The Bank has defined a series of liquidity risk appetite metrics which ensure compliance with the defined strategy, maintaining a robust liquidity position.</w:t>
      </w:r>
    </w:p>
    <w:p>
      <w:r>
        <w:t>The overall strategy for climate and environmental risks, as well as risks related to social and governance issues is supported by formal planning, established for the first time in 2021.</w:t>
      </w:r>
    </w:p>
    <w:p>
      <w:r>
        <w:t>From that date, the Bank's strategic plan includes a Pillar dedicated to ESG issues within the business strategy, the governance and organisational model, internal activities, risk management and reporting.</w:t>
      </w:r>
    </w:p>
    <w:p>
      <w:r>
        <w:t>In this context, we have set ourselves the important goal of becoming a leading ESG organisation in Portugal, contributing to the promotion of sustainable investment practices that accelerate the transition to a carbonneutral economy, and to further the social and governance criteria that this transition requires.</w:t>
      </w:r>
    </w:p>
    <w:p>
      <w:r>
        <w:t>The identification and prioritisation of issues and impacts on the organisation was based on a process that included trend analysis and stakeholder consultation, leading to the revision of the Bank's medium-term strategy with a focus on ESG.</w:t>
      </w:r>
    </w:p>
    <w:p>
      <w:r>
        <w:t>We also signed the Letter of Commitment to Sustainable Finance in Portugal, which aims to promote sustainable investment practices in the country, with the objective of accelerating the process of transition to a carbon-neutral economy by 2050.</w:t>
      </w:r>
    </w:p>
    <w:p>
      <w:r>
        <w:t>The bank has therefore undertaken an extensive exercise to define greenhouse gas emission reduction targets that are compatible with the Paris Agreement.</w:t>
      </w:r>
    </w:p>
    <w:p>
      <w:r>
        <w:t>With this commitment, novobanco submitted its objectives in a transitiondecarbonisation plan for its portfolio, which is currently being validated by SBTi.</w:t>
      </w:r>
    </w:p>
    <w:p>
      <w:r>
        <w:t>The bank thus assumes the commitment to aligning its financing and investment portfolio for a reduction of its carbon footprint, developing a business strategy aimed at effectively gearing credit and investment towards achieving the objectives it has set itself to reach.</w:t>
      </w:r>
    </w:p>
    <w:p>
      <w:r>
        <w:t>Key actions will focus in particular on the most GHG-intensive sectors to which the bank has the largest credit exposure, and to this end it plans to, Strengthen dialogue with clients, particularly in the most affected sectors, and increase collection of ESG data e.</w:t>
      </w:r>
    </w:p>
    <w:p>
      <w:r>
        <w:t>GHG emissions from their operations, Energy Performance Certificates EPCs for collateral, Transition Plans, decarbonisation commitments.</w:t>
      </w:r>
    </w:p>
    <w:p>
      <w:r>
        <w:t>Promote green finance by increasing the range of products and external partnerships that can help the clients achieve energy transition.</w:t>
      </w:r>
    </w:p>
    <w:p>
      <w:r>
        <w:t>Continue to promote ESG literacy within the Portuguese business community.</w:t>
      </w:r>
    </w:p>
    <w:p>
      <w:r>
        <w:t>In our Sustainability Policy we assume a clear commitment todeveloping a sustainable business and contributing to the transition to a low-carbon economy.</w:t>
      </w:r>
    </w:p>
    <w:p>
      <w:r>
        <w:t>To meet this objective, our approach is based on 5 pillars of action, Reducing the carbon footprint of our own operations, acting through an operating model that minimises the direct impact on the environment by reducing CO2consumptions and emissions.</w:t>
      </w:r>
    </w:p>
    <w:p>
      <w:r>
        <w:t>Considering the exclusion from our credit and risk appetite policy of financing to certain environmentally-sensitive activities and sectors, requiring clients to fulfil minimum safeguards in their activity as a precondition for financing them.</w:t>
      </w:r>
    </w:p>
    <w:p>
      <w:r>
        <w:t>We also made significant progress in 2023 in developing methodologies and models to analyse and assess the impact of ESG risks on the credit risk of our corporate clients their key transition challenges, the physical risks to which they are exposed and the social challenges in their value chains.</w:t>
      </w:r>
    </w:p>
    <w:p>
      <w:r>
        <w:t>We support our customers by providing loans whose purpose is aligned with the environmental objectives of the European Taxonomy, and through financial products and services that also include promoting their financial and environmental literacy.</w:t>
      </w:r>
    </w:p>
    <w:p>
      <w:r>
        <w:t>Integrating climate and environmental risks into the Bank's risk management models.</w:t>
      </w:r>
    </w:p>
    <w:p>
      <w:r>
        <w:t>We have assessed the materiality of the impact of environmental and climate risks on the Bank's activities and portfolios, based on the framework for managing these risks, and we have also quantified this impact, recognising that the development of the ability to quantify these impacts should become very significant in the coming years as more and better information becomes available from economic players.</w:t>
      </w:r>
    </w:p>
    <w:p>
      <w:r>
        <w:t>This assessment has also enabled us to begin to translate novobanco 's transition plan into portfolio adjustment targets that will allow us to reduce our indirect environmental impact and contribute to European carbon neutrality targets.</w:t>
      </w:r>
    </w:p>
    <w:p>
      <w:r>
        <w:t>In 2023, financed emission reduction targets have already been set for 3 different sectors reported in point 13.</w:t>
      </w:r>
    </w:p>
    <w:p>
      <w:r>
        <w:t>Lines of action of our sustainable finance approach to clients Under our strategy to support the transition of our clients, we focus on supporting the sectors and companies facing the greatest transition challenges, and, through our offer of financing and services solutions, we will play an active role in this transition, thereby mitigating the climate risks to which the Bank is exposed.</w:t>
      </w:r>
    </w:p>
    <w:p>
      <w:r>
        <w:t>To implement this strategy, these are our priority lines of action, To identify sectors and clients facing the biggest challenges and opportunities in the transition to a lowcarbon economy, through commercial approaches that assist corporate clients in mapping out their initial position and business transformation and evolution requirements.</w:t>
      </w:r>
    </w:p>
    <w:p>
      <w:r>
        <w:t>This enables us not only to support the investments they need to make but also to align the bank's portfolio with national and European decarbonisation targets.</w:t>
      </w:r>
    </w:p>
    <w:p>
      <w:r>
        <w:t>In 2023, we strengthened our range of products with environmental criteria for Companies, namely through the launch of the Support Line for the Improvement of the Offer, promoted by the Portuguese Tourism Board.</w:t>
      </w:r>
    </w:p>
    <w:p>
      <w:r>
        <w:t>This line is intended to support investments in low population density regions, with other eligibility criteria that include ESG targets such as energy efficiency, water management and accessibility.</w:t>
      </w:r>
    </w:p>
    <w:p>
      <w:r>
        <w:t>For more details on novobanco's strategy and approach to climate and environmental risks, please refer to the Sustainability Report, which is an integral part of novobanco's 2023 Annual Report.</w:t>
      </w:r>
    </w:p>
    <w:p>
      <w:r>
        <w:t>Governance An effective governance structure is fundamental to ensure the good execution of the strategy.</w:t>
      </w:r>
    </w:p>
    <w:p>
      <w:r>
        <w:t>The Executive Board of Directors takes direct responsibility for managing climate and environmental C&amp;E risks, actively engaging in strategy formulation and action planning.</w:t>
      </w:r>
    </w:p>
    <w:p>
      <w:r>
        <w:t>Oversight of these activities is provided by the General and Supervisory Board .</w:t>
      </w:r>
    </w:p>
    <w:p>
      <w:r>
        <w:t>Integration of ESG issues and risks, including climate and environmental risks, into the business and the risk management models.</w:t>
      </w:r>
    </w:p>
    <w:p>
      <w:r>
        <w:t>The mission of the ESG Office, created in 2022, is to promote the integration of sustainability principles into the Group's organisation, strategy and activities.</w:t>
      </w:r>
    </w:p>
    <w:p>
      <w:r>
        <w:t>At the same time, it supports the Bank's business and risk management, collaborating both in the development of commercial products and initiatives and in the development of risk methodologies and controls.</w:t>
      </w:r>
    </w:p>
    <w:p>
      <w:r>
        <w:t>The governance and organisational model for integrating ESG issues into the business and managing climate, environmental, social and governance risks is cross-functional within the organisation and based on two fundamental principles, To identify all existing or planned activities that are affected or changed by the ESG programme.</w:t>
      </w:r>
    </w:p>
    <w:p>
      <w:r>
        <w:t>At the operational level, novobanco's sustainability strategy is executed by dedicated working groups the block leaders and their teams who follow detailed action plans to ensure the timely achievement of the established objectives, in alignment with the defined strategy.</w:t>
      </w:r>
    </w:p>
    <w:p>
      <w:r>
        <w:t>Integrating ESG indicators into the performance assessment and variable remuneration of the management team, the collective and individual KPIs for the performance assessment of members of the EBD include ESG objectives since 2022.</w:t>
      </w:r>
    </w:p>
    <w:p>
      <w:r>
        <w:t>In 2022 the performance assessment of the EBD members already included indicators and objectives regarding the execution of the bank's ESG agenda, as well as the evolution of ESG risk management frameworks, including C&amp;E risks.</w:t>
      </w:r>
    </w:p>
    <w:p>
      <w:r>
        <w:t>In 2023, in addition to the overall objectives for implementing the bank's ESG agenda, business indicators and individual targets were defined for each of 2023 MARKET DISCIPLINE 162 the Executive Directors, in line with the environmental, social and governance commitments undertaken.</w:t>
      </w:r>
    </w:p>
    <w:p>
      <w:r>
        <w:t>The allocation of annual variable remuneration is determined on the basis of the achievement of individual and corporate financial and non-financial key performance indicators KPIs agreed with each member of the Executive Board of Directors.</w:t>
      </w:r>
    </w:p>
    <w:p>
      <w:r>
        <w:t>KPIs are defined based on a combination of the Bank's overall financial performance, the director's individual areas of responsibility including the development of direct report employees and the fulfilment of ESG targets.</w:t>
      </w:r>
    </w:p>
    <w:p>
      <w:r>
        <w:t>For more information, see the Remuneration Policy for the Management and Supervisory Bodies, available on the novobanco Group website &gt; About Us &gt; Governance &gt; Corporate Documents and Main Regulations.</w:t>
      </w:r>
    </w:p>
    <w:p>
      <w:r>
        <w:t>These risks emerge from the legislative, regulatory, technology and market initiatives to address mitigation and adaptation requirements associated to climate change.</w:t>
      </w:r>
    </w:p>
    <w:p>
      <w:r>
        <w:t>Climate and environmental risks management framework novobanco has been progressively incorporating environmental and climate risks into the business model to effectively comply with regulatory requirements and supervisory expectations.</w:t>
      </w:r>
    </w:p>
    <w:p>
      <w:r>
        <w:t>Implementation of enhanced ESG risk management procedures adjusted to novobanco's activity, including, o Assessment and quantification of the materiality of ESG risks and implementation of risk assessment practices, using sensitivity analysis or scenarisation methodologies.</w:t>
      </w:r>
    </w:p>
    <w:p>
      <w:r>
        <w:t>The execution of the risk management strategy is to a large extent supported by the portfolio screening and convergence mechanism, through which the most important clients and operations for the transition of the Bank's balance sheet are identified.</w:t>
      </w:r>
    </w:p>
    <w:p>
      <w:r>
        <w:t>Start of development of risk methodologies and information monitoring routines, for a better understanding of these risks and their management dynamics.</w:t>
      </w:r>
    </w:p>
    <w:p>
      <w:r>
        <w:t>ESG risks will be integrated in the decision-making processes business and pricing based on this development of skills The link between ESG risks and the other risk categories The ESG risk materiality assessment steers the approach to the integration of the management of ESG risk impacts into the approaches and policies for the remaining categories of risks faced by the Bank.</w:t>
      </w:r>
    </w:p>
    <w:p>
      <w:r>
        <w:t>The results of the screening support, a the development of specific limits to the composition of the own portfolio.</w:t>
      </w:r>
    </w:p>
    <w:p>
      <w:r>
        <w:t>Additionally, in a rationale of management and control of the Bank's operational and reputational risks, the external contracting policies and practices incorporate selection criteria that are sensitive to the environmental and social practices of external suppliers, measured through an ESG supplier rating, with a view to reducing the Bank's exposure to ESG risks of a reputational nature.</w:t>
      </w:r>
    </w:p>
    <w:p>
      <w:r>
        <w:t>Greenwashing risk In addition to identifying and monitoring potential greenwashing events, novobanco recognises that this risk is eminently associated with its sustainability strategy, as it arises from the possible misalignment between the objectives of a given product or initiative, as formalised and communicated, and their actual effects.</w:t>
      </w:r>
    </w:p>
    <w:p>
      <w:r>
        <w:t>Issuance of green or social bonds, in this area the Bank also recognises potential risks of greenwashing, due to the possibility of issues own or structured by the Bank that fail their objectives.</w:t>
      </w:r>
    </w:p>
    <w:p>
      <w:r>
        <w:t>In this context, the Bank will develop a Green &amp; Social Bonds Framework to set in place operations and internal controls to ensure the quality of these issues.</w:t>
      </w:r>
    </w:p>
    <w:p>
      <w:r>
        <w:t>Additionally, and within the scope of liquidity and funding concentration risk management, the Bank will assess the ESG risk profile of the main namescounterparties, seeking to ensure that there are no additional concentration risks promoted by ESG risk factors.</w:t>
      </w:r>
    </w:p>
    <w:p>
      <w:r>
        <w:t>Investing in raising customer and community awareness, by holding public events dedicated to ESG issues.</w:t>
      </w:r>
    </w:p>
    <w:p>
      <w:r>
        <w:t>Additional detail on novobanco's climate and environmental risk management is provided in the Sustainability Report, which forms an integral part of novobanco's 2023 Annual Report.</w:t>
      </w:r>
    </w:p>
    <w:p>
      <w:r>
        <w:t>These are some of the risks identified, Increased reputational and operational risk due to non-compliance with international principles and agreements on human and labour rights throughout the value chain, comprising clients, suppliers or other bank partners.</w:t>
      </w:r>
    </w:p>
    <w:p>
      <w:r>
        <w:t>Increased risk of default in case of reduction of the purchasing power of the communities served, and consequently of clients purchasing power Promoting financial inclusion and literacy initiatives, as well as providing products and services tailored to diverse customer needs, makes it possible to contribute to economic and social progress and thereby to mitigate the risk of loss of profitability.</w:t>
      </w:r>
    </w:p>
    <w:p>
      <w:r>
        <w:t>Social risks are addressed from a double materiality perspective, The risks, opportunities, and performance in novobanco's operations related to its employees, clients, suppliers, and the communities it serves have been given priority.</w:t>
      </w:r>
    </w:p>
    <w:p>
      <w:r>
        <w:t>In terms of social risks financial impacts on the Bank's operations, the Bank has recently started to address this issue, developing customer scoring and rating methodologies that incorporate a dimension dedicated to social risk.</w:t>
      </w:r>
    </w:p>
    <w:p>
      <w:r>
        <w:t>Main novobanco initiatives novobanco's sustainability strategy, supported by the stakeholders' sustainability materiality assessment, allowed us to define the material issues and Sustainable Development Goals SDGs and structure the ESG approach around the bank's four strategic pillars, of which those with the greatest impact on Social Risks are Customer Centric Bank and Development of People and Culture, and SDGs 4 Quality Education, 8 Decent work and economic growth and 10 Reduced inequalities.</w:t>
      </w:r>
    </w:p>
    <w:p>
      <w:r>
        <w:t>To promote the development and fulfilment of our employees' potential and their physical and mental well-being.</w:t>
      </w:r>
    </w:p>
    <w:p>
      <w:r>
        <w:t>During 2023 we developed a strategic programme for transforming the organisational culture, which aims to guarantee an organisational environment in novobanco that uses transparency, the highest standards of conduct, diversity and inclusion as strategic levers to, Attract, develop and retain talent in a safe environment that fosters a sense of belonging, engagement and identification with a common goal.</w:t>
      </w:r>
    </w:p>
    <w:p>
      <w:r>
        <w:t>Promote a high-performance culture, allowing employees to fulfil their expectations and potential.</w:t>
      </w:r>
    </w:p>
    <w:p>
      <w:r>
        <w:t>Social factors commitments and objectives As part of novobanco's strategic sustainability plan, we are committed to having an effective and significant impact on the communities we serve, from employees to customers, suppliers and society at large.</w:t>
      </w:r>
    </w:p>
    <w:p>
      <w:r>
        <w:t>To ensure 2023 MARKET DISCIPLINE 170 focus in the implementation of our action plans and to monitor the impact of our actions, we have made the following social commitments, Policies and procedures to manage social risks novobanco conducts its activity in a responsible, ethical and transparent manner.</w:t>
      </w:r>
    </w:p>
    <w:p>
      <w:r>
        <w:t>Compliance with these policies is a process of continuous improvement, involving the ongoing review of the corporate sustainability policies.</w:t>
      </w:r>
    </w:p>
    <w:p>
      <w:r>
        <w:t>The following are the most relevant policies that bear on social issues, Sustainability Policy, The principles that steer the Group's ESG actions and commitments to integrate sustainability into the business model.</w:t>
      </w:r>
    </w:p>
    <w:p>
      <w:r>
        <w:t>Statement of positive social impact, Commitments to social sustainability that go beyond legal obligations and embody the positive impact sought by the Group in its relationship with all stakeholders.</w:t>
      </w:r>
    </w:p>
    <w:p>
      <w:r>
        <w:t>Non-Discrimination and Gender Equality Policy, Principles of non-discrimination and promotion of equality, namely prohibiting discriminatory practices on the grounds of gender, race, colour, creed, socio-economic conditions or sexual orientation.</w:t>
      </w:r>
    </w:p>
    <w:p>
      <w:r>
        <w:t>Supplier Relationship Principles, Establish the basic standards for business conduct, workplace health and safety, ethics, and environmental management, and apply to both suppliers and the Group.</w:t>
      </w:r>
    </w:p>
    <w:p>
      <w:r>
        <w:t>Further detail on novobanco's strategy and approach to social factors is provided in the Sustainability Report, which forms an integral part of novobanco's 2023 Annual Report.</w:t>
      </w:r>
    </w:p>
    <w:p>
      <w:r>
        <w:t>The EBD is responsible for approving the general policies on social conduct and risks and supervising their application.</w:t>
      </w:r>
    </w:p>
    <w:p>
      <w:r>
        <w:t>At the beginning of 2023, with the aim of strengthening an internal culture of transparency where everyone feels comfortable expressing their opinions freely and reporting inappropriate behaviour, two new channels were redesignedcreated to promote a culture of ethics and anonymous or identified reporting within novobanco, External whistleblowing channel, which uses an external Platform to report inappropriate behaviours in full safety.</w:t>
      </w:r>
    </w:p>
    <w:p>
      <w:r>
        <w:t>In order to ensure customer protection and the development of responsible products, the bank has implemented a robust framework.</w:t>
      </w:r>
    </w:p>
    <w:p>
      <w:r>
        <w:t>In 2023, in addition to the overall objectives for implementing the bank's ESG agenda and the Culture and People programme, business indicators and individual targets were defined for each of the Executive Directors, in line with the environmental, social and governance commitments undertaken.</w:t>
      </w:r>
    </w:p>
    <w:p>
      <w:r>
        <w:t>In addition, the remuneration policy for novobanco employees is gender-neutral, which means equal pay for equal work or work of equivalent value.</w:t>
      </w:r>
    </w:p>
    <w:p>
      <w:r>
        <w:t>The Policy is also consistent with the objective of mainstreaming sustainability risks.</w:t>
      </w:r>
    </w:p>
    <w:p>
      <w:r>
        <w:t>The multi-year framework that ensures that the assessment process is based on long-term performance and that the actual attribution of the Variable Remuneration tranches is deferred for a defined period in some cases, taking into account the Bank's business cycle and business risks.</w:t>
      </w:r>
    </w:p>
    <w:p>
      <w:r>
        <w:t>It was developed based on the guiding principles of merit and transparency, ensuring the recognition of high performance, as well as the communication of standards and criteria for the application of remuneration practices.</w:t>
      </w:r>
    </w:p>
    <w:p>
      <w:r>
        <w:t>Additional detail on novobanco's social risk management is provided in the Sustainability Report, which forms an integral part of novobanco's 2023 Annual Report.</w:t>
      </w:r>
    </w:p>
    <w:p>
      <w:r>
        <w:t>Furthermore, exposures are checked against the European Taxonomy, and if they meet the technical screening requirements , the minimal social safeguards , and do not substantially undermine the other environmental objectives , they are considered aligned.</w:t>
      </w:r>
    </w:p>
    <w:p>
      <w:r>
        <w:t>Governance The EBD is the body with overall responsibility for novobanco's risk management system, outlining and supervising the principles that support it.</w:t>
      </w:r>
    </w:p>
    <w:p>
      <w:r>
        <w:t>The GSB and its Committees oversee and assist the EBD in the monitoring and accomplishment of strategic goals as well as in the supervision of adherence to the pertinent regulatory requirements with regard to the banking activity.</w:t>
      </w:r>
    </w:p>
    <w:p>
      <w:r>
        <w:t>According to the current governance model, particularly in terms of ESG risks, the Sustainability Steering Committee, a body that is responsible for ensuring the debate and prior appraisal of all elements relevant to the sustainability strategy and ESG risks of novobanco, directly supports the EBD.</w:t>
      </w:r>
    </w:p>
    <w:p>
      <w:r>
        <w:t>The second line of defence consists of the Global Risk Management Function and the Compliance Function , working in close collaboration of the ESG Office.</w:t>
      </w:r>
    </w:p>
    <w:p>
      <w:r>
        <w:t>Finally, the third line of defence is the Internal Audit Function , responsible for confirming the effective application of the ESG risk management policy.</w:t>
      </w:r>
    </w:p>
    <w:p>
      <w:r>
        <w:t>To address issues of conflicts of interest, novobanco has in place rules for identifying, managing and monitoring potential conflicts of interest, in compliance with the applicable legal and regulatory provisions.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