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4A9E" w14:textId="77777777" w:rsidR="002770D6" w:rsidRDefault="00000000">
      <w:r>
        <w:t>The objectives of this framework are, more risk sensitive capital allocation Pillar 1 Minimum Capital Requirements, more detailed regulatory assessment of material risk categories Pillar 2 Supervisory Review Process and increased market transparency Pillar 3 Market Discipline.</w:t>
      </w:r>
    </w:p>
    <w:p w14:paraId="54285934" w14:textId="77777777" w:rsidR="002770D6" w:rsidRDefault="00000000">
      <w:r>
        <w:t>Pillar 3 Market discipline Taking account of Pillar 1 Minimum Capital Requirements and Pillar 2 Supervisory Review Process, Pillar 3 aims to increase market transparency by providing information on the scope of application, regulatory capital, risk positions, risk measurement approaches and therefore, the capital adequacy of a bank.</w:t>
      </w:r>
    </w:p>
    <w:p w14:paraId="2AF2F682" w14:textId="77777777" w:rsidR="002770D6" w:rsidRDefault="00000000">
      <w:r>
        <w:t>The risk strategy is consistent with the business strategy and incorporates the expected impact of external environment on the planned business and risk development.</w:t>
      </w:r>
    </w:p>
    <w:p w14:paraId="45E7B22B" w14:textId="77777777" w:rsidR="002770D6" w:rsidRDefault="00000000">
      <w:r>
        <w:t>The risk strategy describes the current and targeted risk profile, defines risk management principles, strategic goals and initiatives for the main risk types as well as sets strategic limits for the significant financial and non-financial risk types as defined in the Risk Materiality Assessment.</w:t>
      </w:r>
    </w:p>
    <w:p w14:paraId="64AAE666" w14:textId="77777777" w:rsidR="002770D6" w:rsidRDefault="00000000">
      <w:r>
        <w:t>The risk strategy is executed within a clearly defined governance structure.</w:t>
      </w:r>
    </w:p>
    <w:p w14:paraId="0B55BB89" w14:textId="77777777" w:rsidR="002770D6" w:rsidRDefault="00000000">
      <w:r>
        <w:t>Risk management organisation Risk monitoring and control is achieved through a clear organisational structure with defined roles and responsibilities, delegated authorities and risk limits.</w:t>
      </w:r>
    </w:p>
    <w:p w14:paraId="7308407F" w14:textId="77777777" w:rsidR="002770D6" w:rsidRDefault="00000000">
      <w:r>
        <w:t>Furthermore, certain cross-divisional committees were established with the purpose of carrying out risk management activities in Erste Group.</w:t>
      </w:r>
    </w:p>
    <w:p w14:paraId="1E9F3E27" w14:textId="77777777" w:rsidR="002770D6" w:rsidRDefault="00000000">
      <w:r>
        <w:t>The USRC must take appropriate measures to ensure that CUSO comprised of the New York Branch and Erste Finance Delaware LLC, the EGB-owned commercial paper subsidiary managed by the branch implements the risk management policies that are overseen by the U.</w:t>
      </w:r>
    </w:p>
    <w:p w14:paraId="5E2014F0" w14:textId="77777777" w:rsidR="002770D6" w:rsidRDefault="00000000">
      <w:r>
        <w:t>The approved investment strategy complies with the guidelines agreed with Risk Management.</w:t>
      </w:r>
    </w:p>
    <w:p w14:paraId="0FD032ED" w14:textId="77777777" w:rsidR="002770D6" w:rsidRDefault="00000000">
      <w:r>
        <w:t>The framework is tailored to the Erste Groups business and risk profile and reflects the strategic goal of protecting shareholders and senior debt holders while ensuring the sustainability of the organization.</w:t>
      </w:r>
    </w:p>
    <w:p w14:paraId="413E6B9D" w14:textId="199220C8" w:rsidR="002770D6" w:rsidRDefault="00000000">
      <w:r>
        <w:t xml:space="preserve">The ERM components necessary to ensure all aspects, </w:t>
      </w:r>
      <w:proofErr w:type="gramStart"/>
      <w:r>
        <w:t>in particular to</w:t>
      </w:r>
      <w:proofErr w:type="gramEnd"/>
      <w:r>
        <w:t xml:space="preserve"> fulfil regulatory requirements and to provide an effective internal steering tool, can be clustered as follows, Risk Appetite Statement</w:t>
      </w:r>
      <w:r w:rsidR="00EA1692">
        <w:t xml:space="preserve"> </w:t>
      </w:r>
      <w:r>
        <w:t>limits and risk strategy.</w:t>
      </w:r>
    </w:p>
    <w:p w14:paraId="12B344BF" w14:textId="77777777" w:rsidR="002770D6" w:rsidRDefault="00000000">
      <w:r>
        <w:t>In addition to the ICAAPs ultimate goal of assuring capital adequacy and sustainability at all times, the ERM components serve to support the banks management in pursuing its strategy.</w:t>
      </w:r>
    </w:p>
    <w:p w14:paraId="02611DA5" w14:textId="77777777" w:rsidR="002770D6" w:rsidRDefault="00000000">
      <w:r>
        <w:lastRenderedPageBreak/>
        <w:t>It is integrated and embedded into Erste Groups structural processes, including business and risk strategy, budgeting process, capital and liquidity planning, recovery plan, stress testing and remuneration framework.</w:t>
      </w:r>
    </w:p>
    <w:p w14:paraId="62BAF6A4" w14:textId="77777777" w:rsidR="002770D6" w:rsidRDefault="00000000">
      <w:r>
        <w:t>This approach allows a timely delivery of information to the respective governance and the implementation of effective remediation measures.</w:t>
      </w:r>
    </w:p>
    <w:p w14:paraId="3994D828" w14:textId="77777777" w:rsidR="002770D6" w:rsidRDefault="00000000">
      <w:r>
        <w:t>Risk management governance ensures full oversight of risk decisions and sound execution of the Group risk strategy.</w:t>
      </w:r>
    </w:p>
    <w:p w14:paraId="1E355A90" w14:textId="77777777" w:rsidR="002770D6" w:rsidRDefault="00000000">
      <w:r>
        <w:t>Mitigating actions are undertaken as part of the regular risk management process to ensure that the Group remains within its RAS.</w:t>
      </w:r>
    </w:p>
    <w:p w14:paraId="7FE00C97" w14:textId="77777777" w:rsidR="002770D6" w:rsidRDefault="00000000">
      <w:r>
        <w:t>The table below provides an overview of Group performance at year-end 2023 against the approved Group RAS1, 1 For further information on governance see chapter Group Governance for Risk Management Activities.</w:t>
      </w:r>
    </w:p>
    <w:p w14:paraId="51500B98" w14:textId="77777777" w:rsidR="002770D6" w:rsidRDefault="00000000">
      <w:r>
        <w:t>Risk materiality assessment The Risk Materiality Assessment determines the materiality of risk types and consequently the risk profile of Erste Group, as well as provides the information on the expected development of the risk profile in the outlook horizon.</w:t>
      </w:r>
    </w:p>
    <w:p w14:paraId="06D9A11C" w14:textId="77777777" w:rsidR="002770D6" w:rsidRDefault="00000000">
      <w:r>
        <w:t>Insights generated by the assessment are used to improve risk management practices and further mitigate risks within the Group, incl.</w:t>
      </w:r>
    </w:p>
    <w:p w14:paraId="66066F4F" w14:textId="77777777" w:rsidR="002770D6" w:rsidRDefault="00000000">
      <w:r>
        <w:t>Following the conclusion of this first climate stress test, Erste Group has taken steps to integrate climate 19 risk into the internal stress testing framework.</w:t>
      </w:r>
    </w:p>
    <w:p w14:paraId="1FE9161F" w14:textId="77777777" w:rsidR="002770D6" w:rsidRDefault="00000000">
      <w:r>
        <w:t>In particular, both physical risk and transition risk from projected climate change are now included in the internal stress testing framework.</w:t>
      </w:r>
    </w:p>
    <w:p w14:paraId="4C0276BB" w14:textId="77777777" w:rsidR="002770D6" w:rsidRDefault="00000000">
      <w:r>
        <w:t>In contrast to the normative regulatory view of Pillar 1, referring to the Groups ability to fulfil all of its capital-related regulatory and supervisory requirements and demands, the RCC is based on an economic view of Pillar 1+ approach, assuming continuation of Erste Group as expected by the ECB Guide to ICAAP.</w:t>
      </w:r>
    </w:p>
    <w:p w14:paraId="1591CB1D" w14:textId="77777777" w:rsidR="002770D6" w:rsidRDefault="00000000">
      <w:r>
        <w:t>Planning activities are performed in close cooperation with all stakeholders in the group´s overall process and follow a clear governance structure to ensure sound risk planning process.</w:t>
      </w:r>
    </w:p>
    <w:p w14:paraId="1529CF96" w14:textId="77777777" w:rsidR="002770D6" w:rsidRDefault="00000000">
      <w:r>
        <w:t>The recovery governance described in the plan ensures timely identification and proper management of a recovery situation of Erste Group.</w:t>
      </w:r>
    </w:p>
    <w:p w14:paraId="000D5BE1" w14:textId="77777777" w:rsidR="002770D6" w:rsidRDefault="00000000">
      <w:r>
        <w:t>The following figure presents an overview of the risk monitoring framework at Group level consisting of both strategic and operational oversight as set out below.</w:t>
      </w:r>
    </w:p>
    <w:p w14:paraId="1B8A6490" w14:textId="77777777" w:rsidR="002770D6" w:rsidRDefault="00000000">
      <w:r>
        <w:t>Both are regularly monitored and reported in the Group Risk Report Risk Dashboard including a traffic light overview together with respective measures to address deviations from strategic plans or objectives identified.</w:t>
      </w:r>
    </w:p>
    <w:p w14:paraId="2740A708" w14:textId="77777777" w:rsidR="002770D6" w:rsidRDefault="00000000">
      <w:r>
        <w:lastRenderedPageBreak/>
        <w:t>Operational oversight Risk management by risk type ensures that the risk-specific profile remains in line with the risk strategy and operational limits support achievement of the strategic targets.</w:t>
      </w:r>
    </w:p>
    <w:p w14:paraId="7654A04A" w14:textId="77777777" w:rsidR="002770D6" w:rsidRDefault="00000000">
      <w:r>
        <w:t>Details on the supervisory board mandates or similar functions, as well as on the policy on diversity are contained in the corporate governance report, which is part of the annual report.</w:t>
      </w:r>
    </w:p>
    <w:p w14:paraId="2796348A" w14:textId="77777777" w:rsidR="002770D6" w:rsidRDefault="00000000">
      <w:r>
        <w:t>Without prejudice to the duties of the remuneration committee, the risk committee is also responsible for reviewing whether the incentives offered by the internal remuneration system adequately take into account risk, capital, liquidity and the probability and timing of profit realisation.</w:t>
      </w:r>
    </w:p>
    <w:p w14:paraId="486A5D23" w14:textId="77777777" w:rsidR="002770D6" w:rsidRDefault="00000000">
      <w:r>
        <w:t>In addition, the risk committee is responsible for reviewing potential stress scenarios in order to assess how the banks risk profile reacts to external and internal events.</w:t>
      </w:r>
    </w:p>
    <w:p w14:paraId="3383DABD" w14:textId="77777777" w:rsidR="002770D6" w:rsidRDefault="00000000">
      <w:r>
        <w:t>On-balance items subject to deductions which are not considered in regulatory exposure, are as well excluded from the framework split of the table above, but are presented only within the column Total.</w:t>
      </w:r>
    </w:p>
    <w:p w14:paraId="646B4206" w14:textId="77777777" w:rsidR="002770D6" w:rsidRDefault="00000000">
      <w:r>
        <w:t>Differences in valuation are dedicated row for amount of AVA considered in regulatory exposure.</w:t>
      </w:r>
    </w:p>
    <w:p w14:paraId="01D0D752" w14:textId="77777777" w:rsidR="002770D6" w:rsidRDefault="00000000">
      <w:r>
        <w:t>Differences due to consideration of provisions represent the net effect of total provisions considered in gross carrying amount at the starting point of regulatory exposure calculation, netted by provisions considered as decrease of EAD in Standardized Approach.</w:t>
      </w:r>
    </w:p>
    <w:p w14:paraId="43E110EC" w14:textId="77777777" w:rsidR="002770D6" w:rsidRDefault="00000000">
      <w:r>
        <w:t>The effects of CRM techniques within the counterparty credit risk framework represent net effect of collaterals used in exposure calculation for asset SFTs, as well as regulatory exposure driven by given collaterals for liability SFTs.</w:t>
      </w:r>
    </w:p>
    <w:p w14:paraId="2C53070E" w14:textId="77777777" w:rsidR="002770D6" w:rsidRDefault="00000000">
      <w:r>
        <w:t>Factors influencing the development of leverage exposure DISCLOSURE REQUIREMENTS Art.</w:t>
      </w:r>
    </w:p>
    <w:p w14:paraId="08425BFC" w14:textId="77777777" w:rsidR="002770D6" w:rsidRDefault="00000000">
      <w:r>
        <w:t>Respective information on the impact of ESG factors on the credit risk related processes and framework is covered in the section Environmental, social and governance risks.</w:t>
      </w:r>
    </w:p>
    <w:p w14:paraId="74CF995A" w14:textId="77777777" w:rsidR="002770D6" w:rsidRDefault="00000000">
      <w:r>
        <w:t>Credit risk related to retail loan portfolios is managed at the Group and local entity level with a common interest to ensure regulatory compliant risk management practices and to provide customers with manageable loan facilities that are within their financial capacities supported by underlying profitability.</w:t>
      </w:r>
    </w:p>
    <w:p w14:paraId="5B3B047C" w14:textId="77777777" w:rsidR="002770D6" w:rsidRDefault="00000000">
      <w:r>
        <w:t>Local banks develop their local lending strategy in which input from local risk management plays a key role.</w:t>
      </w:r>
    </w:p>
    <w:p w14:paraId="0227ED61" w14:textId="77777777" w:rsidR="002770D6" w:rsidRDefault="00000000">
      <w:r>
        <w:t>Local retail risk management supports the local business lines by identifying which customer segments should be in focus in terms of new lending initiatives.</w:t>
      </w:r>
    </w:p>
    <w:p w14:paraId="50CA5E08" w14:textId="77777777" w:rsidR="002770D6" w:rsidRDefault="00000000">
      <w:r>
        <w:lastRenderedPageBreak/>
        <w:t>Moreover, local retail risk management ensures that any new products or changes in lending criteria are in line with the Group lending framework requirements and are adequately supported by the existing risk infrastructure.</w:t>
      </w:r>
    </w:p>
    <w:p w14:paraId="7E8630CC" w14:textId="77777777" w:rsidR="002770D6" w:rsidRDefault="00000000">
      <w:r>
        <w:t>The underlying principle is to ensure that lending activities are in compliance with the client rating-based maximum including uncollateralised credit limit, are based on expert opinions and analyses and involve relevant cross-functional support from other departments.</w:t>
      </w:r>
    </w:p>
    <w:p w14:paraId="7D0AF56C" w14:textId="77777777" w:rsidR="002770D6" w:rsidRDefault="00000000">
      <w:r>
        <w:t>It ensures that only credit risk that is in line with the risk appetite, the risk strategy and limits set by Group Enterprise-wide Risk Management is taken on the books of Erste Group.</w:t>
      </w:r>
    </w:p>
    <w:p w14:paraId="28761F0E" w14:textId="77777777" w:rsidR="002770D6" w:rsidRDefault="00000000">
      <w:r>
        <w:t>Furthermore, they conduct regular in-depth portfolio reviews with local risk management to understand portfolio dynamics and identify potential adverse portfolio developments early on.</w:t>
      </w:r>
    </w:p>
    <w:p w14:paraId="56922870" w14:textId="77777777" w:rsidR="002770D6" w:rsidRDefault="00000000">
      <w:r>
        <w:t>In addition, the EWS framework is established Group-wide and early warning signals are regularly monitored in order to timely recognise adverse developments and immediately take appropriate mitigating actions.</w:t>
      </w:r>
    </w:p>
    <w:p w14:paraId="13C168A4" w14:textId="3F7A37D2" w:rsidR="002770D6" w:rsidRDefault="00000000">
      <w:r>
        <w:t>In instances where certain risk portfolios or client groups are identified as potentially in distress, these are closely monitored by the dedicated risk functions</w:t>
      </w:r>
      <w:r w:rsidR="00440B02">
        <w:t>, c</w:t>
      </w:r>
      <w:r>
        <w:t>redit Risk Portfolio and Group Enterprise-wide Risk Management to manage the risk impact and to develop effective strategies to minimize potential losses.</w:t>
      </w:r>
    </w:p>
    <w:p w14:paraId="7DD80CBA" w14:textId="77777777" w:rsidR="002770D6" w:rsidRDefault="00000000">
      <w:r>
        <w:t>In addition, key lending criteria relaxations planned by the local entities are also reviewed and aligned with Credit Risk Portfolio for non-retail clients and Retail Risk Management for retail clients prior to implementation.</w:t>
      </w:r>
    </w:p>
    <w:p w14:paraId="646D41C4" w14:textId="77777777" w:rsidR="002770D6" w:rsidRDefault="00000000">
      <w:r>
        <w:t>This includes appropriate monitoring and governance in place with distinct limits set as part of the Group Risk Strategy to manage and ensure proper oversight of FX lending risk.</w:t>
      </w:r>
    </w:p>
    <w:p w14:paraId="4E80E254" w14:textId="77777777" w:rsidR="002770D6" w:rsidRDefault="00000000">
      <w:r>
        <w:t>Depending on the impairment status and the assessment of the development of credit risk, these financial instruments are assigned to one of the three stages.</w:t>
      </w:r>
    </w:p>
    <w:p w14:paraId="4177A075" w14:textId="77777777" w:rsidR="002770D6" w:rsidRDefault="00000000">
      <w:r>
        <w:t>In the case of drawings by non-defaulted customers on previously committed credit lines, the whole exposure on-balance and off-balance is categorised as either Stage 1 or Stage 2, depending on the development of credit risk between the commitment date and the drawing date.</w:t>
      </w:r>
    </w:p>
    <w:p w14:paraId="25539095" w14:textId="77777777" w:rsidR="002770D6" w:rsidRDefault="00000000">
      <w:r>
        <w:t>The related group-wide and entity-level credit risk controlling policies and procedures ensure the necessary governance framework.</w:t>
      </w:r>
    </w:p>
    <w:p w14:paraId="11DE6312" w14:textId="77777777" w:rsidR="002770D6" w:rsidRDefault="00000000">
      <w:r>
        <w:t>This goal could trigger an energy policy shock, whereby the price of CO2 emissions skyrocket in the first year, crystalizing a disorderly transition risk.</w:t>
      </w:r>
    </w:p>
    <w:p w14:paraId="1B8B7332" w14:textId="77777777" w:rsidR="002770D6" w:rsidRDefault="00000000">
      <w:r>
        <w:lastRenderedPageBreak/>
        <w:t>This approach is aligned with all affected entities and business lines and approved by the respective governance bodies of Erste Group.</w:t>
      </w:r>
    </w:p>
    <w:p w14:paraId="4FCF0DD8" w14:textId="77777777" w:rsidR="002770D6" w:rsidRDefault="00000000">
      <w:r>
        <w:t>In each subsidiary of Erste Group, the local Collateral Management unit is responsible for the implementation of the framework by issuing a local policy and working instructions taking into consideration any additional local legal and regulatory requirements and the organisation of the subsidiary.</w:t>
      </w:r>
    </w:p>
    <w:p w14:paraId="5552F8A6" w14:textId="77777777" w:rsidR="002770D6" w:rsidRDefault="00000000">
      <w:r>
        <w:t>The maximum periods for the revaluation of individual collateral are predefined and compliance is monitored with a support of software applications.</w:t>
      </w:r>
    </w:p>
    <w:p w14:paraId="6B19E8B2" w14:textId="77777777" w:rsidR="002770D6" w:rsidRDefault="00000000">
      <w:r>
        <w:t>Information on energy efficiency and CO2 emission of the collateral objects is collected and stored systematically in order to be considered for real estate collateral valuations and reporting purposes.</w:t>
      </w:r>
    </w:p>
    <w:p w14:paraId="5C00E02F" w14:textId="77777777" w:rsidR="002770D6" w:rsidRDefault="00000000">
      <w:r>
        <w:t>IRB official notice at consolidated level only The following financial institutions have been audited by the OeNB or by local supervisory authorities on behalf of the FMA and were granted approval to apply the IRB Approach at the consolidated level indefinitely, Erste Bank und Sparkassen Leasing GmbH.</w:t>
      </w:r>
    </w:p>
    <w:p w14:paraId="28A55E17" w14:textId="77777777" w:rsidR="002770D6" w:rsidRDefault="00000000">
      <w:r>
        <w:t>Outputs of the rating process The model output are the regulatory risk categories in the Supervisory Slotting Approach within the IRB Approach.</w:t>
      </w:r>
    </w:p>
    <w:p w14:paraId="6B176B39" w14:textId="77777777" w:rsidR="002770D6" w:rsidRDefault="00000000">
      <w:r>
        <w:t>The responsibility for the correct application of the rating methods and correct data entry ultimately lies with the local level, from the account managers to the persons responsible in operative risk management departments.</w:t>
      </w:r>
    </w:p>
    <w:p w14:paraId="7C7965DC" w14:textId="77777777" w:rsidR="002770D6" w:rsidRDefault="00000000">
      <w:r>
        <w:t>The Holding is responsible to set standards for the development of all models, monitor their effective implementation and provides methodological support and advice to ensure consistency within the Group.</w:t>
      </w:r>
    </w:p>
    <w:p w14:paraId="5845A860" w14:textId="77777777" w:rsidR="002770D6" w:rsidRDefault="00000000">
      <w:r>
        <w:t>A subsidiarity model for model development is therefore balancing development efforts between the Holding and local banks and is simplifying tailoring of approaches to local requirements and data situation.</w:t>
      </w:r>
    </w:p>
    <w:p w14:paraId="035943AB" w14:textId="77777777" w:rsidR="002770D6" w:rsidRDefault="00000000">
      <w:r>
        <w:t>This operating model for model monitoring fosters harmonization with model validation and ensures close local oversight and understanding of models through proximity to local business and local use of models.</w:t>
      </w:r>
    </w:p>
    <w:p w14:paraId="1285B3F7" w14:textId="77777777" w:rsidR="002770D6" w:rsidRDefault="00000000">
      <w:r>
        <w:t>In order to allow an objective assessment, the internal audit function is granted an adequate level of independence from the reviewed processes and units in order to ensure that according to ECB Guide to Internal Models General Topics, Chapter 1.</w:t>
      </w:r>
    </w:p>
    <w:p w14:paraId="2E55D117" w14:textId="77777777" w:rsidR="002770D6" w:rsidRDefault="00000000">
      <w:r>
        <w:t>Audit's assessment includes a confirmation of the fulfilment of tasks of quantitative nature performed by the units responsible for development and initial validation of the rating model, according to CRR Article 191, EBARTS201603 Article 17 and internal requirements.</w:t>
      </w:r>
    </w:p>
    <w:p w14:paraId="2D432856" w14:textId="77777777" w:rsidR="002770D6" w:rsidRDefault="00000000">
      <w:r>
        <w:lastRenderedPageBreak/>
        <w:t>For the calculation of regulatory exposures for derivative instruments Erste Group switched to using the standardized approach for counterparty credit risk SA-CCR in June 2021.</w:t>
      </w:r>
    </w:p>
    <w:p w14:paraId="046F41F0" w14:textId="77777777" w:rsidR="002770D6" w:rsidRDefault="00000000">
      <w:r>
        <w:t>Starting in 2022, SA-CCR is also used for the purposes of internal limit steering which brings regulatory and internal exposure measures in close alignment.</w:t>
      </w:r>
    </w:p>
    <w:p w14:paraId="3B414DBC" w14:textId="77777777" w:rsidR="002770D6" w:rsidRDefault="00000000">
      <w:r>
        <w:t>The policy covers the roles, responsibilities, governance and organisation of the synthetic securitisation process within Erste Group, Erste Bank, Ceska Sporitelna and Slovenská sporiteľňa.</w:t>
      </w:r>
    </w:p>
    <w:p w14:paraId="534FEBF4" w14:textId="77777777" w:rsidR="002770D6" w:rsidRDefault="00000000">
      <w:r>
        <w:t>This includes the identification, measurement and controlling of market and liquidity risk as well as the integration into the groups enterprise wide risk management and risk appetite framework.</w:t>
      </w:r>
    </w:p>
    <w:p w14:paraId="3C1BD47F" w14:textId="77777777" w:rsidR="002770D6" w:rsidRDefault="00000000">
      <w:r>
        <w:t>Systems and controls All models used are documented, aligned between risk management and front office, and periodically audited.</w:t>
      </w:r>
    </w:p>
    <w:p w14:paraId="12B3D259" w14:textId="77777777" w:rsidR="002770D6" w:rsidRDefault="00000000">
      <w:r>
        <w:t>In accordance with the CRR and the relevant Regulatory Technical Standards, the absolute sum of fair valued assets and liabilities lies above the threshold of EUR 15 billion and hence Erste Group implemented additional value adjustments under the core approach.</w:t>
      </w:r>
    </w:p>
    <w:p w14:paraId="17995B61" w14:textId="77777777" w:rsidR="002770D6" w:rsidRDefault="00000000">
      <w:r>
        <w:t>The additional value adjustments reduce the regulatory Common Equity Tier 1 capital.</w:t>
      </w:r>
    </w:p>
    <w:p w14:paraId="715350CE" w14:textId="77777777" w:rsidR="002770D6" w:rsidRDefault="00000000">
      <w:r>
        <w:t>Early warning indicators also form an integral part of the liquidity risk management framework, in particular with respect to detecting the type and severity of liquidity stress events.</w:t>
      </w:r>
    </w:p>
    <w:p w14:paraId="244FF45C" w14:textId="77777777" w:rsidR="002770D6" w:rsidRDefault="00000000">
      <w:r>
        <w:t>The CFPs are reviewed at least annually and are checked for compliance with minimum standards set within the Group Liquidity Management Policy.</w:t>
      </w:r>
    </w:p>
    <w:p w14:paraId="2A5E3B20" w14:textId="77777777" w:rsidR="002770D6" w:rsidRDefault="00000000">
      <w:r>
        <w:t>Hence, local ALM units are responsible to create a local Liquidity Strategy for their partial subgroup, which is approved by the local Board of Directors after alignment with Group BSM.</w:t>
      </w:r>
    </w:p>
    <w:p w14:paraId="7C0EFBF6" w14:textId="77777777" w:rsidR="002770D6" w:rsidRDefault="00000000">
      <w:r>
        <w:t>Group BSM is also responsible to reflect the costs and benefits of compliance with different liquidity-related limits and regulations in the internal Funds Transfer Price system, whose design and methodology are defined in the Group FTP policy.</w:t>
      </w:r>
    </w:p>
    <w:p w14:paraId="65E4F531" w14:textId="77777777" w:rsidR="002770D6" w:rsidRDefault="00000000">
      <w:r>
        <w:t>The interest rate risk management process is governed by clear responsibilities of all stakeholders in the interest rate risk framework as described in section Organisation and can be divided into four high level components, Risk identification.</w:t>
      </w:r>
    </w:p>
    <w:p w14:paraId="1B9F3723" w14:textId="77777777" w:rsidR="002770D6" w:rsidRDefault="00000000">
      <w:r>
        <w:t>The earnings at risk coming from NII assesses the accounting impact of interest rate changes, calculated according to Regulatory technical standards EBARTS202210 prescribing Supervisory shock scenarios on NII, with a focus on the next 12 months and providing insights on P&amp;L changes stemming from changes in interest rates.</w:t>
      </w:r>
    </w:p>
    <w:p w14:paraId="4613077E" w14:textId="77777777" w:rsidR="002770D6" w:rsidRDefault="00000000">
      <w:r>
        <w:t>It is designed to fulfil internal risk management and external regulatory requirements.</w:t>
      </w:r>
    </w:p>
    <w:p w14:paraId="63133514" w14:textId="77777777" w:rsidR="002770D6" w:rsidRDefault="00000000">
      <w:r>
        <w:lastRenderedPageBreak/>
        <w:t>BLM is responsible for identifying, assessing and managing the risks residual in the products, activities, processes and systems on an ongoing basis by using operational risk management instruments.</w:t>
      </w:r>
    </w:p>
    <w:p w14:paraId="72E824F7" w14:textId="77777777" w:rsidR="002770D6" w:rsidRDefault="00000000">
      <w:r>
        <w:t>Entities following the Basic Indicator Approach have implemented internal loss data collection, new product approval and outsourcing risk management instruments.</w:t>
      </w:r>
    </w:p>
    <w:p w14:paraId="4EDF1CBA" w14:textId="77777777" w:rsidR="002770D6" w:rsidRDefault="00000000">
      <w:r>
        <w:t>Erste Group measures the regulatory and economic capital requirements for operational risk using the AMA for 14 entities and the rest uses BIA on the group level.</w:t>
      </w:r>
    </w:p>
    <w:p w14:paraId="605DF54B" w14:textId="77777777" w:rsidR="002770D6" w:rsidRDefault="00000000">
      <w:r>
        <w:t>Losses due to acts intended to defraud, misappropriate property or circumvent regulations, the law or company policy, excluding diversitydiscrimination loss events, which involve at least one internal party.</w:t>
      </w:r>
    </w:p>
    <w:p w14:paraId="0F982367" w14:textId="77777777" w:rsidR="002770D6" w:rsidRDefault="00000000">
      <w:r>
        <w:t>Execution, delivery and process management 32% Internal fraud 2% External fraud 32% Employment practices and workplace safety 2% Clients, products and business practices 6% Damage to physical assets 24% Business disruption and system failures 2% 129 in EUR mn a b c d e Banking activities Relevant indicator Own funds requirements Risk weighted exposure amount Year-3 Year-2 Last year 1 Banking activities subject to basic indicator approach 2,358.</w:t>
      </w:r>
    </w:p>
    <w:p w14:paraId="5A92E222" w14:textId="77777777" w:rsidR="002770D6" w:rsidRDefault="00000000">
      <w:r>
        <w:t>As one of the leading banking institutions in the CEE region, Erste Group is dedicated to mobilising finance for a lower-carbon, more equitable and inclusive society.</w:t>
      </w:r>
    </w:p>
    <w:p w14:paraId="4FFA29A3" w14:textId="77777777" w:rsidR="002770D6" w:rsidRDefault="00000000">
      <w:r>
        <w:t>Business strategy and process a Institution's business strategy to integrate environmental factors and risks, taking into account the impact of environmental factors and risks on institution's business environment, business model, strategy and financial planning Our ESG strategy is based on a profound understanding of socio-environmental challenges and their impacts on the economic and political development of the region where we operate.</w:t>
      </w:r>
    </w:p>
    <w:p w14:paraId="4B1C32A6" w14:textId="77777777" w:rsidR="002770D6" w:rsidRDefault="00000000">
      <w:r>
        <w:t>Erste Group trusts that the knowledge being generated in the process will allow to be one step ahead and actively assist customers in achieving their climate targets while also supporting growth and resilience.</w:t>
      </w:r>
    </w:p>
    <w:p w14:paraId="13CFDB61" w14:textId="77777777" w:rsidR="002770D6" w:rsidRDefault="00000000">
      <w:r>
        <w:t>Furthermore, the relevant harmful socio-environmental activities are translated into exclusion criteria for our business activities laid down within the Group Responsible Financing Policy.</w:t>
      </w:r>
    </w:p>
    <w:p w14:paraId="281FE03F" w14:textId="77777777" w:rsidR="002770D6" w:rsidRDefault="00000000">
      <w:r>
        <w:t>The first reflects our commitment to promote the financing of climate aligned initiatives and projects by our entities across the region, as well as to boost the share of green businesses in our portfolio.</w:t>
      </w:r>
    </w:p>
    <w:p w14:paraId="69EA99B7" w14:textId="77777777" w:rsidR="002770D6" w:rsidRDefault="00000000">
      <w:r>
        <w:t>From a climate-related risk perspective, both concepts aim to increase the resilience of our portfolio, either explicitly by investing in more green business or implicitly by supporting our clients on their path towards net zero transition.</w:t>
      </w:r>
    </w:p>
    <w:p w14:paraId="6817F099" w14:textId="77777777" w:rsidR="002770D6" w:rsidRDefault="00000000">
      <w:r>
        <w:lastRenderedPageBreak/>
        <w:t>Environmental, social and governance risks 131 b Objectives, targets and limits to assess and address environmental risk in short-, medium-, and long-term, and performance assessment against these objectives, targets and limits, including forward-looking information in the design of business strategy and processes Erste Group is convinced that the economic success of the CEE region can only be sustainable if the region maintains strong social cohesion and encourages investments in the green transition.</w:t>
      </w:r>
    </w:p>
    <w:p w14:paraId="797605BB" w14:textId="77777777" w:rsidR="002770D6" w:rsidRDefault="00000000">
      <w:r>
        <w:t>To continue be successful in a decarbonized world and to create value for customers, investors, employees and society as a whole, it is our responsibility in the management of the bank to positively resolve conflicting goals between profitability and the environmental and social impact of our actions and to seize the enormous opportunities in these times of change and transformation.</w:t>
      </w:r>
    </w:p>
    <w:p w14:paraId="3FC6C335" w14:textId="77777777" w:rsidR="002770D6" w:rsidRDefault="00000000">
      <w:r>
        <w:t>New targets related to the second phase of portfolio decarbonisation were approved by the Group Sustainability Board in December 2023.</w:t>
      </w:r>
    </w:p>
    <w:p w14:paraId="473B8DDD" w14:textId="0D57E7B2" w:rsidR="002770D6" w:rsidRDefault="00000000">
      <w:r>
        <w:t xml:space="preserve">Our methodology for emissions calculation and decarbonization target setting is based on internationally recognized market standards such as the Science Based Target initiative </w:t>
      </w:r>
      <w:proofErr w:type="gramStart"/>
      <w:r>
        <w:t>SBTi</w:t>
      </w:r>
      <w:proofErr w:type="gramEnd"/>
      <w:r>
        <w:t xml:space="preserve"> and the Paris Aligned Capital Transition Assessment.</w:t>
      </w:r>
    </w:p>
    <w:p w14:paraId="52BE274F" w14:textId="77777777" w:rsidR="002770D6" w:rsidRDefault="00000000">
      <w:r>
        <w:t>Following the definition of portfolio decarbonisation targets for priority sectors, the risk appetite of the Group was enhanced in 2023 through introduction of.</w:t>
      </w:r>
    </w:p>
    <w:p w14:paraId="63F6DB3D" w14:textId="77777777" w:rsidR="002770D6" w:rsidRDefault="00000000">
      <w:r>
        <w:t>The aim of the indicators is to support our commitment to climate action and enable pro-active steering of portfolio development along the defined decarbonisation path.</w:t>
      </w:r>
    </w:p>
    <w:p w14:paraId="10458F53" w14:textId="77777777" w:rsidR="002770D6" w:rsidRDefault="00000000">
      <w:r>
        <w:t>In line with decarbonisation initiatives, we plan to further expand the coverage of ESG in Risk Appetite Framework by adding additional sectors, embracing our ambition to achieve continued progress in decarbonizing our portfolio and underlying the importance of a sound data quality framework.</w:t>
      </w:r>
    </w:p>
    <w:p w14:paraId="579826A9" w14:textId="77777777" w:rsidR="002770D6" w:rsidRDefault="00000000">
      <w:r>
        <w:t>The publicly available Group Sustainable Finance Framework has been designed as an umbrella framework that will enable Erste Group to issue sustainable finance instruments to finance new andor refinance existing loans for its clients and projects with environmental andor social benefits.</w:t>
      </w:r>
    </w:p>
    <w:p w14:paraId="0310147D" w14:textId="77777777" w:rsidR="002770D6" w:rsidRDefault="00000000">
      <w:r>
        <w:t>For the purposes of classifying specific financing activities as sustainable or not sustainable, Erste Groups Sustainable Finance Guideline has set out the relevant criteria within a comprehensive due diligence process that relies on the criteria of the EU taxonomy as a reference point and aims to identify investments designed to transition existing climate and environmental activities towards a climate-neutral, climateresilient and environmentally sustainable economy.</w:t>
      </w:r>
    </w:p>
    <w:p w14:paraId="1AEEB2E3" w14:textId="77777777" w:rsidR="002770D6" w:rsidRDefault="00000000">
      <w:r>
        <w:t xml:space="preserve">Of this, the internally managed assets of the investment funds that promote the environmental andor social characteristics in the categories ESG Impact, ESG Responsible </w:t>
      </w:r>
      <w:r>
        <w:lastRenderedPageBreak/>
        <w:t>and ESG Integration, including real estate assets promoting environmental andor social characteristics, amounted to EUR 16.</w:t>
      </w:r>
    </w:p>
    <w:p w14:paraId="52518023" w14:textId="77777777" w:rsidR="002770D6" w:rsidRDefault="00000000">
      <w:r>
        <w:t>With respect to the measures taken to mitigate the risks associated with ESG factors, the Group Responsible Financing Policy defines harmful socio-environmental activities that are excluded from financing and banking services.</w:t>
      </w:r>
    </w:p>
    <w:p w14:paraId="1BADAF1C" w14:textId="77777777" w:rsidR="002770D6" w:rsidRDefault="00000000">
      <w:r>
        <w:t>The main focus of the policy is on climate protection through the alignment of Erste Groups energy financing in line with the Paris Agreement, global warming limitation, the prevention of extensive environmental degradation and measures to preserve biodiversity through restraining from arctic oil and gas financing and unconventional mining practices but also with very selective participation in hydropower projects.</w:t>
      </w:r>
    </w:p>
    <w:p w14:paraId="71238A54" w14:textId="77777777" w:rsidR="002770D6" w:rsidRDefault="00000000">
      <w:r>
        <w:t>In 2023, in order to support achieving the groups decarbonization targets, additional lending guidance has been introduced for large corporates, depending on whether the company has formulated a plan to reduce its carbon footprint.</w:t>
      </w:r>
    </w:p>
    <w:p w14:paraId="45847368" w14:textId="18012A93" w:rsidR="002770D6" w:rsidRDefault="00000000">
      <w:r>
        <w:t>For commercial real estate, an integral component of the questionnaire assesses the environmental footprint of a building from a technical perspective, where several data points are taken from the Technical Object Rating</w:t>
      </w:r>
      <w:r w:rsidR="00EA1692">
        <w:t>.</w:t>
      </w:r>
    </w:p>
    <w:p w14:paraId="054C36C6" w14:textId="77777777" w:rsidR="002770D6" w:rsidRDefault="00000000">
      <w:r>
        <w:t>The ESG Factor Heatmap combines the relevance of climate, environmental, social and governance risk factors, utilising a granular segmentation of industry sectors of the portfolio, and allows for a differentiated approach as the relevance of individual risk drivers may differ, depending on the nature of the respective subsectors a company operates in.</w:t>
      </w:r>
    </w:p>
    <w:p w14:paraId="57DE032C" w14:textId="77777777" w:rsidR="002770D6" w:rsidRDefault="00000000">
      <w:r>
        <w:t>Operational and Non-Financial Risk governs ESG integration into the existing NFR risk management process and ensures the adequate impact on the operational risk capital requirements.</w:t>
      </w:r>
    </w:p>
    <w:p w14:paraId="7B2CA67E" w14:textId="77777777" w:rsidR="002770D6" w:rsidRDefault="00000000">
      <w:r>
        <w:t>The allocation of tasks and responsibilities in the risk management framework are detailed further.</w:t>
      </w:r>
    </w:p>
    <w:p w14:paraId="7AFC251C" w14:textId="77777777" w:rsidR="002770D6" w:rsidRDefault="00000000">
      <w:r>
        <w:t>Within the Credit Committee, risk associated with environmental, social and governance factors are considered as part of the credit application, reflecting the ESG Assessment Questionnaire result.</w:t>
      </w:r>
    </w:p>
    <w:p w14:paraId="36288E3F" w14:textId="77777777" w:rsidR="002770D6" w:rsidRDefault="00000000">
      <w:r>
        <w:t>The Group's policies, together with the client and transaction environmental assessment the latter applicable for certain real estate projects, as detailed later in this chapter, enable risk managers and other decision makers to make lending decisions in line with the Group's risk strategy.</w:t>
      </w:r>
    </w:p>
    <w:p w14:paraId="4CE5D017" w14:textId="77777777" w:rsidR="002770D6" w:rsidRDefault="00000000">
      <w:r>
        <w:t>The ESG Assessment Questionnaire also includes a risk meter indicating the level of ESG data available from the counterparty, specifically if the company has formulated a plan to reduce its carbon footprint.</w:t>
      </w:r>
    </w:p>
    <w:p w14:paraId="276CEDF4" w14:textId="77777777" w:rsidR="002770D6" w:rsidRDefault="00000000">
      <w:r>
        <w:lastRenderedPageBreak/>
        <w:t>Credit applications of large corporate counterparties that are considered highly contributing to climate change, not having a communication transition plan, and applying for a lending policy exception, have to be approved by the Holding Credit Committee.</w:t>
      </w:r>
    </w:p>
    <w:p w14:paraId="18F17D30" w14:textId="26780EE0" w:rsidR="002770D6" w:rsidRDefault="00000000">
      <w:r>
        <w:t>Initial focus was on quarterly developments of portfolio per ESG Factor Heatmap</w:t>
      </w:r>
      <w:r w:rsidR="00EA1692">
        <w:t xml:space="preserve"> </w:t>
      </w:r>
      <w:r>
        <w:t>overview of financed emissions, and other key ESG developments in the risk area, such as, risk materiality assessment, etc.</w:t>
      </w:r>
    </w:p>
    <w:p w14:paraId="035C6239" w14:textId="77777777" w:rsidR="002770D6" w:rsidRDefault="00000000">
      <w:r>
        <w:t>Further on, the chapter has been enhanced to reflect the developments in the field, including details related to stress test, physical risk associated with the Erste Group portfolio, as well as decarbonisation targets set for the first four portfolio segments covered by the pilot phase.</w:t>
      </w:r>
    </w:p>
    <w:p w14:paraId="0A30D8A3" w14:textId="77777777" w:rsidR="002770D6" w:rsidRDefault="00000000">
      <w:r>
        <w:t>The individual strategic targets include ESG targets and are defined in detail in the scorecard of the respective board member, and the achievement of these is evaluated at the end of the performance period.</w:t>
      </w:r>
    </w:p>
    <w:p w14:paraId="0EF393F9" w14:textId="77777777" w:rsidR="002770D6" w:rsidRDefault="00000000">
      <w:r>
        <w:t>ESG related targets are in line with the focus areas Holistic ESG performance, Green Transition Green financing &amp; Net Zero transition and Equal Opportunities.</w:t>
      </w:r>
    </w:p>
    <w:p w14:paraId="3180781F" w14:textId="77777777" w:rsidR="002770D6" w:rsidRDefault="00000000">
      <w:r>
        <w:t>Environmental risk means the risk of losses arising from any negative financial impact on the institution stemming from the current or prospective impacts of environmental factors on the institutions counterparties or invested assets, including factors related to the transition towards the following environmental objectives, climate change mitigation.</w:t>
      </w:r>
    </w:p>
    <w:p w14:paraId="4654C248" w14:textId="233E039F" w:rsidR="002770D6" w:rsidRDefault="00000000">
      <w:r>
        <w:t xml:space="preserve">Environmental risk includes both physical risk or damages like impact of extreme weather events and transition risk, </w:t>
      </w:r>
      <w:r w:rsidR="00EA1692">
        <w:t>c</w:t>
      </w:r>
      <w:r>
        <w:t>reating additional costs and capital expenditure need for transition of business activities and sectors to an environmentally sustainable economy by legislation, technology standards, or market conformity and customer preferences, or in some cases damages through liabilities for negative impacts by products, policies or pollution events.</w:t>
      </w:r>
    </w:p>
    <w:p w14:paraId="3CAE2DF5" w14:textId="77777777" w:rsidR="002770D6" w:rsidRDefault="00000000">
      <w:r>
        <w:t>Social risks materialize mostly through damages to reputation, ineffective or even disrupting operations or loss of critical labour force, and finally through financial claims and liabilities due to improper practices.</w:t>
      </w:r>
    </w:p>
    <w:p w14:paraId="0125D5C4" w14:textId="77777777" w:rsidR="002770D6" w:rsidRDefault="00000000">
      <w:r>
        <w:t>They are prominently related to poor or intransparent company governance measures, missing or weak code of conduct including lack of substantiated policies on anti-money laundering, briberies and corruption, or tax citizenship.</w:t>
      </w:r>
    </w:p>
    <w:p w14:paraId="238677CD" w14:textId="77777777" w:rsidR="002770D6" w:rsidRDefault="00000000">
      <w:r>
        <w:t>Besides social and governance questions, a wide range of environmental risks are covered in the questionnaire, including animal welfare, waste and pollution, water use, impact on endangered zones and other environmental impacts, which are identified and reflected in the assessment.</w:t>
      </w:r>
    </w:p>
    <w:p w14:paraId="78AEC4C5" w14:textId="77777777" w:rsidR="002770D6" w:rsidRDefault="00000000">
      <w:r>
        <w:t xml:space="preserve">Depending on the information available from the counterparty and the assessed sensitivityvulnerability to environmental risks, an in-depth assessment may be required in </w:t>
      </w:r>
      <w:r>
        <w:lastRenderedPageBreak/>
        <w:t>order to understand the nature and severity of the environmental risks to which the client is exposed.</w:t>
      </w:r>
    </w:p>
    <w:p w14:paraId="63BFA1FA" w14:textId="77777777" w:rsidR="002770D6" w:rsidRDefault="00000000">
      <w:r>
        <w:t>Over the last year, the group has conducted an assessment together with the University of Graz in order to identify key hazards and climate change scenarios relevant for its collateral portfolio, which was considered in the materiality assessment.</w:t>
      </w:r>
    </w:p>
    <w:p w14:paraId="49B5E556" w14:textId="77777777" w:rsidR="002770D6" w:rsidRDefault="00000000">
      <w:r>
        <w:t>The results of the assessment, highlighting the importance of river flood, fire weather stress, drought stress, sea level rise and heat stress, is integrated into the collateral management, incorporating an intermediate climate change scenario of 2-3°C by 2100 Representative Concentration Pathway 4.</w:t>
      </w:r>
    </w:p>
    <w:p w14:paraId="622BF533" w14:textId="77777777" w:rsidR="002770D6" w:rsidRDefault="00000000">
      <w:r>
        <w:t>The establishment of sustainability criteria, on the other hand, has the effect that companies with negative sustainability impacts are avoided and that financial resources flow into companies and activities that contribute to the transformation.</w:t>
      </w:r>
    </w:p>
    <w:p w14:paraId="4B6A8104" w14:textId="77777777" w:rsidR="002770D6" w:rsidRDefault="00000000">
      <w:r>
        <w:t>Erste Group is therefore clearly committed to funding ambitious climate protection measures and to support customers in their transformation to transition the portfolio to net-zero greenhouse gas emissions by 2050.</w:t>
      </w:r>
    </w:p>
    <w:p w14:paraId="4FE447F9" w14:textId="77777777" w:rsidR="002770D6" w:rsidRDefault="00000000">
      <w:r>
        <w:t>More details on activities and measures to mitigate environmental risks are published in the Non-financial Report 2023, Financed Emissions chapter as well as Sustainable Finance and Investment chapter.</w:t>
      </w:r>
    </w:p>
    <w:p w14:paraId="03AA0D47" w14:textId="77777777" w:rsidR="002770D6" w:rsidRDefault="00000000">
      <w:r>
        <w:t>Climate stress testing was integrated into the internal stress testing framework of Erste Group, influenced by the participation in the European Central Banks pioneering Climate Stress Test in 2022 and in accordance with developing best-practices.</w:t>
      </w:r>
    </w:p>
    <w:p w14:paraId="2DCC0CE6" w14:textId="260B5C90" w:rsidR="002770D6" w:rsidRDefault="00000000">
      <w:r>
        <w:t>The results were also used to develop 139 climate related indicators in the Risk Materiality Assessment</w:t>
      </w:r>
      <w:r w:rsidR="00EA1692">
        <w:t xml:space="preserve"> </w:t>
      </w:r>
      <w:r>
        <w:t>an essential component of the Internal Capital Adequacy Assessment Process</w:t>
      </w:r>
      <w:r w:rsidR="00EA1692">
        <w:t>.</w:t>
      </w:r>
    </w:p>
    <w:p w14:paraId="08179E90" w14:textId="77777777" w:rsidR="002770D6" w:rsidRDefault="00000000">
      <w:r>
        <w:t>Climate change risks, both transitional and physical, and other environmental risks, such as environmental degradation and animal welfare, are integrated into the Risk Materiality Assessment of Erste Group.</w:t>
      </w:r>
    </w:p>
    <w:p w14:paraId="0D2AA6F9" w14:textId="77777777" w:rsidR="002770D6" w:rsidRDefault="00000000">
      <w:r>
        <w:t>In addition, the group has conducted an assessment over the last year together with the University of Graz in order to identify key hazards and climate change scenarios relevant for its collateral portfolio.</w:t>
      </w:r>
    </w:p>
    <w:p w14:paraId="38545BD3" w14:textId="77777777" w:rsidR="002770D6" w:rsidRDefault="00000000">
      <w:r>
        <w:t>Decarbonisation strategy, which will effectively mitigate Erste Group exposure to transition risks, is based on a starting point of financed emissions which are determined in the Carbon Footprint Calculation.</w:t>
      </w:r>
    </w:p>
    <w:p w14:paraId="17537E6E" w14:textId="77777777" w:rsidR="002770D6" w:rsidRDefault="00000000">
      <w:r>
        <w:t>Portfolio decarbonisation targets aim a reduction of financed emissions by the end of the decade in the portfolios retail mortgages, commercial real estate, electricity production, steam &amp; heat production, cement production, iron &amp; steel production, automotive production and oil &amp; gas extraction.</w:t>
      </w:r>
    </w:p>
    <w:p w14:paraId="7925EE17" w14:textId="77777777" w:rsidR="002770D6" w:rsidRDefault="00000000">
      <w:r>
        <w:lastRenderedPageBreak/>
        <w:t>In line with the Net Zero Banking Alliance, we strive to achieve net zero by 2050.</w:t>
      </w:r>
    </w:p>
    <w:p w14:paraId="3F2BE809" w14:textId="77777777" w:rsidR="002770D6" w:rsidRDefault="00000000">
      <w:r>
        <w:t>Thus, it measures financed portfolios emissions according to PCAF Partnership for Carbon Accounting Financials methodology.</w:t>
      </w:r>
    </w:p>
    <w:p w14:paraId="12716888" w14:textId="77777777" w:rsidR="002770D6" w:rsidRDefault="00000000">
      <w:r>
        <w:t>As already mentioned, CFC creates the starting point for the other portfolio-related risk assessment activities and portfolio decarbonisation initiatives.</w:t>
      </w:r>
    </w:p>
    <w:p w14:paraId="23C3D2EB" w14:textId="77777777" w:rsidR="002770D6" w:rsidRDefault="00000000">
      <w:r>
        <w:t>The main driver of medium materiality for credit risk is transition risk, reflected by various indicators on financed greenhouse gas emissions and a potential medium material impact of a disorderly transition on Erste Groups capitalprofitability as forward-looking stress scenario.</w:t>
      </w:r>
    </w:p>
    <w:p w14:paraId="2A7F4CFA" w14:textId="77777777" w:rsidR="002770D6" w:rsidRDefault="00000000">
      <w:r>
        <w:t>Various internal projects implemented in the last 3 years amongst others, an ever-evolving decarbonisation strategy, better screening of potential clients via ESG Assessment Questionnaires for large corporates and real estate projects, continuous enhancements in climate stress testing, acquisition of a physical risk database from Munich RE effectively reduced Erste Groups strategic exposure to environmental risk.</w:t>
      </w:r>
    </w:p>
    <w:p w14:paraId="70B8D0DC" w14:textId="77777777" w:rsidR="002770D6" w:rsidRDefault="00000000">
      <w:r>
        <w:t>Likewise, the severity of environmental risk impact in liquidity risk as well as in market risk is assessed on a yearly basis in the course of RMA.</w:t>
      </w:r>
    </w:p>
    <w:p w14:paraId="6CCAAD34" w14:textId="77777777" w:rsidR="002770D6" w:rsidRDefault="00000000">
      <w:r>
        <w:t>Assessment of materiality of ESG risk in market risk covers Erste Groups securities portfolio and is based on the internal ESG Factor Heatmap data and the readiness and vulnerability information for sovereigns, as described above in section l.</w:t>
      </w:r>
    </w:p>
    <w:p w14:paraId="3663879F" w14:textId="77777777" w:rsidR="002770D6" w:rsidRDefault="00000000">
      <w:r>
        <w:t>O Results and outcome of the risk tools implemented and the estimated impact of environmental risk on capital and liquidity risk profile 141 Erste Group is aware that it is necessary to provide the estimated impact of environmental risk on the institutions capital adequacy.</w:t>
      </w:r>
    </w:p>
    <w:p w14:paraId="2356AF9D" w14:textId="77777777" w:rsidR="002770D6" w:rsidRDefault="00000000">
      <w:r>
        <w:t>Erste Group is also aware that it is necessary to provide the estimated impact of environmental risk on the institutions liquidity adequacy.</w:t>
      </w:r>
    </w:p>
    <w:p w14:paraId="4F9BCD23" w14:textId="77777777" w:rsidR="002770D6" w:rsidRDefault="00000000">
      <w:r>
        <w:t>In this manner, the Group is able to ensure that the potential impact of environmental risks on the loan portfolio and thus credit risk is considered.</w:t>
      </w:r>
    </w:p>
    <w:p w14:paraId="27198CE9" w14:textId="77777777" w:rsidR="002770D6" w:rsidRDefault="00000000">
      <w:r>
        <w:t>Particularly, environmental risks are currently reflected only indirectly in LGD models via collateral value and in the Group Large Corporate and Specialized Lending models via a soft fact assessment, as detailed above in section l.</w:t>
      </w:r>
    </w:p>
    <w:p w14:paraId="1A3F8E47" w14:textId="77777777" w:rsidR="002770D6" w:rsidRDefault="00000000">
      <w:r>
        <w:t>As a consequence, a project to holistically define 142 and collect relevant environmental risk factors for all rating systems has been started in 2022 to ensure the explicit consideration also of climate risk drivers in future model development initiatives.</w:t>
      </w:r>
    </w:p>
    <w:p w14:paraId="13420626" w14:textId="77777777" w:rsidR="002770D6" w:rsidRDefault="00000000">
      <w:r>
        <w:lastRenderedPageBreak/>
        <w:t>This assessment is driven by the Transition Risk analysis as a small percentage of the portfolio still has high GHG emissions and would therefore be exposed to increased risk in the event of a disorderly transition scenario.</w:t>
      </w:r>
    </w:p>
    <w:p w14:paraId="66F296CD" w14:textId="77777777" w:rsidR="002770D6" w:rsidRDefault="00000000">
      <w:r>
        <w:t>The NFR decision process allows for comprehensive consideration of climate and environmental risks and other non-financial risks, by measuring the probability and impact of identified risk scenarios.</w:t>
      </w:r>
    </w:p>
    <w:p w14:paraId="03901CC1" w14:textId="77777777" w:rsidR="002770D6" w:rsidRDefault="00000000">
      <w:r>
        <w:t>Within the overview of loans collateralized by commercial and residential immovable property per energy efficiency EP score, Erste Group has also included the exposures for which the energy consumption is estimated, in addition to separately presenting it in the dedicated row.</w:t>
      </w:r>
    </w:p>
    <w:p w14:paraId="4AABC944" w14:textId="77777777" w:rsidR="002770D6" w:rsidRDefault="00000000">
      <w:r>
        <w:t>ESG risks identification like potential environmental damages, severe negative social consequences or poor governance have been always an integral part of Erste Group business and risk management framework.</w:t>
      </w:r>
    </w:p>
    <w:p w14:paraId="3B551589" w14:textId="77777777" w:rsidR="002770D6" w:rsidRDefault="00000000">
      <w:r>
        <w:t>Working with social organisations and housing developers we help people affected by poverty to build independent lives in homes of their own or improve their housing situation.</w:t>
      </w:r>
    </w:p>
    <w:p w14:paraId="4A280ED2" w14:textId="77777777" w:rsidR="002770D6" w:rsidRDefault="00000000">
      <w:r>
        <w:t>Our analysis of socio environmental topics provided the basis for Erste Groups long-term ESG strategy, objectives and framework.</w:t>
      </w:r>
    </w:p>
    <w:p w14:paraId="7DCD7743" w14:textId="77777777" w:rsidR="002770D6" w:rsidRDefault="00000000">
      <w:r>
        <w:t>Furthermore, as already mentioned, the identified environmental and social challenges are taken into account in the ESG Factor Heatmap and Group Responsible Financing Policy.</w:t>
      </w:r>
    </w:p>
    <w:p w14:paraId="4E653189" w14:textId="77777777" w:rsidR="002770D6" w:rsidRDefault="00000000">
      <w:r>
        <w:t>Social Banking initiatives focus on financially excluded or vulnerable private individuals people at risk of poverty or social exclusion, start-up and micro entrepreneurs and social organisations non-profit sector, non-governmental organisations and social enterprises by offering them fair access to financial products, sound financial advice and business training and mentoring.</w:t>
      </w:r>
    </w:p>
    <w:p w14:paraId="1B2A39B3" w14:textId="77777777" w:rsidR="002770D6" w:rsidRDefault="00000000">
      <w:r>
        <w:t>Therefore, a special Group Social Banking Risk Policy sets out the key requirements for managing credit risk related to social banking at Erste Group.</w:t>
      </w:r>
    </w:p>
    <w:p w14:paraId="3DF45534" w14:textId="77777777" w:rsidR="002770D6" w:rsidRDefault="00000000">
      <w:r>
        <w:t>This policy applies to social banking activities concerning private individuals, micros and new entrepreneurs, social organisations and special social projects.</w:t>
      </w:r>
    </w:p>
    <w:p w14:paraId="6175892D" w14:textId="77777777" w:rsidR="002770D6" w:rsidRDefault="00000000">
      <w:r>
        <w:t>In a bid to reduce the risk related to the funding of social organisations, Erste Group Social Banking claimed the portfolio guarantee provided under the EU Programme for Employment and Social Innovation EaSI, which expired at year-end 2022.</w:t>
      </w:r>
    </w:p>
    <w:p w14:paraId="751C62A7" w14:textId="77777777" w:rsidR="002770D6" w:rsidRDefault="00000000">
      <w:r>
        <w:t>Moreover, Erste Group is also one of 33 signatory banks joining the United Nations Environment Programme Finance Initiative UNEP FI Principles for Responsible Bankings Commitment to Financial Health and Inclusion.</w:t>
      </w:r>
    </w:p>
    <w:p w14:paraId="5D01A2AB" w14:textId="77777777" w:rsidR="002770D6" w:rsidRDefault="00000000">
      <w:r>
        <w:lastRenderedPageBreak/>
        <w:t>Within this commitment all signature banks need to set targets in respect to financial health and inclusion in 2023 and need to report on them annually with the following year thereafter to ensure transparency on the progress.</w:t>
      </w:r>
    </w:p>
    <w:p w14:paraId="22CA59A8" w14:textId="77777777" w:rsidR="002770D6" w:rsidRDefault="00000000">
      <w:r>
        <w:t>Erste Group is therefore pursuing effective initiatives to promote financial inclusion, social banking, financial education, affordable housing and gender equality.</w:t>
      </w:r>
    </w:p>
    <w:p w14:paraId="47DE4C36" w14:textId="77777777" w:rsidR="002770D6" w:rsidRDefault="00000000">
      <w:r>
        <w:t>Key risks and opportunities of the relevant social topics in the CEE region that translates into our aspirations to enforce the social inclusions and particularly focus on following activities.</w:t>
      </w:r>
    </w:p>
    <w:p w14:paraId="361E86B7" w14:textId="77777777" w:rsidR="002770D6" w:rsidRDefault="00000000">
      <w:r>
        <w:t>It became a signatory of the Principles for Responsible Banking, was the first Austrian bank to join the Net Zero Banking Alliance and was a founding member of the Financial Health and Inclusion initiative.</w:t>
      </w:r>
    </w:p>
    <w:p w14:paraId="4C22DED1" w14:textId="77777777" w:rsidR="002770D6" w:rsidRDefault="00000000">
      <w:r>
        <w:t>The principles which guide our strategy derive from the Universal Declaration of Human Rights, the ILO Declaration on Fundamental Principles and Rights at Work and the United Nations Convention Against Corruption, amongst others.</w:t>
      </w:r>
    </w:p>
    <w:p w14:paraId="70CAC493" w14:textId="77777777" w:rsidR="002770D6" w:rsidRDefault="00000000">
      <w:r>
        <w:t>Erste Group is committed to the highest standards of corporate governance and responsible behaviour of every individual and conducts its business in compliance with applicable laws and regulations.</w:t>
      </w:r>
    </w:p>
    <w:p w14:paraId="2DE434A3" w14:textId="77777777" w:rsidR="002770D6" w:rsidRDefault="00000000">
      <w:r>
        <w:t>This policy defines industry specific ESG criteria and limits, and sets out the rules to determine whether a transaction can be carried out and in which way and defines the non-financial risk profiles that require a certain level of risk management support.</w:t>
      </w:r>
    </w:p>
    <w:p w14:paraId="26C42702" w14:textId="77777777" w:rsidR="002770D6" w:rsidRDefault="00000000">
      <w:r>
        <w:t>Governance c Policies and procedures relating to direct and indirect engagement with new or existing counterparties on their strategies to mitigate and reduce socially harmful activities Erste Groups commitment to society has never been limited to business activities alone.</w:t>
      </w:r>
    </w:p>
    <w:p w14:paraId="4E1950BE" w14:textId="77777777" w:rsidR="002770D6" w:rsidRDefault="00000000">
      <w:r>
        <w:t>By making basic financial products available to disadvantaged groups through our social banking initiatives, Erste Group contributes to fighting poverty and increasing prosperity.</w:t>
      </w:r>
    </w:p>
    <w:p w14:paraId="3C3B5AC5" w14:textId="77777777" w:rsidR="002770D6" w:rsidRDefault="00000000">
      <w:r>
        <w:t>The development and approval of new products and services is based on a structured process which is informed by strategic goals identified customer needs and market opportunities and guarantees comprehensive quality assurance.</w:t>
      </w:r>
    </w:p>
    <w:p w14:paraId="4C1617EC" w14:textId="77777777" w:rsidR="002770D6" w:rsidRDefault="00000000">
      <w:r>
        <w:t>One of the measures is to involve its employees in management decisions via representative bodies, in particular in matters that directly affect employees.</w:t>
      </w:r>
    </w:p>
    <w:p w14:paraId="06A0A935" w14:textId="7217F49D" w:rsidR="002770D6" w:rsidRDefault="00000000">
      <w:r>
        <w:t xml:space="preserve">Therefore, we have identified so-called areas of concerns within our Reputational Risk Management Policy, which includes </w:t>
      </w:r>
      <w:proofErr w:type="gramStart"/>
      <w:r>
        <w:t>a large number of</w:t>
      </w:r>
      <w:proofErr w:type="gramEnd"/>
      <w:r>
        <w:t xml:space="preserve"> social risk factors including the counterparts approaches to topics,</w:t>
      </w:r>
      <w:r w:rsidR="00EA1692">
        <w:t xml:space="preserve"> </w:t>
      </w:r>
      <w:r>
        <w:t>mentioned above.</w:t>
      </w:r>
    </w:p>
    <w:p w14:paraId="5C87FC04" w14:textId="77777777" w:rsidR="002770D6" w:rsidRDefault="00000000">
      <w:r>
        <w:lastRenderedPageBreak/>
        <w:t>The ROCC, in order to facilitate the scope, establishes, implements and maintains relevant group-wide methodologies and risk management standards for non-financial risks and ESG impacts on group level.</w:t>
      </w:r>
    </w:p>
    <w:p w14:paraId="67DC1445" w14:textId="77777777" w:rsidR="002770D6" w:rsidRDefault="00000000">
      <w:r>
        <w:t>To achieve this goal, a common method of regression analysis is used within the Group and all entities in scope will be onboarded by a stepby-step approach according to their size.</w:t>
      </w:r>
    </w:p>
    <w:p w14:paraId="01028DB6" w14:textId="77777777" w:rsidR="002770D6" w:rsidRDefault="00000000">
      <w:r>
        <w:t>The remuneration committee of Erste Group Bank AG will be informed on the Group-wide measures and progress on an annual basis.</w:t>
      </w:r>
    </w:p>
    <w:p w14:paraId="5A032F25" w14:textId="77777777" w:rsidR="002770D6" w:rsidRDefault="00000000">
      <w:r>
        <w:t>These ratings are renewed regularly and focus strongly on social aspects human capital, product safety, customer care, accessibility.</w:t>
      </w:r>
    </w:p>
    <w:p w14:paraId="473488D7" w14:textId="77777777" w:rsidR="002770D6" w:rsidRDefault="00000000">
      <w:r>
        <w:t>Social risks are mostly those which materialize due to poor standards of respecting elementary rights, inclusiveness, or ineffective labor relations and unfair-, untransparent or malleus customer practices.</w:t>
      </w:r>
    </w:p>
    <w:p w14:paraId="457282B6" w14:textId="77777777" w:rsidR="002770D6" w:rsidRDefault="00000000">
      <w:r>
        <w:t>Social risks materialize mostly through damage to reputation, ineffective or even disrupting operations or loss of critical labor force, and finally through financial claims and liabilities due to improper practices.</w:t>
      </w:r>
    </w:p>
    <w:p w14:paraId="550D5B74" w14:textId="77777777" w:rsidR="002770D6" w:rsidRDefault="00000000">
      <w:r>
        <w:t>For segments with lower exposures, the main instrument used is the ESG Factor Heatmap, where potential social risk factors, such as human rights, workers rights and customer protection, are taken into account within the industry risk assessment for our regions in the annual process of reviewing the heatmap.</w:t>
      </w:r>
    </w:p>
    <w:p w14:paraId="7C7A5B16" w14:textId="77777777" w:rsidR="002770D6" w:rsidRDefault="00000000">
      <w:r>
        <w:t>Erste Groups social banking initiatives focus on financially excluded or vulnerable individuals people at risk of poverty or social exclusion, start-ups, micro-entrepreneurs and social organisations non-profit sector, non-governmental organisations and social enterprises, offering them fair access to financial products, sound financial advice, as well as business training and mentoring.</w:t>
      </w:r>
    </w:p>
    <w:p w14:paraId="7D05550C" w14:textId="77777777" w:rsidR="002770D6" w:rsidRDefault="00000000">
      <w:r>
        <w:t>Social risk for liquidity risk will be incorporated starting with March 2024, social and governance attributes of ESG Factor Heatmap are included into the storyline of the physical risk scenario and therefore into the assessment of liquidity risk.</w:t>
      </w:r>
    </w:p>
    <w:p w14:paraId="509CA984" w14:textId="77777777" w:rsidR="002770D6" w:rsidRDefault="00000000">
      <w:r>
        <w:t>It specifies the companys values and goals in concrete terms and lays down the corporate strategy with due regard to sustainability aspects and the associated opportunities and risks in respect to the environment, social concerns and corporate governance.</w:t>
      </w:r>
    </w:p>
    <w:p w14:paraId="2520060B" w14:textId="77777777" w:rsidR="002770D6" w:rsidRDefault="00000000">
      <w:r>
        <w:t>The CRO integrates environmental risks, including physical and transitory climate risks, into Erste Groups risk management framework and ensures that governance and remuneration principles adequately account for these risks.</w:t>
      </w:r>
    </w:p>
    <w:p w14:paraId="5894ACB6" w14:textId="77777777" w:rsidR="002770D6" w:rsidRDefault="00000000">
      <w:r>
        <w:t>The CFO is responsible for sustainability reporting and also ensures that Erste Group aligns its own operations towards net zero status.</w:t>
      </w:r>
    </w:p>
    <w:p w14:paraId="5AB29E5A" w14:textId="314C6C72" w:rsidR="002770D6" w:rsidRDefault="00000000">
      <w:r>
        <w:lastRenderedPageBreak/>
        <w:t>Group ESG Office, which reports to the CEO and is headed by the Group Sustainability Officer</w:t>
      </w:r>
      <w:r w:rsidR="00EA1692">
        <w:t xml:space="preserve"> </w:t>
      </w:r>
      <w:r>
        <w:t>develops Erste Groups sustainability strategy and is responsible for embedding it across the organisation.</w:t>
      </w:r>
    </w:p>
    <w:p w14:paraId="1171D38A" w14:textId="77777777" w:rsidR="002770D6" w:rsidRDefault="00000000">
      <w:r>
        <w:t>Group ESG Office develops key ESG policies, secures in-house expertise on climate, environmental, social and governance objectives, defines the ESG governance framework and financing rules and selectively intervenes in single transactions.</w:t>
      </w:r>
    </w:p>
    <w:p w14:paraId="56CD1DBD" w14:textId="77777777" w:rsidR="002770D6" w:rsidRDefault="00000000">
      <w:r>
        <w:t>In addition, Group ESG Office ensures transparency on Erste Groups sustainability impact and works with investors, ESG rating agencies, NGOs and regulatory and public bodies.</w:t>
      </w:r>
    </w:p>
    <w:p w14:paraId="15FAB5E0" w14:textId="77777777" w:rsidR="002770D6" w:rsidRDefault="00000000">
      <w:r>
        <w:t>It agrees and co-ordinates initiatives, timelines and other matters for implementation by the relevant internal stakeholders.</w:t>
      </w:r>
    </w:p>
    <w:p w14:paraId="4E202086" w14:textId="77777777" w:rsidR="002770D6" w:rsidRDefault="00000000">
      <w:r>
        <w:t>For this purpose, the Supervisory Board has set up its own Strategy and Sustainability Committee, whose activities are described in the consolidated corporate governance report.</w:t>
      </w:r>
    </w:p>
    <w:p w14:paraId="418C9FD4" w14:textId="77777777" w:rsidR="002770D6" w:rsidRDefault="00000000">
      <w:r>
        <w:t>How Erste Group identifies and manages climate-related risks as part of its risk management is described in detail in the annual report consolidated financial statements, notes 32 and 34</w:t>
      </w:r>
      <w:r>
        <w:t> as of year-end 2023, and includes the materiality assessment, the application of quantification methods, and the resulting due diligence.</w:t>
      </w:r>
    </w:p>
    <w:p w14:paraId="4ADC581D" w14:textId="77777777" w:rsidR="002770D6" w:rsidRDefault="00000000">
      <w:r>
        <w:t>Within the risk assessment of loan origination and monitoring process for large corporate and commercial real estate transactions, Erste Group includes an ESG questionnaire-based screening through the Groups ESG Assessment Questionnaire, detailed in the Environmental risk chapter.</w:t>
      </w:r>
    </w:p>
    <w:p w14:paraId="022D310C" w14:textId="77777777" w:rsidR="002770D6" w:rsidRDefault="00000000">
      <w:r>
        <w:t>Also covered are governance risks, covering governance failure, supply chain management issues, corporate governance and transparency, to name a few.</w:t>
      </w:r>
    </w:p>
    <w:p w14:paraId="1ABF4B0A" w14:textId="77777777" w:rsidR="002770D6" w:rsidRDefault="00000000">
      <w:r>
        <w:t>In the corporate rating model, two soft fact questions covering the counterpartys governance compliance are also assessed.</w:t>
      </w:r>
    </w:p>
    <w:p w14:paraId="37AE8285" w14:textId="77777777" w:rsidR="002770D6" w:rsidRDefault="00000000">
      <w:r>
        <w:t>For segments with lower exposures, the main instrument used is the ESG Factor Heatmap, where potential governance risk factors, such as corporate governance, ethical standards and transparency, are taken into account within the industry risk assessment for our regions in the 175 annual process of reviewing the heatmap.</w:t>
      </w:r>
    </w:p>
    <w:p w14:paraId="3CD20886" w14:textId="77777777" w:rsidR="002770D6" w:rsidRDefault="00000000">
      <w:r>
        <w:t>To further ensure proper management of asset encumbrance throughout the group, an internal governance framework is in place, which includes a Group-wide policy on reporting, steering and limiting the level of asset encumbrance on Group and individual entity level.</w:t>
      </w:r>
    </w:p>
    <w:p w14:paraId="609DDF35" w14:textId="77777777" w:rsidR="002770D6" w:rsidRDefault="00000000">
      <w:r>
        <w:t>Thus, the risk management framework around macroeconomic risk is implemented under affected key risk types.</w:t>
      </w:r>
    </w:p>
    <w:p w14:paraId="2388EEFD" w14:textId="77777777" w:rsidR="002770D6" w:rsidRDefault="00000000">
      <w:r>
        <w:lastRenderedPageBreak/>
        <w:t>Capital risk is the risk that bank has an insufficient level and composition of capital to support the its business activities and associated risks during normal and stressed conditions, which can be result of, among others, possible erosion of capital as a result of dividend andor remuneration policies, limited access to additional capital due to ownership structure and lack of market access to supplementary capital sources.</w:t>
      </w:r>
    </w:p>
    <w:p w14:paraId="5745279E" w14:textId="77777777" w:rsidR="002770D6" w:rsidRDefault="00000000">
      <w:r>
        <w:t>As part of its overall risk management framework, Erste Group is regularly reviewing strategic risk at both Group and local entity levels, reflecting current developments in operating environment macroeconomic, geo-political, pandemic, ESG risk, different legal jurisdictions as well as different business strategies and balance sheet structures.</w:t>
      </w:r>
    </w:p>
    <w:p w14:paraId="130DABB9" w14:textId="77777777" w:rsidR="002770D6" w:rsidRDefault="00000000">
      <w:r>
        <w:t>Erste Group establishes an appropriate framework for identifying, assessing, measuring and monitoring Compliance risk, including regulatory compliance risk, in line with the institutions size and complexity.</w:t>
      </w:r>
    </w:p>
    <w:p w14:paraId="0E818B16" w14:textId="77777777" w:rsidR="002770D6" w:rsidRDefault="00000000">
      <w:r>
        <w:t>In accordance with the RAS non-compliance with regulatory or legal requirements is not eligible to any risk acceptance.</w:t>
      </w:r>
    </w:p>
    <w:p w14:paraId="0E091D27" w14:textId="77777777" w:rsidR="002770D6" w:rsidRDefault="00000000">
      <w:r>
        <w:t>The framework and applied controls are reviewed regularly at both Group and local entity levels, reflecting current developments.</w:t>
      </w:r>
    </w:p>
    <w:p w14:paraId="0EB02C66" w14:textId="77777777" w:rsidR="002770D6" w:rsidRDefault="00000000">
      <w:r>
        <w:t>Group Regulatory Compliance assists senior and top management in preventing, detecting, assessing and mitigating potential regulatory compliance risks by the means of constant monitoring, reporting and escalation if needed.</w:t>
      </w:r>
    </w:p>
    <w:p w14:paraId="17A4069F" w14:textId="77777777" w:rsidR="002770D6" w:rsidRDefault="00000000">
      <w:r>
        <w:t>To support the execution of such operating model, Erste Group has in place a number of policies which regulate its model risk governance, management and oversight.</w:t>
      </w:r>
    </w:p>
    <w:p w14:paraId="0A9EB2C5" w14:textId="77777777" w:rsidR="002770D6" w:rsidRDefault="00000000">
      <w:r>
        <w:t>The operating model of Erste Group related to credit risk model governance is centred around the following principles, a subsidiarity model for development to balance development effort and to foster local ownership, while retaining central oversight and group-wide methodological approaches.</w:t>
      </w:r>
    </w:p>
    <w:p w14:paraId="053CDB1B" w14:textId="77777777" w:rsidR="002770D6" w:rsidRDefault="00000000">
      <w:r>
        <w:t>It describes the framework for model risk management within the market risk area.</w:t>
      </w:r>
    </w:p>
    <w:p w14:paraId="0AAE3C61" w14:textId="77777777" w:rsidR="002770D6" w:rsidRDefault="00000000">
      <w:r>
        <w:t>Apart from group processes the policy also outlines the process for local model development and validation.</w:t>
      </w:r>
    </w:p>
    <w:p w14:paraId="594F1719" w14:textId="77777777" w:rsidR="002770D6" w:rsidRDefault="00000000">
      <w:r>
        <w:t>The new model is developed in compliance with the new RTS on AMA for operational risk and is subject to an independent model validation on a regular basis.</w:t>
      </w:r>
    </w:p>
    <w:sectPr w:rsidR="002770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09463278">
    <w:abstractNumId w:val="8"/>
  </w:num>
  <w:num w:numId="2" w16cid:durableId="465241081">
    <w:abstractNumId w:val="6"/>
  </w:num>
  <w:num w:numId="3" w16cid:durableId="1388334174">
    <w:abstractNumId w:val="5"/>
  </w:num>
  <w:num w:numId="4" w16cid:durableId="1554269075">
    <w:abstractNumId w:val="4"/>
  </w:num>
  <w:num w:numId="5" w16cid:durableId="562326530">
    <w:abstractNumId w:val="7"/>
  </w:num>
  <w:num w:numId="6" w16cid:durableId="626081293">
    <w:abstractNumId w:val="3"/>
  </w:num>
  <w:num w:numId="7" w16cid:durableId="635911574">
    <w:abstractNumId w:val="2"/>
  </w:num>
  <w:num w:numId="8" w16cid:durableId="790511213">
    <w:abstractNumId w:val="1"/>
  </w:num>
  <w:num w:numId="9" w16cid:durableId="104217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0D6"/>
    <w:rsid w:val="0029639D"/>
    <w:rsid w:val="00326F90"/>
    <w:rsid w:val="00440B02"/>
    <w:rsid w:val="004F5755"/>
    <w:rsid w:val="005B100C"/>
    <w:rsid w:val="00980F81"/>
    <w:rsid w:val="00AA1D8D"/>
    <w:rsid w:val="00B47730"/>
    <w:rsid w:val="00C64FC2"/>
    <w:rsid w:val="00CB0664"/>
    <w:rsid w:val="00EA1692"/>
    <w:rsid w:val="00FC06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D93F2"/>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6522</Words>
  <Characters>37176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2025-08-03T17:57:00Z</dcterms:modified>
  <cp:category/>
</cp:coreProperties>
</file>