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4004C" w14:textId="77777777" w:rsidR="00977EC2" w:rsidRDefault="00000000">
      <w:r>
        <w:t>The preparation of the Disclosure Report and the formal review for completeness and compliance with the applicable requirements is carried out by Enterprise wide Risk Management.</w:t>
      </w:r>
    </w:p>
    <w:p w14:paraId="657C2851" w14:textId="77777777" w:rsidR="00977EC2" w:rsidRDefault="00000000">
      <w:r>
        <w:t>As of this time, Erste Group has been calculating regulatory capital and regulatory capital requirements according to Basel 3 revised framework.</w:t>
      </w:r>
    </w:p>
    <w:p w14:paraId="67239AEB" w14:textId="77777777" w:rsidR="00977EC2" w:rsidRDefault="00000000">
      <w:r>
        <w:t>The risk strategy is consistent with the business strategy and incorporates the expected impact of external environment on the planned business and risk development.</w:t>
      </w:r>
    </w:p>
    <w:p w14:paraId="5BFB0E00" w14:textId="77777777" w:rsidR="00977EC2" w:rsidRDefault="00000000">
      <w:r>
        <w:t>The risk strategy describes the current and targeted risk profile, defines risk management principles, strategic goals and initiatives for the main risk types as well as sets strategic limits for the significant financial and non-financial risk types as defined in the Risk Materiality Assessment.</w:t>
      </w:r>
    </w:p>
    <w:p w14:paraId="4954EDAA" w14:textId="77777777" w:rsidR="00977EC2" w:rsidRDefault="00000000">
      <w:r>
        <w:t>The risk strategy is executed within a clearly defined governance structure.</w:t>
      </w:r>
    </w:p>
    <w:p w14:paraId="5A2E8087" w14:textId="77777777" w:rsidR="00977EC2" w:rsidRDefault="00000000">
      <w:r>
        <w:t>Risk management organisation Risk monitoring and control is achieved through a clear organisational structure with defined roles and responsibilities, delegated authorities and risk limits.</w:t>
      </w:r>
    </w:p>
    <w:p w14:paraId="450598DA" w14:textId="77777777" w:rsidR="00977EC2" w:rsidRDefault="00000000">
      <w:r>
        <w:t>Furthermore, certain cross-divisional committees were established with the purpose of carrying out risk management activities in Erste Group.</w:t>
      </w:r>
    </w:p>
    <w:p w14:paraId="02C5CCEC" w14:textId="77777777" w:rsidR="00977EC2" w:rsidRDefault="00000000">
      <w:r>
        <w:t>The approved investment strategy complies with the guidelines agreed with Risk Management.</w:t>
      </w:r>
    </w:p>
    <w:p w14:paraId="79533885" w14:textId="77777777" w:rsidR="00977EC2" w:rsidRDefault="00000000">
      <w:r>
        <w:t>The framework is tailored to the Erste Group’s business and risk profile and reflects the strategic goal of protecting shareholders and senior debt holders while ensuring the sustainability of the organization.</w:t>
      </w:r>
    </w:p>
    <w:p w14:paraId="08AC4EC4" w14:textId="086A917C" w:rsidR="00977EC2" w:rsidRDefault="00000000">
      <w:r>
        <w:t>The ERM components necessary to ensure all aspects, to fulfil regulatory requirements and to provide an effective internal steering tool, can be clustered as follows: Risk Appetite Statement, limits and risk strategy.</w:t>
      </w:r>
    </w:p>
    <w:p w14:paraId="555676C4" w14:textId="77777777" w:rsidR="00977EC2" w:rsidRDefault="00000000">
      <w:r>
        <w:t>In addition to the ICAAP’s ultimate goal of assuring capital adequacy and sustainability at all times, the ERM components serve to support the bank’s management in pursuing its strategy.</w:t>
      </w:r>
    </w:p>
    <w:p w14:paraId="71171491" w14:textId="77777777" w:rsidR="00977EC2" w:rsidRDefault="00000000">
      <w:r>
        <w:t>It is integrated and embedded into Erste Group’s structural processes, including business and risk strategy, budgeting process, capital and liquidity planning, recovery plan, stress testing and remuneration framework.</w:t>
      </w:r>
    </w:p>
    <w:p w14:paraId="1D7CF6F0" w14:textId="77777777" w:rsidR="00977EC2" w:rsidRDefault="00000000">
      <w:r>
        <w:t>This approach allows a timely delivery of information to the respective governance and the implementation of effective remediation measures.</w:t>
      </w:r>
    </w:p>
    <w:p w14:paraId="5E1A1D31" w14:textId="77777777" w:rsidR="00977EC2" w:rsidRDefault="00000000">
      <w:r>
        <w:t>Risk management governance ensures full oversight of risk decisions and sound execution of the Group risk strategy.</w:t>
      </w:r>
    </w:p>
    <w:p w14:paraId="2ADECFFF" w14:textId="77777777" w:rsidR="00977EC2" w:rsidRDefault="00000000">
      <w:r>
        <w:lastRenderedPageBreak/>
        <w:t>Mitigating actions are undertaken as part of the regular risk management process to ensure that the Group remains within its RAS.</w:t>
      </w:r>
    </w:p>
    <w:p w14:paraId="40DE3264" w14:textId="77777777" w:rsidR="00977EC2" w:rsidRDefault="00000000">
      <w:r>
        <w:t>Erste Group's definition of ESG risk drivers is part of the Group ICAAP policy and covers a wide range of risks arising from environmental, social and governance factors.</w:t>
      </w:r>
    </w:p>
    <w:p w14:paraId="5F784A97" w14:textId="77777777" w:rsidR="00977EC2" w:rsidRDefault="00000000">
      <w:r>
        <w:t>Erste Group has integrated climate risk into the internal stress testing framework.</w:t>
      </w:r>
    </w:p>
    <w:p w14:paraId="24D26EC1" w14:textId="77777777" w:rsidR="00977EC2" w:rsidRDefault="00000000">
      <w:r>
        <w:t>In particular, both physical risk and transition risk from projected climate change are now included in the internal stress testing framework and the impacts of these risk are calculated on a regular basis.</w:t>
      </w:r>
    </w:p>
    <w:p w14:paraId="37EFAB2B" w14:textId="7A603747" w:rsidR="00977EC2" w:rsidRDefault="00000000">
      <w:r>
        <w:t xml:space="preserve">In contrast to the normative regulatory view of Pillar 1, referring to the Group’s ability to fulfil </w:t>
      </w:r>
      <w:proofErr w:type="gramStart"/>
      <w:r>
        <w:t>all of</w:t>
      </w:r>
      <w:proofErr w:type="gramEnd"/>
      <w:r>
        <w:t xml:space="preserve"> its capital-related regulatory and supervisory requirements and demands, the RCC is based on an economic view of Pillar 1+ approach, assuming continuation of Erste Group as expected by the ECB Guide to ICAAP.</w:t>
      </w:r>
    </w:p>
    <w:p w14:paraId="00866E49" w14:textId="77777777" w:rsidR="00977EC2" w:rsidRDefault="00000000">
      <w:r>
        <w:t>Planning activities are performed in close cooperation with all stakeholders in the group´s overall process and follow a clear governance structure to ensure sound risk planning process.</w:t>
      </w:r>
    </w:p>
    <w:p w14:paraId="40419BF2" w14:textId="77777777" w:rsidR="00977EC2" w:rsidRDefault="00000000">
      <w:r>
        <w:t>The recovery governance described in the plan ensures timely identification and proper management of a recovery situation of Erste Group.</w:t>
      </w:r>
    </w:p>
    <w:p w14:paraId="300859F3" w14:textId="77777777" w:rsidR="00977EC2" w:rsidRDefault="00000000">
      <w:r>
        <w:t>The following figure presents an overview of the risk monitoring framework at Group level consisting of both strategic and operational oversight as set out below.</w:t>
      </w:r>
    </w:p>
    <w:p w14:paraId="4B6F85B6" w14:textId="54328D50" w:rsidR="00977EC2" w:rsidRDefault="00000000">
      <w:r>
        <w:t xml:space="preserve">Both are regularly monitored and reported in the Group Risk </w:t>
      </w:r>
      <w:proofErr w:type="gramStart"/>
      <w:r>
        <w:t>Report</w:t>
      </w:r>
      <w:r w:rsidR="00895F96">
        <w:t xml:space="preserve"> </w:t>
      </w:r>
      <w:r>
        <w:t xml:space="preserve"> Risk</w:t>
      </w:r>
      <w:proofErr w:type="gramEnd"/>
      <w:r>
        <w:t xml:space="preserve"> Dashboard including a traffic light overview together with respective measures to address deviations from strategic plans or objectives identified.</w:t>
      </w:r>
    </w:p>
    <w:p w14:paraId="10696712" w14:textId="77777777" w:rsidR="00977EC2" w:rsidRDefault="00000000">
      <w:r>
        <w:t>Operational oversight Risk management by risk type ensures that the risk-specific profile remains in line with the risk strategy and operational limits support achievement of the strategic targets.</w:t>
      </w:r>
    </w:p>
    <w:p w14:paraId="36A3C9BF" w14:textId="77777777" w:rsidR="00977EC2" w:rsidRDefault="00000000">
      <w:r>
        <w:t>Details on the supervisory board mandates or similar functions, as well as on the policy on diversity are contained in the corporate governance report, which is part of the annual report.</w:t>
      </w:r>
    </w:p>
    <w:p w14:paraId="447F84AB" w14:textId="77777777" w:rsidR="00977EC2" w:rsidRDefault="00000000">
      <w:r>
        <w:t>Without prejudice to the duties of the remuneration committee, the risk committee is also responsible for reviewing whether the incentives offered by the internal remuneration system adequately take into account risk, capital, liquidity and the probability and timing of profit realisation.</w:t>
      </w:r>
    </w:p>
    <w:p w14:paraId="6B117D9E" w14:textId="77777777" w:rsidR="00977EC2" w:rsidRDefault="00000000">
      <w:r>
        <w:t>In addition, the risk committee is responsible for reviewing potential stress scenarios in order to assess how the bank’s risk profile reacts to external and internal events.</w:t>
      </w:r>
    </w:p>
    <w:p w14:paraId="24B8F43F" w14:textId="77777777" w:rsidR="00977EC2" w:rsidRDefault="00000000">
      <w:r>
        <w:lastRenderedPageBreak/>
        <w:t>Differences in valuation are dedicated row for amount of AVA considered in regulatory exposure.</w:t>
      </w:r>
    </w:p>
    <w:p w14:paraId="667EEBA7" w14:textId="77777777" w:rsidR="00977EC2" w:rsidRDefault="00000000">
      <w:r>
        <w:t>Differences due to consideration of provisions represent the net effect of total provisions considered in gross carrying amount at the starting point of regulatory exposure calculation, netted by provisions considered as decrease of EAD in Standardized Approach.</w:t>
      </w:r>
    </w:p>
    <w:p w14:paraId="2E234C8C" w14:textId="77777777" w:rsidR="00977EC2" w:rsidRDefault="00000000">
      <w:r>
        <w:t>The effects of CRM techniques within the counterparty credit risk framework represent net effect of collaterals used in exposure calculation for asset SFTs, as well as regulatory exposure driven by given collaterals for liability SFTs.</w:t>
      </w:r>
    </w:p>
    <w:p w14:paraId="1B3C5966" w14:textId="77777777" w:rsidR="00977EC2" w:rsidRDefault="00000000">
      <w:r>
        <w:t>Factors influencing the development of leverage exposure DISCLOSURE REQUIREMENTS Art.</w:t>
      </w:r>
    </w:p>
    <w:p w14:paraId="753E5CEB" w14:textId="4C939F29" w:rsidR="00977EC2" w:rsidRDefault="00000000">
      <w:r>
        <w:t>Respective information on the impact of ESG factors on the credit risk related processes and framework is covered in the section Environmental, social and governance risks</w:t>
      </w:r>
      <w:r w:rsidR="00DB6113">
        <w:t>.</w:t>
      </w:r>
    </w:p>
    <w:p w14:paraId="747F8C6B" w14:textId="77777777" w:rsidR="00977EC2" w:rsidRDefault="00000000">
      <w:r>
        <w:t>Credit risk related to retail loan portfolios is managed at the Group and local entity level with a common interest to ensure regulatory compliant risk management practices and to provide customers with manageable loan facilities that are within their financial capacities supported by underlying profitability.</w:t>
      </w:r>
    </w:p>
    <w:p w14:paraId="5C3AD809" w14:textId="77777777" w:rsidR="00977EC2" w:rsidRDefault="00000000">
      <w:r>
        <w:t>Local banks develop their local lending strategy in which input from local risk management plays a key role.</w:t>
      </w:r>
    </w:p>
    <w:p w14:paraId="587EB227" w14:textId="77777777" w:rsidR="00977EC2" w:rsidRDefault="00000000">
      <w:r>
        <w:t>Local retail risk management supports the local business lines by identifying which customer segments should be in focus in terms of new lending initiatives.</w:t>
      </w:r>
    </w:p>
    <w:p w14:paraId="0F8556B1" w14:textId="77777777" w:rsidR="00977EC2" w:rsidRDefault="00000000">
      <w:r>
        <w:t>Moreover, local retail risk management ensures that any new products or changes in lending criteria are in line with the Group lending framework requirements and are adequately supported by the existing risk infrastructure.</w:t>
      </w:r>
    </w:p>
    <w:p w14:paraId="095B7396" w14:textId="77777777" w:rsidR="00977EC2" w:rsidRDefault="00000000">
      <w:r>
        <w:t>It ensures that only credit risk that is in line with the risk appetite, the risk strategy and limits set by Group Enterprise-wide Risk Management is taken on the books of Erste Group.</w:t>
      </w:r>
    </w:p>
    <w:p w14:paraId="146DE636" w14:textId="77777777" w:rsidR="00977EC2" w:rsidRDefault="00000000">
      <w:r>
        <w:t>Furthermore, they conduct regular in-depth portfolio reviews with local risk management to understand portfolio dynamics and identify potential adverse portfolio developments early on.</w:t>
      </w:r>
    </w:p>
    <w:p w14:paraId="5725593E" w14:textId="77777777" w:rsidR="00977EC2" w:rsidRDefault="00000000">
      <w:r>
        <w:t>In addition, the EWS framework is established group-wide and early warning signals are regularly monitored to timely recognise adverse developments and immediately take appropriate mitigating actions.</w:t>
      </w:r>
    </w:p>
    <w:p w14:paraId="4EDD7F22" w14:textId="77777777" w:rsidR="00977EC2" w:rsidRDefault="00000000">
      <w:r>
        <w:t>In addition, key lending criteria relaxations planned by the local entities are also reviewed and aligned with Credit Risk Portfolio for non-retail clients and Retail Risk Management for retail clients prior to implementation.</w:t>
      </w:r>
    </w:p>
    <w:p w14:paraId="22630C80" w14:textId="77777777" w:rsidR="00977EC2" w:rsidRDefault="00000000">
      <w:r>
        <w:lastRenderedPageBreak/>
        <w:t>This includes that appropriate monitoring and governance is in place with distinct limits set as part of the Group Risk Strategy to manage and ensure proper oversight of FX lending risk.</w:t>
      </w:r>
    </w:p>
    <w:p w14:paraId="4CE35979" w14:textId="77777777" w:rsidR="00977EC2" w:rsidRDefault="00000000">
      <w:r>
        <w:t>Depending on the impairment status and the assessment of the development of credit risk, these financial instruments are assigned to one of the three stages.</w:t>
      </w:r>
    </w:p>
    <w:p w14:paraId="48EC6208" w14:textId="583589F0" w:rsidR="00977EC2" w:rsidRDefault="00000000">
      <w:r>
        <w:t xml:space="preserve">In the case of drawings by non-defaulted customers on previously committed credit lines, the whole exposure on-balance and off-balance is </w:t>
      </w:r>
      <w:proofErr w:type="spellStart"/>
      <w:r>
        <w:t>categorised</w:t>
      </w:r>
      <w:proofErr w:type="spellEnd"/>
      <w:r>
        <w:t xml:space="preserve"> as either Stage 1 or Stage 2, depending on the development of credit risk between the commitment date and the drawing date.</w:t>
      </w:r>
    </w:p>
    <w:p w14:paraId="2F79960A" w14:textId="77777777" w:rsidR="00977EC2" w:rsidRDefault="00000000">
      <w:r>
        <w:t>The related group-wide and entity-level credit risk controlling policies and procedures ensure the necessary governance framework.</w:t>
      </w:r>
    </w:p>
    <w:p w14:paraId="667DBBE5" w14:textId="77777777" w:rsidR="00977EC2" w:rsidRDefault="00000000">
      <w:r>
        <w:t>This approach is aligned with all affected entities and busi- 57 ness lines and approved by the respective governance bodies of Erste Group.</w:t>
      </w:r>
    </w:p>
    <w:p w14:paraId="009E3E3A" w14:textId="4338E8CC" w:rsidR="00977EC2" w:rsidRDefault="00000000">
      <w:r>
        <w:t>Therefore, in November 2024, the cyclical stage overlays were transformed</w:t>
      </w:r>
      <w:r w:rsidR="00895F96">
        <w:t xml:space="preserve"> </w:t>
      </w:r>
      <w:r>
        <w:t>re-assessed to ensure the better connection of overlays with internal risk management processes.</w:t>
      </w:r>
    </w:p>
    <w:p w14:paraId="51C5D81D" w14:textId="18F9B2A7" w:rsidR="00977EC2" w:rsidRDefault="00000000">
      <w:r>
        <w:t>Industries are systematically assessed in line with Erste Group risk management framework industry strategies and main risks.</w:t>
      </w:r>
    </w:p>
    <w:p w14:paraId="2E00AE59" w14:textId="77777777" w:rsidR="00977EC2" w:rsidRDefault="00000000">
      <w:r>
        <w:t>In each subsidiary of Erste Group, the local Collateral Management unit is responsible for the implementation of the framework by issuing a local policy and working instructions taking into consideration any additional local legal and regulatory requirements and the organisation of the subsidiary.</w:t>
      </w:r>
    </w:p>
    <w:p w14:paraId="6B2D5B27" w14:textId="77777777" w:rsidR="00977EC2" w:rsidRDefault="00000000">
      <w:r>
        <w:t>The maximum periods for the revaluation of individual collateral are predefined and compliance is monitored with a support of software applications.</w:t>
      </w:r>
    </w:p>
    <w:p w14:paraId="460EEAAB" w14:textId="77777777" w:rsidR="00977EC2" w:rsidRDefault="00000000">
      <w:r>
        <w:t>Information on energy efficiency and CO2 emission of the collateral objects is collected and stored systematically in order to be considered for real estate collateral valuations and reporting purposes.</w:t>
      </w:r>
    </w:p>
    <w:p w14:paraId="454D7391" w14:textId="77777777" w:rsidR="00977EC2" w:rsidRDefault="00000000">
      <w:r>
        <w:t>IRB official notice at consolidated level only The following financial institutions have been audited by the OeNB or by local supervisory authorities on behalf of the FMA and were granted approval to apply the IRB Approach at the consolidated level indefinitely: Erste Bank und Sparkassen Leasing GmbH.</w:t>
      </w:r>
    </w:p>
    <w:p w14:paraId="47576C86" w14:textId="77777777" w:rsidR="00977EC2" w:rsidRDefault="00000000">
      <w:r>
        <w:t>Outputs of the rating process The model output are the regulatory risk categories in the Supervisory Slotting Approach within the IRB Approach.</w:t>
      </w:r>
    </w:p>
    <w:p w14:paraId="7FEB2B44" w14:textId="77777777" w:rsidR="00977EC2" w:rsidRDefault="00000000">
      <w:r>
        <w:t>The responsibility for the correct application of the rating methods and correct data entry ultimately lies with the local level, from the account managers to the persons responsible in operative risk management departments.</w:t>
      </w:r>
    </w:p>
    <w:p w14:paraId="7BE7C0B1" w14:textId="77777777" w:rsidR="00977EC2" w:rsidRDefault="00000000">
      <w:r>
        <w:lastRenderedPageBreak/>
        <w:t>The Holding is responsible to set standards for the development of all models, monitor their effective implementation and provides methodological support and advice to ensure consistency within the Group.</w:t>
      </w:r>
    </w:p>
    <w:p w14:paraId="04D84336" w14:textId="77777777" w:rsidR="00977EC2" w:rsidRDefault="00000000">
      <w:r>
        <w:t>A subsidiarity model for model development is therefore balancing development efforts between the Holding and local banks and is simplifying tailoring of approaches to local requirements and data situation.</w:t>
      </w:r>
    </w:p>
    <w:p w14:paraId="77971A4C" w14:textId="77777777" w:rsidR="00977EC2" w:rsidRDefault="00000000">
      <w:r>
        <w:t>Model Governance Model governance is set out via a subsidiarity approach.</w:t>
      </w:r>
    </w:p>
    <w:p w14:paraId="7AD8D1D6" w14:textId="77777777" w:rsidR="00977EC2" w:rsidRDefault="00000000">
      <w:r>
        <w:t>Local entities are responsible for implementation of the model risk management framework at local level.</w:t>
      </w:r>
    </w:p>
    <w:p w14:paraId="6AF70516" w14:textId="77777777" w:rsidR="00977EC2" w:rsidRDefault="00000000">
      <w:r>
        <w:t>This operating model for model monitoring fosters harmonization with model validation and ensures close local oversight and understanding of models through proximity to local business and local use of models.</w:t>
      </w:r>
    </w:p>
    <w:p w14:paraId="218B110F" w14:textId="576218F3" w:rsidR="00977EC2" w:rsidRDefault="00000000">
      <w:proofErr w:type="gramStart"/>
      <w:r>
        <w:t>In order to</w:t>
      </w:r>
      <w:proofErr w:type="gramEnd"/>
      <w:r>
        <w:t xml:space="preserve"> allow an objective assessment, the internal audit function is granted an adequate level of independence from the reviewed processes and units </w:t>
      </w:r>
      <w:proofErr w:type="gramStart"/>
      <w:r>
        <w:t>in order to</w:t>
      </w:r>
      <w:proofErr w:type="gramEnd"/>
      <w:r>
        <w:t xml:space="preserve"> ensure that according to ECB Guide to Internal Models – General Topics, Chapter 1.</w:t>
      </w:r>
    </w:p>
    <w:p w14:paraId="6F1A2DDC" w14:textId="3E476AD0" w:rsidR="00977EC2" w:rsidRDefault="00000000">
      <w:r>
        <w:t>For the calculation of regulatory exposures for derivative instruments Erste Group switched to using the standardized approach for counterparty credit risk SA-CCR in June 2021.</w:t>
      </w:r>
    </w:p>
    <w:p w14:paraId="5A5E40B7" w14:textId="77777777" w:rsidR="00977EC2" w:rsidRDefault="00000000">
      <w:r>
        <w:t>Starting in 2022, SA-CCR is also used for the purposes of internal limit steering which brings regulatory and internal exposure measures in close alignment.</w:t>
      </w:r>
    </w:p>
    <w:p w14:paraId="6CE5869E" w14:textId="77777777" w:rsidR="00977EC2" w:rsidRDefault="00000000">
      <w:r>
        <w:t>The policy covers the roles, responsibilities, governance and organisation of the synthetic securitisation process within Erste Group, Erste Bank, Česká spořitelna and Slovenská sporiteľňa.</w:t>
      </w:r>
    </w:p>
    <w:p w14:paraId="3C6A48F2" w14:textId="77777777" w:rsidR="00977EC2" w:rsidRDefault="00000000">
      <w:r>
        <w:t>This includes the identification, measurement and controlling of market and liquidity risk as well as the integration into the group‘s enterprise wide risk management and risk appetite framework.</w:t>
      </w:r>
    </w:p>
    <w:p w14:paraId="547D34D2" w14:textId="77777777" w:rsidR="00977EC2" w:rsidRDefault="00000000">
      <w:r>
        <w:t>Systems and controls All models used are documented, aligned between risk management and front office, and periodically audited.</w:t>
      </w:r>
    </w:p>
    <w:p w14:paraId="62602C03" w14:textId="16E15DBE" w:rsidR="00977EC2" w:rsidRDefault="00000000">
      <w:r>
        <w:t>In accordance with the CRR and the relevant Regulatory Technical Standards, the absolute sum of fair valued assets and liabilities lies above the threshold of EUR 15 billion and hence Erste Group implemented additional value adjustments under the core approach.</w:t>
      </w:r>
    </w:p>
    <w:p w14:paraId="1E85531F" w14:textId="77777777" w:rsidR="00977EC2" w:rsidRDefault="00000000">
      <w:r>
        <w:t>The additional value adjustments reduce the regulatory Common Equity Tier 1 capital.</w:t>
      </w:r>
    </w:p>
    <w:p w14:paraId="584CC6DF" w14:textId="35C5C3F9" w:rsidR="00977EC2" w:rsidRDefault="00000000">
      <w:r>
        <w:t>In addition to regulatory measures LCR, NSFR, ALMM and AE, Erste Group has defined its own internal metrics.</w:t>
      </w:r>
    </w:p>
    <w:p w14:paraId="147633E7" w14:textId="77777777" w:rsidR="00977EC2" w:rsidRDefault="00000000">
      <w:r>
        <w:lastRenderedPageBreak/>
        <w:t>Early warning indicators also form an integral part of the liquidity risk management framework, in particular with respect to detecting the type and severity of liquidity stress events.</w:t>
      </w:r>
    </w:p>
    <w:p w14:paraId="15B1E50F" w14:textId="77777777" w:rsidR="00977EC2" w:rsidRDefault="00000000">
      <w:r>
        <w:t>The CFPs are reviewed at least annually and are checked for compliance with minimum standards set within the Group Liquidity Management Policy.</w:t>
      </w:r>
    </w:p>
    <w:p w14:paraId="64AD3681" w14:textId="77777777" w:rsidR="00977EC2" w:rsidRDefault="00000000">
      <w:r>
        <w:t>Hence, local ALM units are responsible to create a local Liquidity Strategy for their partial subgroup, which is approved by the local Board of Directors after alignment with Group BSM.</w:t>
      </w:r>
    </w:p>
    <w:p w14:paraId="6410ECB2" w14:textId="77777777" w:rsidR="00977EC2" w:rsidRDefault="00000000">
      <w:r>
        <w:t>Throughout the year Group BSM oversees liquidity management across the Group by monitoring liquidity indicators and balance sheet developments of all entities on individual and on Group level.</w:t>
      </w:r>
    </w:p>
    <w:p w14:paraId="78554FD6" w14:textId="77777777" w:rsidR="00977EC2" w:rsidRDefault="00000000">
      <w:r>
        <w:t>Group BSM is also responsible to reflect the costs and benefits of compliance with different liquidity-related limits and regulations in the internal Funds Transfer Price system, whose design and methodology are defined in the Group FTP policy.</w:t>
      </w:r>
    </w:p>
    <w:p w14:paraId="7BE4C983" w14:textId="6281C659" w:rsidR="00977EC2" w:rsidRDefault="00000000">
      <w:r>
        <w:t xml:space="preserve">The interest rate risk management process is governed by clear responsibilities of all stakeholders in the interest rate risk framework as described in section </w:t>
      </w:r>
      <w:proofErr w:type="spellStart"/>
      <w:r w:rsidR="00895F96">
        <w:t>Organisation</w:t>
      </w:r>
      <w:proofErr w:type="spellEnd"/>
      <w:r w:rsidR="00895F96">
        <w:t xml:space="preserve"> and</w:t>
      </w:r>
      <w:r>
        <w:t xml:space="preserve"> can be divided into four high level components: Risk identification.</w:t>
      </w:r>
    </w:p>
    <w:p w14:paraId="1313A1B3" w14:textId="77777777" w:rsidR="00977EC2" w:rsidRDefault="00000000">
      <w:r>
        <w:t>The foreign subsidiaries have their own ALM and Risk Management units, which are responsible for the analyses and the preparation of local reports.</w:t>
      </w:r>
    </w:p>
    <w:p w14:paraId="732F1449" w14:textId="09FAE03F" w:rsidR="00977EC2" w:rsidRDefault="00000000">
      <w:r>
        <w:t>The earnings at risk coming from NII assesses the accounting impact of interest rate changes, calculated according to Regulatory technical standards EBA</w:t>
      </w:r>
      <w:r w:rsidR="00895F96">
        <w:t xml:space="preserve"> </w:t>
      </w:r>
      <w:r>
        <w:t>RTS</w:t>
      </w:r>
      <w:r w:rsidR="00895F96">
        <w:t xml:space="preserve"> </w:t>
      </w:r>
      <w:r>
        <w:t>2022</w:t>
      </w:r>
      <w:r w:rsidR="00895F96">
        <w:t xml:space="preserve"> </w:t>
      </w:r>
      <w:r>
        <w:t>10 prescribing Supervisory shock scenarios on NII, with a focus on the next 12 months and providing insights on P&amp;L changes stemming from changes in interest rates.</w:t>
      </w:r>
    </w:p>
    <w:p w14:paraId="702A2090" w14:textId="77777777" w:rsidR="00977EC2" w:rsidRDefault="00000000">
      <w:r>
        <w:t>It is designed to fulfil internal risk management and external regulatory requirements.</w:t>
      </w:r>
    </w:p>
    <w:p w14:paraId="1B3031AC" w14:textId="77777777" w:rsidR="00977EC2" w:rsidRDefault="00000000">
      <w:r>
        <w:t>BLM is responsible for identifying, assessing, and managing the risks residual in the products, activities, processes, and systems on an ongoing basis by using operational risk management instruments.</w:t>
      </w:r>
    </w:p>
    <w:p w14:paraId="22EE429E" w14:textId="77777777" w:rsidR="00977EC2" w:rsidRDefault="00000000">
      <w:r>
        <w:t>Entities following the Basic Indicator Approach have implemented internal loss data collection, new product approval and outsourcing risk management instruments.</w:t>
      </w:r>
    </w:p>
    <w:p w14:paraId="297E648B" w14:textId="77777777" w:rsidR="00977EC2" w:rsidRDefault="00000000">
      <w:r>
        <w:t>The respective functions, such as business continuity, outsourcing, security and cyber security, operational risk manage and address any risks that threaten the delivery of critical operations in the operational resilience risk management framework supported by the operational risk instruments.</w:t>
      </w:r>
    </w:p>
    <w:p w14:paraId="70E3E45C" w14:textId="77777777" w:rsidR="00977EC2" w:rsidRDefault="00000000">
      <w:r>
        <w:t>Erste Group measures the regulatory and economic capital requirements for operational risk using the AMA for 14 entities and the rest uses BIA on the Group level.</w:t>
      </w:r>
    </w:p>
    <w:p w14:paraId="71BCA2A4" w14:textId="675F2666" w:rsidR="00977EC2" w:rsidRDefault="00000000">
      <w:r>
        <w:lastRenderedPageBreak/>
        <w:t>Losses due to acts intended to defraud, misappropriate property or circumvent regulations, the law or company policy, excluding diversity</w:t>
      </w:r>
      <w:r w:rsidR="00895F96">
        <w:t xml:space="preserve"> </w:t>
      </w:r>
      <w:r>
        <w:t>discrimination loss events, which involve at least one internal party.</w:t>
      </w:r>
    </w:p>
    <w:p w14:paraId="6CB86C21" w14:textId="77777777" w:rsidR="00977EC2" w:rsidRDefault="00000000">
      <w:r>
        <w:t>Execution, delivery and process management 33% Internal fraud 2% External fraud 29% Employment practices and workplace safety 2% Clients, products and business practices 7% Damage to physical assets 25% Business disruption and system failures 2% 135 in EUR mn a b c d e Banking activities Relevant indicator Own funds requirements Risk weighted exposure amount Year-3 Year-2 Last year 1 Banking activities subject to basic indicator approach 2,276.</w:t>
      </w:r>
    </w:p>
    <w:p w14:paraId="7A19263F" w14:textId="77777777" w:rsidR="00977EC2" w:rsidRDefault="00000000">
      <w:r>
        <w:t>As one of the leading banking institutions in the CEE region, Erste Group is dedicated to mobilising finance for a lower-carbon, more equitable and inclusive society.</w:t>
      </w:r>
    </w:p>
    <w:p w14:paraId="31DD2D42" w14:textId="3B4D654A" w:rsidR="00977EC2" w:rsidRDefault="00000000">
      <w:r>
        <w:t>Business strategy and process</w:t>
      </w:r>
      <w:r w:rsidR="00895F96">
        <w:t xml:space="preserve"> an</w:t>
      </w:r>
      <w:r>
        <w:t xml:space="preserve"> Institution's business strategy to integrate environmental factors and risks, taking into account the impact of environmental factors and risks on institution's business environment, business model, strategy and financial planning Erste Group’s Sustainability Strategy Since Erste Group’s foundation it has been pursuing the goal defined in the Statement of Purpose, namely, to promote and secure prosperity for all people throughout the region.</w:t>
      </w:r>
    </w:p>
    <w:p w14:paraId="0D1E05E3" w14:textId="77777777" w:rsidR="00977EC2" w:rsidRDefault="00000000">
      <w:r>
        <w:t>As a financial institution, it is therefore its role to contribute to the transition towards a low-carbon economy by engaging with its clients and supporting them along their decarbonisation pathway while facing evolving challenges, such as policy uncertainty, both on country and European level.</w:t>
      </w:r>
    </w:p>
    <w:p w14:paraId="53D47ED3" w14:textId="77777777" w:rsidR="00977EC2" w:rsidRDefault="00000000">
      <w:r>
        <w:t>As part of Net Zero Banking Alliance that is a group of leading global banks, Erste Group is committed to aligning its lending, investment, and capital market activities with net-zero greenhouse gas emissions by 2050.</w:t>
      </w:r>
    </w:p>
    <w:p w14:paraId="1A1248AF" w14:textId="77777777" w:rsidR="00977EC2" w:rsidRDefault="00000000">
      <w:r>
        <w:t>Erste Group trusts that the knowledge being generated in the process will allow to be one step ahead and actively assist customers in achieving their climate targets while also supporting growth and resilience.</w:t>
      </w:r>
    </w:p>
    <w:p w14:paraId="4A7B27DB" w14:textId="77777777" w:rsidR="00977EC2" w:rsidRDefault="00000000">
      <w:r>
        <w:t>The necessity and benefits of the green transition ensure a strong focus of Erste Group’s long-term Sustainability Strategy, objectives and framework on this topic.</w:t>
      </w:r>
    </w:p>
    <w:p w14:paraId="71B4E4EE" w14:textId="77777777" w:rsidR="00977EC2" w:rsidRDefault="00000000">
      <w:r>
        <w:t>Furthermore, relevant harmful socio-environmental activities are translated into exclusion criteria for our business activities, as laid down in the Group Responsible Financing Policy.</w:t>
      </w:r>
    </w:p>
    <w:p w14:paraId="43BF7FA3" w14:textId="77777777" w:rsidR="00977EC2" w:rsidRDefault="00000000">
      <w:r>
        <w:t>The first reflects our commitment to promote the financing of climate aligned initiatives and projects by our entities across the region, as well as to boost the share of green businesses in our portfolio.</w:t>
      </w:r>
    </w:p>
    <w:p w14:paraId="24906FC0" w14:textId="77777777" w:rsidR="00977EC2" w:rsidRDefault="00000000">
      <w:r>
        <w:t>The main focus among others lies on support of green transition in real estate, financing of renewable energy projects and investments into rail transportation infrastructure.</w:t>
      </w:r>
    </w:p>
    <w:p w14:paraId="541BE2EE" w14:textId="77777777" w:rsidR="00977EC2" w:rsidRDefault="00000000">
      <w:r>
        <w:lastRenderedPageBreak/>
        <w:t>From a climate-related risk perspective, both concepts aim to increase the resilience of our portfolio, either explicitly by investing in more green business or implicitly by supporting our clients on their path towards net zero transition.</w:t>
      </w:r>
    </w:p>
    <w:p w14:paraId="4CDD978E" w14:textId="77777777" w:rsidR="00977EC2" w:rsidRDefault="00000000">
      <w:r>
        <w:t>Environmental, social and governance risks 137 Based on the Risk Materiality Assessment 2024, climate and environmental risks, with physical risks in particular, are expected to increase over time.</w:t>
      </w:r>
    </w:p>
    <w:p w14:paraId="6C0C0D48" w14:textId="77777777" w:rsidR="00977EC2" w:rsidRDefault="00000000">
      <w:r>
        <w:t>To continue being successful in a decarbonized world and to create value for customers, investors, employees, and society as a whole, it is our responsibility as the bank’s management to positively resolve conflicting goals between profitability and the environmental and social impact of our actions, and to seize the enormous opportunities in these times of change and transformation.</w:t>
      </w:r>
    </w:p>
    <w:p w14:paraId="2566762C" w14:textId="77777777" w:rsidR="00977EC2" w:rsidRDefault="00000000">
      <w:r>
        <w:t>New targets related to the second phase of portfolio decarbonisation were approved by the Group Sustainability Board in December 2023.</w:t>
      </w:r>
    </w:p>
    <w:p w14:paraId="66D048EE" w14:textId="0EF2D3C0" w:rsidR="00977EC2" w:rsidRDefault="00000000">
      <w:r>
        <w:t xml:space="preserve">Our methodology for emissions calculation and decarbonization target setting is based on internationally recognized market standards such as the Science Based Target initiative </w:t>
      </w:r>
      <w:proofErr w:type="gramStart"/>
      <w:r>
        <w:t>SBTi</w:t>
      </w:r>
      <w:proofErr w:type="gramEnd"/>
      <w:r>
        <w:t xml:space="preserve"> and the Paris Aligned Capital Transition Assessment</w:t>
      </w:r>
      <w:r w:rsidR="00895F96">
        <w:t>.</w:t>
      </w:r>
    </w:p>
    <w:p w14:paraId="5F8AAF38" w14:textId="77777777" w:rsidR="00977EC2" w:rsidRDefault="00000000">
      <w:r>
        <w:t>Decarbonization targets have been defined for carbon-intensive industries in line with the guidance reflected in NZBA Guidelines for Climate Target Setting for Banks.</w:t>
      </w:r>
    </w:p>
    <w:p w14:paraId="6670F299" w14:textId="77777777" w:rsidR="00977EC2" w:rsidRDefault="00000000">
      <w:r>
        <w:t>Moreover, the final selection of sectors for definition of decarbonization targets was fostered by availability of science-based methodologies, consideration of technological advances, market trends and regulatory standards.</w:t>
      </w:r>
    </w:p>
    <w:p w14:paraId="1617D012" w14:textId="77777777" w:rsidR="00977EC2" w:rsidRDefault="00000000">
      <w:r>
        <w:t>Also, we are continuously working on improving our decarbonisation efforts and enhancing the portfolio coverage.</w:t>
      </w:r>
    </w:p>
    <w:p w14:paraId="2A95F903" w14:textId="77777777" w:rsidR="00977EC2" w:rsidRDefault="00000000">
      <w:r>
        <w:t>In 2024, Erste Group continued to incorporate savings banks into all portfolio decarbonization targets.</w:t>
      </w:r>
    </w:p>
    <w:p w14:paraId="567EC3F3" w14:textId="77777777" w:rsidR="00977EC2" w:rsidRDefault="00000000">
      <w:r>
        <w:t>This inclusion necessitated adjustments to the targets for the heat and steam sectors, as well as cement production.</w:t>
      </w:r>
    </w:p>
    <w:p w14:paraId="583035A4" w14:textId="77777777" w:rsidR="00977EC2" w:rsidRDefault="00000000">
      <w:r>
        <w:t>After defining portfolio decarbonization targets for priority sectors, the Group’s risk appetite has been enhanced through introduction of.</w:t>
      </w:r>
    </w:p>
    <w:p w14:paraId="4C86B1CA" w14:textId="77777777" w:rsidR="00977EC2" w:rsidRDefault="00000000">
      <w:r>
        <w:t>Thus, the aim of the indicator is not only to support our commitment to climate action, but also to enable pro-active steering of portfolio development along the defined decarbonization path.</w:t>
      </w:r>
    </w:p>
    <w:p w14:paraId="665F6AB9" w14:textId="77777777" w:rsidR="00977EC2" w:rsidRDefault="00000000">
      <w:r>
        <w:t>This governance defines a two-step approach in case a breach is detected.</w:t>
      </w:r>
    </w:p>
    <w:p w14:paraId="758E1AF6" w14:textId="77777777" w:rsidR="00977EC2" w:rsidRDefault="00000000">
      <w:r>
        <w:t>In the second step, specific measures need to be determined and worked out with the proper involvement of relevant stakeholders.</w:t>
      </w:r>
    </w:p>
    <w:p w14:paraId="67AD54D0" w14:textId="77777777" w:rsidR="00977EC2" w:rsidRDefault="00000000">
      <w:r>
        <w:lastRenderedPageBreak/>
        <w:t>This process is dependent on the magnitude and nature of the breach, with concrete remediation measures to be discussed and aligned with industry-specific stakeholders on a case-by-case basis.</w:t>
      </w:r>
    </w:p>
    <w:p w14:paraId="7F9B9CBB" w14:textId="77777777" w:rsidR="00977EC2" w:rsidRDefault="00000000">
      <w:r>
        <w:t>The indicator is deemed to be a part of the overall Group’s initiative to deploy sufficient control mechanisms that ensure the adequate quality of carbon footprint calculation and decarbonization data.</w:t>
      </w:r>
    </w:p>
    <w:p w14:paraId="0FD8A4BA" w14:textId="615836AC" w:rsidR="00977EC2" w:rsidRDefault="00000000">
      <w:r>
        <w:t>The publicly available Group Sustainable Finance Framework has been designed as an umbrella framework that will enable Erste Group to issue sustainable finance 3 clients in the scope of PCAF real estate calculation, which covers specific commercial real estate, including income producing residential real estate and retail mortgages.</w:t>
      </w:r>
    </w:p>
    <w:p w14:paraId="0534318A" w14:textId="77777777" w:rsidR="00977EC2" w:rsidRDefault="00000000">
      <w:r>
        <w:t>For the purposes of classifying specific financing activities as sustainable or not sustainable, Erste Group’s Sustainable Finance Guideline has set out the relevant criteria within a comprehensive due diligence process that relies on the criteria of the EU taxonomy as a reference point and aims to identify investments designed to transition existing climate and environmental activities towards a climate-neutral, climate-resilient and environmentally sustainable economy.</w:t>
      </w:r>
    </w:p>
    <w:p w14:paraId="3E5D36ED" w14:textId="2E3DDE90" w:rsidR="00977EC2" w:rsidRDefault="00000000">
      <w:r>
        <w:t>Of this, the internally managed assets of the investment funds that promote environmental and</w:t>
      </w:r>
      <w:r w:rsidR="00895F96">
        <w:t xml:space="preserve"> </w:t>
      </w:r>
      <w:r>
        <w:t>or social characteristics in the categories ESG Impact, ESG Responsible and ESG Integration, including real estate assets promoting environmental and</w:t>
      </w:r>
      <w:r w:rsidR="00895F96">
        <w:t xml:space="preserve"> </w:t>
      </w:r>
      <w:r>
        <w:t>or social characteristics, amounted to EUR 32.</w:t>
      </w:r>
    </w:p>
    <w:p w14:paraId="1910F9FE" w14:textId="063FCCE8" w:rsidR="00977EC2" w:rsidRDefault="00000000">
      <w:r>
        <w:t xml:space="preserve">With respect to the measures taken to mitigate the risks associated with ESG factors, the Group Responsible Financing </w:t>
      </w:r>
      <w:r w:rsidR="008742C9">
        <w:t>Policy Erste</w:t>
      </w:r>
      <w:r>
        <w:t xml:space="preserve"> Group Responsible Financing Policy defines harmful socio-environmental activities that are excluded from financing and banking services.</w:t>
      </w:r>
    </w:p>
    <w:p w14:paraId="3B533B39" w14:textId="77777777" w:rsidR="00977EC2" w:rsidRDefault="00000000">
      <w:r>
        <w:t>The main focus of the policy is on climate protection through the alignment of Erste Group’s energy financing in line with the Paris Agreement, global warming limitation, the prevention of extensive environmental degradation and measures to preserve biodiversity through restraining from arctic oil and gas financing and unconventional mining practices.</w:t>
      </w:r>
    </w:p>
    <w:p w14:paraId="0313CB28" w14:textId="77777777" w:rsidR="00977EC2" w:rsidRDefault="00000000">
      <w:r>
        <w:t>In 2023, in order to support achieving the group’s decarbonization targets, additional lending guidance has been introduced for large corporates, depending on whether the company has formulated a plan to reduce its carbon footprint.</w:t>
      </w:r>
    </w:p>
    <w:p w14:paraId="29658204" w14:textId="71D59896" w:rsidR="00977EC2" w:rsidRDefault="00000000">
      <w:r>
        <w:t>For further information, please see below the section related to risk management processes used to identify, measure and monitor activities and exposures sensitive to environmental risk section</w:t>
      </w:r>
      <w:r w:rsidR="008742C9">
        <w:t>.</w:t>
      </w:r>
    </w:p>
    <w:p w14:paraId="3639AE0B" w14:textId="665AAA10" w:rsidR="00977EC2" w:rsidRDefault="00000000">
      <w:r>
        <w:t xml:space="preserve">The ESG Factor Heatmap combines the relevance of climate, environmental, social and governance risk factors, utilising a granular segmentation of industry sectors of the </w:t>
      </w:r>
      <w:r>
        <w:lastRenderedPageBreak/>
        <w:t>portfolio, and allows for a differentiated approach as the relevance of individual risk drivers may differ, depending on the nature of the respective subsectors a company operates in.</w:t>
      </w:r>
    </w:p>
    <w:p w14:paraId="5DD6BDA0" w14:textId="0569D68C" w:rsidR="00977EC2" w:rsidRDefault="00000000">
      <w:r>
        <w:t>For further information regarding the ESG Factor Heatmap, please see below the section related to risk management processes used to identify, measure and monitor activities and exposures sensitive to environmental risk section l</w:t>
      </w:r>
      <w:r w:rsidR="008742C9">
        <w:t>.</w:t>
      </w:r>
    </w:p>
    <w:p w14:paraId="123596F8" w14:textId="77777777" w:rsidR="00977EC2" w:rsidRDefault="00000000">
      <w:r>
        <w:t>A cross-functional change initiative within Erste Group, called ‘Net Zero Business Steering’, involving Risk Management, Corporate Steering and Group ESG Office defines the necessary measures to operationalise decarbonisation targets.</w:t>
      </w:r>
    </w:p>
    <w:p w14:paraId="2CED5487" w14:textId="77777777" w:rsidR="00977EC2" w:rsidRDefault="00000000">
      <w:r>
        <w:t>The planned approach for corporate business, designed to support the achievement of Erste Group’s strategic objectives of reaching net zero in 2050 consists of performing an initial client transition readiness assessment and starting an in-depth engagement process with identified clients while evaluating financing needs.</w:t>
      </w:r>
    </w:p>
    <w:p w14:paraId="27D08DDF" w14:textId="0F99AD9C" w:rsidR="00977EC2" w:rsidRDefault="00000000">
      <w:r>
        <w:t>The ESG specific governance forums are detailed in the present disclosure, in the chapter dedicated to Governance risk</w:t>
      </w:r>
      <w:r w:rsidR="00895F96">
        <w:t xml:space="preserve">, </w:t>
      </w:r>
      <w:r>
        <w:t>as well 4 Technical Object Rating is a brief assessment of the technical status of a commercial building.</w:t>
      </w:r>
    </w:p>
    <w:p w14:paraId="06DF5ACA" w14:textId="77777777" w:rsidR="00977EC2" w:rsidRDefault="00000000">
      <w:r>
        <w:t>Operational and Non-Financial Risk governs ESG integration into the existing NFR risk management process and ensures the adequate impact on the operational risk capital requirements.</w:t>
      </w:r>
    </w:p>
    <w:p w14:paraId="41AAA264" w14:textId="77777777" w:rsidR="00977EC2" w:rsidRDefault="00000000">
      <w:r>
        <w:t>Credit Risk Models require that local model developers consider ESG risks during their model development activities.</w:t>
      </w:r>
    </w:p>
    <w:p w14:paraId="4A24BA35" w14:textId="77777777" w:rsidR="00977EC2" w:rsidRDefault="00000000">
      <w:r>
        <w:t>Compliance with laws, regulations and regulatory requirements is fundamental to conduct reliable and prudent banking business and operations, and to nurture the trust of customers, employees, regulators, investors, and all stakeholders in general.</w:t>
      </w:r>
    </w:p>
    <w:p w14:paraId="7E0861F6" w14:textId="77777777" w:rsidR="00977EC2" w:rsidRDefault="00000000">
      <w:r>
        <w:t>In line with the Group Compliance framework, the Compliance functions oversee, on a risk-based approach, the management of compliance risk, verifying that internal procedures are adequate to prevent such risk including those related to ESG, as well as to support Erste Group in its business activities, in compliance with applicable laws, internal procedures, and applicable best practices.</w:t>
      </w:r>
    </w:p>
    <w:p w14:paraId="22A30AFD" w14:textId="77777777" w:rsidR="00977EC2" w:rsidRDefault="00000000">
      <w:r>
        <w:t>In this context, the Compliance functions leverage close collaboration with other internal control functions.</w:t>
      </w:r>
    </w:p>
    <w:p w14:paraId="63E93FAF" w14:textId="77777777" w:rsidR="00977EC2" w:rsidRDefault="00000000">
      <w:r>
        <w:t>ESG requirements are also defined as statutory audit requirements to ensure adequate consideration in the audit planning process.</w:t>
      </w:r>
    </w:p>
    <w:p w14:paraId="063D0A20" w14:textId="77777777" w:rsidR="00977EC2" w:rsidRDefault="00000000">
      <w:r>
        <w:t>Additionally, considering the number of cross-divisional stakeholders involved, dedicated governance for managing the.</w:t>
      </w:r>
    </w:p>
    <w:p w14:paraId="6EBA102A" w14:textId="77777777" w:rsidR="00977EC2" w:rsidRDefault="00000000">
      <w:r>
        <w:lastRenderedPageBreak/>
        <w:t>Within the Credit Committee, risk associated with environmental, social and governance factors are considered as part of the decisionmaking process of credit applications, reflecting the ESG Assessment Questionnaire result.</w:t>
      </w:r>
    </w:p>
    <w:p w14:paraId="730B1158" w14:textId="4DB66BB5" w:rsidR="00977EC2" w:rsidRDefault="00000000">
      <w:r>
        <w:t xml:space="preserve">The ESG Assessment Questionnaire also includes a risk </w:t>
      </w:r>
      <w:proofErr w:type="gramStart"/>
      <w:r>
        <w:t>meter</w:t>
      </w:r>
      <w:r w:rsidR="00895F96">
        <w:t xml:space="preserve"> </w:t>
      </w:r>
      <w:r>
        <w:t xml:space="preserve"> indicating</w:t>
      </w:r>
      <w:proofErr w:type="gramEnd"/>
      <w:r>
        <w:t xml:space="preserve"> the level of ESG data available from the counterparty, specifically if the company has formulated a plan to reduce its carbon footprint.</w:t>
      </w:r>
    </w:p>
    <w:p w14:paraId="0AA54100" w14:textId="77777777" w:rsidR="00977EC2" w:rsidRDefault="00000000">
      <w:r>
        <w:t>Credit applications of large corporate counterparties that are considered highly contributing to climate change, not having communicated a transition plan, and applying for a lending policy exception, have to be approved by the Holding Credit Committee.</w:t>
      </w:r>
    </w:p>
    <w:p w14:paraId="00BB635D" w14:textId="1998DBB4" w:rsidR="00977EC2" w:rsidRDefault="00000000">
      <w:r>
        <w:t>The initial focus was on quarterly developments of portfolio per ESG Factor Heatmap</w:t>
      </w:r>
      <w:r w:rsidR="00895F96">
        <w:t xml:space="preserve">, </w:t>
      </w:r>
      <w:r>
        <w:t>an overview of financed emissions, and other key ESG developments in the risk area, such as risk materiality assessment.</w:t>
      </w:r>
    </w:p>
    <w:p w14:paraId="2FDF8967" w14:textId="77777777" w:rsidR="00977EC2" w:rsidRDefault="00000000">
      <w:r>
        <w:t>Further on, the chapter has been enhanced to reflect developments in the field, including details related to stress test, physical risks associated with the Erste Group portfolio, as well as decarbonisation targets set for the first four portfolio segments covered by the pilot phase.</w:t>
      </w:r>
    </w:p>
    <w:p w14:paraId="2DA70B1D" w14:textId="6F2E2180" w:rsidR="00977EC2" w:rsidRDefault="00000000">
      <w:r>
        <w:t xml:space="preserve">From September 2023 onwards, a broader ESG KPI </w:t>
      </w:r>
      <w:proofErr w:type="gramStart"/>
      <w:r>
        <w:t>Monitoring</w:t>
      </w:r>
      <w:r w:rsidR="00895F96">
        <w:t xml:space="preserve"> </w:t>
      </w:r>
      <w:r>
        <w:t xml:space="preserve"> Report</w:t>
      </w:r>
      <w:proofErr w:type="gramEnd"/>
      <w:r>
        <w:t xml:space="preserve"> was introduced, now combining the tracking of sustainable finance and decarbonization targets.</w:t>
      </w:r>
    </w:p>
    <w:p w14:paraId="7C621C94" w14:textId="77777777" w:rsidR="00977EC2" w:rsidRDefault="00000000">
      <w:r>
        <w:t>The individual strategic targets include ESG targets and are defined in detail in the scorecard of the respective board member, and the achievement of these is evaluated at the end of the performance period.</w:t>
      </w:r>
    </w:p>
    <w:p w14:paraId="5AEF556F" w14:textId="77777777" w:rsidR="00977EC2" w:rsidRDefault="00000000">
      <w:r>
        <w:t>ESG-related targets are in line with the focus areas: Holistic ESG performance, Green Transition – Green Financing &amp; Net Zero Transition, and Equal Opportunities.</w:t>
      </w:r>
    </w:p>
    <w:p w14:paraId="2AAD688E" w14:textId="77777777" w:rsidR="00977EC2" w:rsidRDefault="00000000">
      <w:r>
        <w:t>Except for CDP, which focuses on climate impact, the other three ESG rating agencies measure the environmental, social and governance related performance of companies.</w:t>
      </w:r>
    </w:p>
    <w:p w14:paraId="5990D245" w14:textId="58A4933B" w:rsidR="00977EC2" w:rsidRDefault="00000000">
      <w:r>
        <w:t xml:space="preserve">Details on the integration of sustainability-related performance incentive schemes can be found in the Sustainability Statement </w:t>
      </w:r>
      <w:proofErr w:type="gramStart"/>
      <w:r>
        <w:t xml:space="preserve">2024, </w:t>
      </w:r>
      <w:r w:rsidR="008742C9">
        <w:t xml:space="preserve"> </w:t>
      </w:r>
      <w:r>
        <w:t>Sustainability</w:t>
      </w:r>
      <w:proofErr w:type="gramEnd"/>
      <w:r>
        <w:t xml:space="preserve"> Statement 2024, under the General Information Governance chapter, GOV-3 Integration of sustainability-related performance in incentive schemes</w:t>
      </w:r>
      <w:r w:rsidR="00895F96">
        <w:t>.</w:t>
      </w:r>
    </w:p>
    <w:p w14:paraId="23DF943C" w14:textId="77777777" w:rsidR="00977EC2" w:rsidRDefault="00000000">
      <w:r>
        <w:t>In 2023, internal climate stress testing efforts focused on displaying short-term physical risk impacts coming from a 100-year flood event with riverine flood being identified ex ante as the most relevant hazard for EGB.</w:t>
      </w:r>
    </w:p>
    <w:p w14:paraId="53467C3D" w14:textId="77777777" w:rsidR="00977EC2" w:rsidRDefault="00000000">
      <w:r>
        <w:t>As part of the strategic climate initiative for the Net Zero Banking Alliance, Erste Group implemented a decarbonization strategy by setting emission targets for 2030 and 2050 for certain carbon-intensive sectors identified as important levers.</w:t>
      </w:r>
    </w:p>
    <w:p w14:paraId="52192413" w14:textId="77777777" w:rsidR="00977EC2" w:rsidRDefault="00000000">
      <w:r>
        <w:lastRenderedPageBreak/>
        <w:t>Environmental risk means the risk of losses arising from any negative financial impact on the institution stemming from the current or prospective impacts of environmental factors on the institution’s counterparties or invested assets, including factors related to the transition towards the following environmental objectives: climate change mitigation.</w:t>
      </w:r>
    </w:p>
    <w:p w14:paraId="2989C6AB" w14:textId="77777777" w:rsidR="00977EC2" w:rsidRDefault="00000000">
      <w:r>
        <w:t>Environmental risk includes both physical risk and transition risk: 5 This is because physical risks from climate change are expected to materialize mostly from the middle of the century as extreme weather events are expected to substantially increase in frequency and severity, and projected longterm impacts will be multiple times higher than currently observed.</w:t>
      </w:r>
    </w:p>
    <w:p w14:paraId="259758D4" w14:textId="2EA18204" w:rsidR="00977EC2" w:rsidRDefault="00000000">
      <w:r>
        <w:t>This report has been prepared on a consolidated basis, using the European Sustainability Reporting Standards as a framework, alongside the requirements of Article 8 of EU Regulation 2020</w:t>
      </w:r>
      <w:r w:rsidR="00895F96">
        <w:t xml:space="preserve"> </w:t>
      </w:r>
      <w:r>
        <w:t>852 EU Taxonomy.</w:t>
      </w:r>
    </w:p>
    <w:p w14:paraId="3A37742A" w14:textId="1F23FE69" w:rsidR="00977EC2" w:rsidRDefault="00000000">
      <w:r>
        <w:t xml:space="preserve">As this standard is in conformity with the internationally </w:t>
      </w:r>
      <w:proofErr w:type="spellStart"/>
      <w:r>
        <w:t>recognised</w:t>
      </w:r>
      <w:proofErr w:type="spellEnd"/>
      <w:r>
        <w:t xml:space="preserve"> GHG Protocol Corporate Value Chain scope 3 Accounting and Reporting Standard, emissions are calculated for all the seven GHGs listed in the Kyoto Protocol.</w:t>
      </w:r>
    </w:p>
    <w:p w14:paraId="7C703D1B" w14:textId="42E3B65F" w:rsidR="00977EC2" w:rsidRDefault="00000000">
      <w:r>
        <w:t>All the decarbonization targets are derived based on the Science-Based Target Initiative SBTi and Paris Agreement Capital Transition Assessment methodologies.</w:t>
      </w:r>
    </w:p>
    <w:p w14:paraId="78E52A71" w14:textId="3CB12C0E" w:rsidR="00977EC2" w:rsidRDefault="00000000">
      <w:r>
        <w:t xml:space="preserve">The detailed methodology for financed emissions calculation and decarbonization targets definition is elaborated in the Sustainability Statement </w:t>
      </w:r>
      <w:proofErr w:type="gramStart"/>
      <w:r>
        <w:t xml:space="preserve">2024 </w:t>
      </w:r>
      <w:r w:rsidR="008742C9">
        <w:t xml:space="preserve"> </w:t>
      </w:r>
      <w:r>
        <w:t>Sustainability</w:t>
      </w:r>
      <w:proofErr w:type="gramEnd"/>
      <w:r>
        <w:t xml:space="preserve"> Statement 2024, for each PCAF-asset class and decarbonization sector separately.</w:t>
      </w:r>
    </w:p>
    <w:p w14:paraId="0A9A3800" w14:textId="77777777" w:rsidR="00977EC2" w:rsidRDefault="00000000">
      <w:r>
        <w:t>Besides social and governance questions, a wide range of environmental risks are covered in the questionnaire, including animal welfare, waste and pollution, water use, impact on endangered zones, and other environmental impacts, which are identified and reflected in the assessment.</w:t>
      </w:r>
    </w:p>
    <w:p w14:paraId="596310B8" w14:textId="446038BB" w:rsidR="00977EC2" w:rsidRDefault="00000000">
      <w:r>
        <w:t>Depending on the information available from the counterparty and the assessed sensitivity</w:t>
      </w:r>
      <w:r w:rsidR="00895F96">
        <w:t xml:space="preserve"> </w:t>
      </w:r>
      <w:r>
        <w:t>vulnerability to environmental risks, an in-depth assessment may be required to understand the nature and severity of the environmental risks to which the client is exposed.</w:t>
      </w:r>
    </w:p>
    <w:p w14:paraId="48854FF0" w14:textId="77777777" w:rsidR="00977EC2" w:rsidRDefault="00000000">
      <w:r>
        <w:t>Following an assessment in cooperation with the University of Graz, the Group identified key hazards and climate change scenarios relevant for its collateral portfolio, which was considered in the materiality assessment.</w:t>
      </w:r>
    </w:p>
    <w:p w14:paraId="3D589603" w14:textId="38B7B9D3" w:rsidR="00977EC2" w:rsidRDefault="00000000">
      <w:r>
        <w:t>The results of the assignment, highlighting the importance of river flood, fire weather stress, drought stress, sea level rise, and heat stress, are integrated into the collateral management, incorporating an intermediate climate change scenario of 2-3°C by 2100 Representative Concentration Pathway 4.</w:t>
      </w:r>
    </w:p>
    <w:p w14:paraId="0A7FB32E" w14:textId="77777777" w:rsidR="00977EC2" w:rsidRDefault="00000000">
      <w:r>
        <w:t xml:space="preserve">As the influence of ESG risks is expected to increase over time, and in line with the 2022 thematic review of climate-related and environmental risks, Erste Group has further </w:t>
      </w:r>
      <w:r>
        <w:lastRenderedPageBreak/>
        <w:t>improved the methods and processes to assess whether material climate-related and environmental risks could cause net cash outflows or depletion of liquidity buffers.</w:t>
      </w:r>
    </w:p>
    <w:p w14:paraId="6009A721" w14:textId="77777777" w:rsidR="00977EC2" w:rsidRDefault="00000000">
      <w:r>
        <w:t>This gradual development allows a better anticipation and adjustments in steering to ensure liquidity.</w:t>
      </w:r>
    </w:p>
    <w:p w14:paraId="6D5D7866" w14:textId="0ABC7BB5" w:rsidR="00977EC2" w:rsidRDefault="00000000">
      <w:r>
        <w:t>Erste Group conducted a bank-wide transition risk scenario analysis</w:t>
      </w:r>
      <w:r w:rsidR="00895F96">
        <w:t xml:space="preserve"> </w:t>
      </w:r>
      <w:r>
        <w:t>stress testing exercise, which served as the basis for the quantitative materiality assessment of both the climate-related and other environmental risks for the Group.</w:t>
      </w:r>
    </w:p>
    <w:p w14:paraId="35E0D1F9" w14:textId="77777777" w:rsidR="00977EC2" w:rsidRDefault="00000000">
      <w:r>
        <w:t>With regards to relevance of physical risks, and as part of the ESG Framework project, Erste Group purchased Location Risk Intelligence data on physical risks caused by natural hazards and climate change from MunichRe.</w:t>
      </w:r>
    </w:p>
    <w:p w14:paraId="0CE40D1C" w14:textId="77777777" w:rsidR="00977EC2" w:rsidRDefault="00000000">
      <w:r>
        <w:t>The establishment of sustainability criteria, on the other hand, has the effect that companies with negative sustainability impacts are avoided and that financial resources flow into companies and activities that contribute to the transformation.</w:t>
      </w:r>
    </w:p>
    <w:p w14:paraId="23D7A1DF" w14:textId="77777777" w:rsidR="00977EC2" w:rsidRDefault="00000000">
      <w:r>
        <w:t>Erste Group is therefore clearly committed to funding ambitious climate protection measures and supporting customers in their transformation to transition the portfolio to net-zero greenhouse gas emissions by 2050.</w:t>
      </w:r>
    </w:p>
    <w:p w14:paraId="2269B26B" w14:textId="73F3E4F5" w:rsidR="00977EC2" w:rsidRDefault="00000000">
      <w:r>
        <w:t xml:space="preserve">More details on activities and measures to mitigate environmental risks are published in the Sustainability Statement </w:t>
      </w:r>
      <w:proofErr w:type="gramStart"/>
      <w:r>
        <w:t xml:space="preserve">2024 </w:t>
      </w:r>
      <w:r w:rsidR="008742C9">
        <w:t xml:space="preserve"> </w:t>
      </w:r>
      <w:r>
        <w:t>Sustainability</w:t>
      </w:r>
      <w:proofErr w:type="gramEnd"/>
      <w:r>
        <w:t xml:space="preserve"> Statement 2024, under the Environmental information – Climate change chapter</w:t>
      </w:r>
      <w:r w:rsidR="00895F96">
        <w:t xml:space="preserve">, </w:t>
      </w:r>
      <w:r>
        <w:t>E1 SBM-3 – Material impacts, risks and opportunities and their interaction with strategy and business model</w:t>
      </w:r>
      <w:r w:rsidR="00895F96">
        <w:t>.</w:t>
      </w:r>
    </w:p>
    <w:p w14:paraId="4BEE7482" w14:textId="4A59FA9F" w:rsidR="00977EC2" w:rsidRDefault="00000000">
      <w:r>
        <w:t>E1- 4 – Targets related to climate change mitigation and adaption</w:t>
      </w:r>
      <w:r w:rsidR="00895F96">
        <w:t xml:space="preserve">, </w:t>
      </w:r>
      <w:r>
        <w:t>as well as under Biodiversity and ecosystems chapter</w:t>
      </w:r>
      <w:r w:rsidR="00895F96">
        <w:t>.</w:t>
      </w:r>
    </w:p>
    <w:p w14:paraId="15F87D90" w14:textId="77777777" w:rsidR="00977EC2" w:rsidRDefault="00000000">
      <w:r>
        <w:t>Climate stress testing has been integrated into Erste Group’s internal stress testing framework, influenced by participation in the European Central Bank’s pioneering Climate Stress Test in 2022 and in accordance with developing best practices.</w:t>
      </w:r>
    </w:p>
    <w:p w14:paraId="78F5CB16" w14:textId="40196910" w:rsidR="00977EC2" w:rsidRDefault="00000000">
      <w:r>
        <w:t>The results were also used to develop climate-related indicators in the Risk Materiality Assessment</w:t>
      </w:r>
      <w:r w:rsidR="00895F96">
        <w:t xml:space="preserve">, </w:t>
      </w:r>
      <w:r>
        <w:t>an essential component of the Internal Capital Adequacy Assessment Process</w:t>
      </w:r>
      <w:r w:rsidR="00895F96">
        <w:t>.</w:t>
      </w:r>
    </w:p>
    <w:p w14:paraId="087CF9AA" w14:textId="539BD505" w:rsidR="00977EC2" w:rsidRDefault="00000000">
      <w:r>
        <w:t>In 2024, the focus was on the execution of a comprehensive climate transition scenario analysis based on the industry standards of the Network for Greening the Financial System</w:t>
      </w:r>
      <w:r w:rsidR="00895F96">
        <w:t>.</w:t>
      </w:r>
    </w:p>
    <w:p w14:paraId="3D82AD2C" w14:textId="77777777" w:rsidR="00977EC2" w:rsidRDefault="00000000">
      <w:r>
        <w:t>Decarbonisation strategy, which will effectively mitigate Erste Group’s exposure to transition risks, is based on a starting point of financed emissions determined in the carbon footprint calculation.</w:t>
      </w:r>
    </w:p>
    <w:p w14:paraId="593A5696" w14:textId="77777777" w:rsidR="00977EC2" w:rsidRDefault="00000000">
      <w:r>
        <w:t xml:space="preserve">Portfolio decarbonisation targets aim to reduce financed emissions by the end of the decade in the portfolios of commercial real estate, mortgages7, electricity production, heat &amp; steam </w:t>
      </w:r>
      <w:r>
        <w:lastRenderedPageBreak/>
        <w:t>production, cement production, iron &amp; steel production, automotive production, and oil &amp; gas extraction.</w:t>
      </w:r>
    </w:p>
    <w:p w14:paraId="2E189E05" w14:textId="77777777" w:rsidR="00977EC2" w:rsidRDefault="00000000">
      <w:r>
        <w:t>In line with the Net Zero Banking Alliance, we strive to achieve net zero by 2050.</w:t>
      </w:r>
    </w:p>
    <w:p w14:paraId="01730461" w14:textId="77777777" w:rsidR="00977EC2" w:rsidRDefault="00000000">
      <w:r>
        <w:t>The progress along the decarbonisation pathway is monitored quarterly via dedicated internal reports presented to the management.</w:t>
      </w:r>
    </w:p>
    <w:p w14:paraId="347BB98E" w14:textId="6315AC9E" w:rsidR="00977EC2" w:rsidRDefault="00000000">
      <w:r>
        <w:t>It measures financed portfolio emissions according to the PCAF Partnership for Carbon Accounting Financials methodology.</w:t>
      </w:r>
    </w:p>
    <w:p w14:paraId="098A5EE6" w14:textId="77777777" w:rsidR="00977EC2" w:rsidRDefault="00000000">
      <w:r>
        <w:t>As already mentioned, CFC creates the starting point for other portfolio-related risk assessment activities and portfolio decarbonisation initiatives.</w:t>
      </w:r>
    </w:p>
    <w:p w14:paraId="1C674229" w14:textId="77777777" w:rsidR="00977EC2" w:rsidRDefault="00000000">
      <w:r>
        <w:t>The regulatory requirement and behavioural changes of consumers, suppliers, employees might increase the mis-selling risk coupled with the ambitious targets on future ESG performance.</w:t>
      </w:r>
    </w:p>
    <w:p w14:paraId="4061DB40" w14:textId="518C21BC" w:rsidR="00977EC2" w:rsidRDefault="00000000">
      <w:r>
        <w:t>The long-term assessment of physical risks as material on the other hand is, in the absence of quantitative data especially on other environmental risks, mainly based on well-founded scientific research showing that extreme weather events are expected to substantially increase in frequency and severity, and projected longterm impacts will be multiple times higher than currently observed.</w:t>
      </w:r>
    </w:p>
    <w:p w14:paraId="0524F8DD" w14:textId="77777777" w:rsidR="00977EC2" w:rsidRDefault="00000000">
      <w:r>
        <w:t>In addition, the development in the area of ESG-litigations is closely monitored as this development might negatively impact operational risk and also reputational risk RMA results.</w:t>
      </w:r>
    </w:p>
    <w:p w14:paraId="766BE08B" w14:textId="77777777" w:rsidR="00977EC2" w:rsidRDefault="00000000">
      <w:r>
        <w:t>Due to a solid reputational risk management framework, the reputational risk impact from ESG litigation is currently considered immaterial.</w:t>
      </w:r>
    </w:p>
    <w:p w14:paraId="23921F6C" w14:textId="77777777" w:rsidR="00977EC2" w:rsidRDefault="00000000">
      <w:r>
        <w:t>Thus, the risk management framework and economic capital are implemented under affected key risk types, preventing double counting of risk.</w:t>
      </w:r>
    </w:p>
    <w:p w14:paraId="37CC2D81" w14:textId="77777777" w:rsidR="00977EC2" w:rsidRDefault="00000000">
      <w:r>
        <w:t>Erste Group is also aware that it is necessary to provide the estimated impact of environmental risk on the institution’s liquidity adequacy.</w:t>
      </w:r>
    </w:p>
    <w:p w14:paraId="2EFA7B57" w14:textId="77777777" w:rsidR="00977EC2" w:rsidRDefault="00000000">
      <w:r>
        <w:t>We establish principles for data governance, focusing on identifying and aligning new data needs within the ESG domain.</w:t>
      </w:r>
    </w:p>
    <w:p w14:paraId="5A5A8B66" w14:textId="77777777" w:rsidR="00977EC2" w:rsidRDefault="00000000">
      <w:r>
        <w:t>The policy includes established exclusion criteria related to energy, gambling, defence and biodiversity.</w:t>
      </w:r>
    </w:p>
    <w:p w14:paraId="5EA2BD3E" w14:textId="77777777" w:rsidR="00977EC2" w:rsidRDefault="00000000">
      <w:r>
        <w:t>That´s why with regards to credit risk measurement and internal models, a project to define and collect relevant climate risk drivers for all rating systems started already in 2022 to ensure the explicit consideration of climate risks in model development initiatives.</w:t>
      </w:r>
    </w:p>
    <w:p w14:paraId="2442D0A9" w14:textId="77777777" w:rsidR="00977EC2" w:rsidRDefault="00000000">
      <w:r>
        <w:lastRenderedPageBreak/>
        <w:t>Transmission channels in the area of Operational risk are identified in the Risk Materiality Assessment and if relevant taken into account in the operational risk management framework.</w:t>
      </w:r>
    </w:p>
    <w:p w14:paraId="324BB4C5" w14:textId="77777777" w:rsidR="00977EC2" w:rsidRDefault="00000000">
      <w:r>
        <w:t>Therefore, ESG risks drivers are covered in the existing Operational and Non-Financial Risk Management framework and all methods covered therein.</w:t>
      </w:r>
    </w:p>
    <w:p w14:paraId="1D62A716" w14:textId="77777777" w:rsidR="00977EC2" w:rsidRDefault="00000000">
      <w:r>
        <w:t>The NFR decision process allows for comprehensive consideration of climate and environmental risks and other non-financial risks, by measuring the probability and impact of identified risk scenarios.</w:t>
      </w:r>
    </w:p>
    <w:p w14:paraId="6CB0AF56" w14:textId="07F6F833" w:rsidR="00977EC2" w:rsidRDefault="00000000">
      <w:r>
        <w:t>Within the overview of loans collateralized by commercial and residential immovable property per energy efficiency EP score, Erste Group has also included the exposures for which the energy consumption is estimated, in addition to separately presenting it in the dedicated row.</w:t>
      </w:r>
    </w:p>
    <w:p w14:paraId="514366DC" w14:textId="289C7A45" w:rsidR="00977EC2" w:rsidRDefault="00000000">
      <w:r>
        <w:t>This analysis was supported by materiality assessment that considers share of on-balance exposure and financed emissions Scope 1 + Scope 2 CO2e in comparison to the portfolio as part of Carbon Footprint Calculation.</w:t>
      </w:r>
    </w:p>
    <w:p w14:paraId="21CDE010" w14:textId="77777777" w:rsidR="00977EC2" w:rsidRDefault="00000000">
      <w:r>
        <w:t>Moreover, the final selection of sectors for definition of decarbonization targets was fostered by availability of science-based methodologies, consideration of technological advances, market trends and regulatory standards.</w:t>
      </w:r>
    </w:p>
    <w:p w14:paraId="72198CFE" w14:textId="160B7652" w:rsidR="00977EC2" w:rsidRDefault="00000000">
      <w:r>
        <w:t xml:space="preserve">Column: Year of reference: Following the phased-in approach for decarbonization targets setting in terms of sectors and inclusion of savings banks portfolio, the reference value and the targets for </w:t>
      </w:r>
      <w:proofErr w:type="gramStart"/>
      <w:r>
        <w:t>Electricity</w:t>
      </w:r>
      <w:proofErr w:type="gramEnd"/>
      <w:r>
        <w:t xml:space="preserve"> production sector Power in the template show the portfolio including the savings banks segment.</w:t>
      </w:r>
    </w:p>
    <w:p w14:paraId="5942DB8A" w14:textId="77777777" w:rsidR="00977EC2" w:rsidRDefault="00000000">
      <w:r>
        <w:t>For other sectors, targets for the savings banks portfolio were defined in 2024 and will be included into the monitoring of the decarbonization progress from Q1 2025 onwards.</w:t>
      </w:r>
    </w:p>
    <w:p w14:paraId="4AD5AF3E" w14:textId="77777777" w:rsidR="00977EC2" w:rsidRDefault="00000000">
      <w:r>
        <w:t xml:space="preserve">The decarbonization targets were set based on physical emission intensity, while financed emissions were deemed as most appropriate metric for Heat &amp; Steam production and Oil &amp; Gas upstream at the point of decarbonization target definition </w:t>
      </w:r>
      <w:proofErr w:type="gramStart"/>
      <w:r>
        <w:t>in light of</w:t>
      </w:r>
      <w:proofErr w:type="gramEnd"/>
      <w:r>
        <w:t xml:space="preserve"> data and tools availability.</w:t>
      </w:r>
    </w:p>
    <w:p w14:paraId="02B0C60D" w14:textId="77777777" w:rsidR="00977EC2" w:rsidRDefault="00000000">
      <w:r>
        <w:t>Besides, within the automotive sector Erste Group has set decarbonization targets for the clients in the Automotive production, namely manufacturing of light duty motor vehicles, that are defined via NACE 29.</w:t>
      </w:r>
    </w:p>
    <w:p w14:paraId="52AAA31C" w14:textId="77777777" w:rsidR="00977EC2" w:rsidRDefault="00000000">
      <w:r>
        <w:t>These financings are subject to a comprehensive due diligence process that relies on the criteria of the EU Taxonomy as a point of reference and aims to identify investments designed to transition existing climate and environmental activities towards a climate-neutral, climate-resilient and environmentally sustainable economy.</w:t>
      </w:r>
    </w:p>
    <w:p w14:paraId="77404076" w14:textId="77777777" w:rsidR="00977EC2" w:rsidRDefault="00000000">
      <w:r>
        <w:lastRenderedPageBreak/>
        <w:t>These criteria are designed to ensure that capital is directed towards activities that significantly contribute to the green transition, adhering to our internal Sustainable Finance Guideline.</w:t>
      </w:r>
    </w:p>
    <w:p w14:paraId="76F5F729" w14:textId="77777777" w:rsidR="00977EC2" w:rsidRDefault="00000000">
      <w:r>
        <w:t>We prioritize supporting our customers in transitioning to net zero emissions as a key part of our ESG strategy and are constantly reviewing our framework to better address the transition finance needs of our clients.</w:t>
      </w:r>
    </w:p>
    <w:p w14:paraId="5517C951" w14:textId="77777777" w:rsidR="00977EC2" w:rsidRDefault="00000000">
      <w:r>
        <w:t>ESG risks identification, such as potential environmental damages, severe negative social consequences, or poor governance, has always been an integral part of Erste Group business and risk management framework.</w:t>
      </w:r>
    </w:p>
    <w:p w14:paraId="0C931826" w14:textId="77777777" w:rsidR="00977EC2" w:rsidRDefault="00000000">
      <w:r>
        <w:t>By working with social organisations and housing developers we help people affected by poverty to build independent lives in homes of their own or improve their housing situation.</w:t>
      </w:r>
    </w:p>
    <w:p w14:paraId="0212169E" w14:textId="77777777" w:rsidR="00977EC2" w:rsidRDefault="00000000">
      <w:r>
        <w:t>Our analysis of socio-environmental topics provided the basis for Erste Group’s long-term Sustainability Strategy, objectives and framework.</w:t>
      </w:r>
    </w:p>
    <w:p w14:paraId="0AFA5057" w14:textId="6EA37CF8" w:rsidR="00977EC2" w:rsidRDefault="00000000">
      <w:r>
        <w:t xml:space="preserve">Furthermore, as already mentioned, the identified environmental and social challenges are </w:t>
      </w:r>
      <w:proofErr w:type="gramStart"/>
      <w:r>
        <w:t>taken into account</w:t>
      </w:r>
      <w:proofErr w:type="gramEnd"/>
      <w:r>
        <w:t xml:space="preserve"> in the ESG Factor Heatmap and Group Responsible Financing </w:t>
      </w:r>
      <w:proofErr w:type="gramStart"/>
      <w:r>
        <w:t xml:space="preserve">Policy </w:t>
      </w:r>
      <w:r w:rsidR="008742C9">
        <w:t xml:space="preserve"> </w:t>
      </w:r>
      <w:r>
        <w:t>Erste</w:t>
      </w:r>
      <w:proofErr w:type="gramEnd"/>
      <w:r>
        <w:t xml:space="preserve"> Group Responsible Financing Policy.</w:t>
      </w:r>
    </w:p>
    <w:p w14:paraId="3FE8E224" w14:textId="77777777" w:rsidR="00977EC2" w:rsidRDefault="00000000">
      <w:r>
        <w:t>Therefore, a special Group Social Banking Risk Policy sets out the key requirements for managing credit risk related to social banking at Erste Group.</w:t>
      </w:r>
    </w:p>
    <w:p w14:paraId="643842F4" w14:textId="77777777" w:rsidR="00977EC2" w:rsidRDefault="00000000">
      <w:r>
        <w:t>This policy applies to social banking activities concerning private individuals, micros and new entrepreneurs, social organisations, and special social projects.</w:t>
      </w:r>
    </w:p>
    <w:p w14:paraId="5D6D6AEC" w14:textId="79661F65" w:rsidR="00977EC2" w:rsidRDefault="00000000">
      <w:r>
        <w:t xml:space="preserve">In a bid to reduce the risk related to the funding of social organisations, Erste Group Social Banking claimed the portfolio guarantee provided under the EU Programme for Employment and Social Innovation </w:t>
      </w:r>
      <w:proofErr w:type="spellStart"/>
      <w:r>
        <w:t>EaSI</w:t>
      </w:r>
      <w:proofErr w:type="spellEnd"/>
      <w:r>
        <w:t>, which expired at year-end 2022.</w:t>
      </w:r>
    </w:p>
    <w:p w14:paraId="49ABC93C" w14:textId="5DCF6811" w:rsidR="00977EC2" w:rsidRDefault="00000000">
      <w:r>
        <w:t xml:space="preserve">Moreover, Erste Group is also one of 33 signatory banks joining the United Nations Environment </w:t>
      </w:r>
      <w:proofErr w:type="spellStart"/>
      <w:r>
        <w:t>Programme</w:t>
      </w:r>
      <w:proofErr w:type="spellEnd"/>
      <w:r>
        <w:t xml:space="preserve"> Finance Initiative UNEP FI Principles for Responsible Banking’s Commitment to Financial Health and Inclusion.</w:t>
      </w:r>
    </w:p>
    <w:p w14:paraId="5E53D30B" w14:textId="77777777" w:rsidR="00977EC2" w:rsidRDefault="00000000">
      <w:r>
        <w:t>Within this commitment, all signature banks need to set targets in respect to financial health and inclusion and need to report on them annually, with the following year thereafter, to ensure transparency on the progress.</w:t>
      </w:r>
    </w:p>
    <w:p w14:paraId="50D43B71" w14:textId="77777777" w:rsidR="00977EC2" w:rsidRDefault="00000000">
      <w:r>
        <w:t>Therefore, Erste Group is actively pursuing initiatives to promote financial inclusion, social banking, financial education, affordable housing, and gender equality.</w:t>
      </w:r>
    </w:p>
    <w:p w14:paraId="78F92DD9" w14:textId="77777777" w:rsidR="00977EC2" w:rsidRDefault="00000000">
      <w:r>
        <w:t xml:space="preserve">For the Social and Governance aspects of ESG, Erste Group has established the following strategic priorities: boosting financial inclusion through social banking, bringing communities closer together, and strengthening social cohesion, helping customers gain </w:t>
      </w:r>
      <w:r>
        <w:lastRenderedPageBreak/>
        <w:t>financial health and literacy, promoting diversity, including gender diversity, and fostering good ethical conduct and compliance, such as through extensive corruption and bribery prevention and detection trainings.</w:t>
      </w:r>
    </w:p>
    <w:p w14:paraId="0A60C8D5" w14:textId="77777777" w:rsidR="00977EC2" w:rsidRDefault="00000000">
      <w:r>
        <w:t>Key risks and opportunities of the relevant social topics in the CEE region translates into our aspirations to enforce the social inclusion, particularly focusing on the following activities: Fostering financial inclusion through our social banking activities, thereby strengthening social cohesion and civil society.</w:t>
      </w:r>
    </w:p>
    <w:p w14:paraId="3E05558B" w14:textId="77777777" w:rsidR="00977EC2" w:rsidRDefault="00000000">
      <w:r>
        <w:t>It became a signatory of the Principles for Responsible Banking, was the first Austrian bank to join the Net Zero Banking Alliance and was a founding member of the Financial Health and Inclusion initiative.</w:t>
      </w:r>
    </w:p>
    <w:p w14:paraId="6DAF77E1" w14:textId="77777777" w:rsidR="00977EC2" w:rsidRDefault="00000000">
      <w:r>
        <w:t>The principles which guide our strategy derive from the Universal Declaration of Human Rights, the ILO Declaration on Fundamental Principles and Rights at Work and the United Nations Convention Against Corruption, amongst others.</w:t>
      </w:r>
    </w:p>
    <w:p w14:paraId="7F96F064" w14:textId="77777777" w:rsidR="00977EC2" w:rsidRDefault="00000000">
      <w:r>
        <w:t>Erste Group is committed to the highest standards of corporate governance and responsible behaviour of every individual and conducts its business in compliance with applicable laws and regulations.</w:t>
      </w:r>
    </w:p>
    <w:p w14:paraId="5C911DB1" w14:textId="77777777" w:rsidR="00977EC2" w:rsidRDefault="00000000">
      <w:r>
        <w:t>Diversity at Erste Group General objectives The purpose of the Group Diversity &amp; Inclusion policy is to outline how Erste Group responds to the societal context in which it operates.</w:t>
      </w:r>
    </w:p>
    <w:p w14:paraId="462D08C2" w14:textId="77777777" w:rsidR="00977EC2" w:rsidRDefault="00000000">
      <w:r>
        <w:t>Moreover, it outlines roles and responsibilities, as well as general guidelines on how to develop, implement, and adjust the diversity and inclusion strategy and targets.</w:t>
      </w:r>
    </w:p>
    <w:p w14:paraId="48B5E52D" w14:textId="77777777" w:rsidR="00977EC2" w:rsidRDefault="00000000">
      <w:r>
        <w:t>Promoting diversity within the organization creates an open and inclusive corporate culture, positively impacting equal opportunities for our employees, allowing them to develop and grow within our organisation regardless of gender.</w:t>
      </w:r>
    </w:p>
    <w:p w14:paraId="0525BC01" w14:textId="77777777" w:rsidR="00977EC2" w:rsidRDefault="00000000">
      <w:r>
        <w:t>Group Diversity develops diversity targets and provides diversity data for annual reports and rating agencies, and ensures communication at Group level, supported by the executive responsible for managing the company’s diversity and inclusion initiatives.</w:t>
      </w:r>
    </w:p>
    <w:p w14:paraId="13AA1EE0" w14:textId="77777777" w:rsidR="00977EC2" w:rsidRDefault="00000000">
      <w:r>
        <w:t>By making basic financial products available to disadvantaged groups through our social banking initiatives, Erste Group contributes to fighting poverty and increasing prosperity.</w:t>
      </w:r>
    </w:p>
    <w:p w14:paraId="006F26CF" w14:textId="77777777" w:rsidR="00977EC2" w:rsidRDefault="00000000">
      <w:r>
        <w:t>One of the measures is to involve its employees in management decisions via representative bodies, in particular in matters that directly affect employees.</w:t>
      </w:r>
    </w:p>
    <w:p w14:paraId="433085DA" w14:textId="77777777" w:rsidR="00977EC2" w:rsidRDefault="00000000">
      <w:r>
        <w:t>By integrating these processes, we ensure that our engagement with counterparties is informed and effective, allowing Erste Group to assess their capacity to manage social risks.</w:t>
      </w:r>
    </w:p>
    <w:p w14:paraId="378BCDF2" w14:textId="10FE1A93" w:rsidR="00977EC2" w:rsidRDefault="00000000">
      <w:r>
        <w:t xml:space="preserve">Involvement of management body is published, for example, in Sustainability Statement </w:t>
      </w:r>
      <w:proofErr w:type="gramStart"/>
      <w:r>
        <w:t xml:space="preserve">2024, </w:t>
      </w:r>
      <w:r w:rsidR="008742C9">
        <w:t xml:space="preserve"> </w:t>
      </w:r>
      <w:r>
        <w:t>Sustainability</w:t>
      </w:r>
      <w:proofErr w:type="gramEnd"/>
      <w:r>
        <w:t xml:space="preserve"> Statement 2024, under the General Information Governance chapter</w:t>
      </w:r>
      <w:r w:rsidR="00895F96">
        <w:t>.</w:t>
      </w:r>
    </w:p>
    <w:p w14:paraId="09688260" w14:textId="77777777" w:rsidR="00977EC2" w:rsidRDefault="00000000">
      <w:r>
        <w:lastRenderedPageBreak/>
        <w:t>The ROCC, in order to facilitate the scope: establishes, implements and maintains relevant group-wide methodologies and risk management standards for non-financial risks and ESG impacts on group level.</w:t>
      </w:r>
    </w:p>
    <w:p w14:paraId="095E5EF7" w14:textId="78D8301C" w:rsidR="00977EC2" w:rsidRDefault="00000000">
      <w:r>
        <w:t>Given that ESG risks are integrated into our current organizational structure, processes, and activities, these topics are managed by the same dedicated full-time employees FTEs.</w:t>
      </w:r>
    </w:p>
    <w:p w14:paraId="046DE527" w14:textId="77777777" w:rsidR="00977EC2" w:rsidRDefault="00000000">
      <w:r>
        <w:t>Erste Group is committed to equal pay for our employees regardless of gender.</w:t>
      </w:r>
    </w:p>
    <w:p w14:paraId="06FCBE39" w14:textId="77777777" w:rsidR="00977EC2" w:rsidRDefault="00000000">
      <w:r>
        <w:t>To achieve this goal, a common method of regression analysis is used within the Group and all entities in scope will be onboarded by a stepby-step approach according to their size.</w:t>
      </w:r>
    </w:p>
    <w:p w14:paraId="291A34E6" w14:textId="77777777" w:rsidR="00977EC2" w:rsidRDefault="00000000">
      <w:r>
        <w:t>The remuneration committee of Erste Group Bank AG will be informed on the Group-wide measures and progress on an annual basis.</w:t>
      </w:r>
    </w:p>
    <w:p w14:paraId="6D6C2B20" w14:textId="77777777" w:rsidR="00977EC2" w:rsidRDefault="00000000">
      <w:r>
        <w:t>These ratings are renewed regularly and focus strongly on social aspects such as human capital, product safety, customer care and accessibility.</w:t>
      </w:r>
    </w:p>
    <w:p w14:paraId="69BF6714" w14:textId="77777777" w:rsidR="00977EC2" w:rsidRDefault="00000000">
      <w:r>
        <w:t>Erste Group conducts an annual materiality assessment of social risks as a key tool to evaluate their significance and determine whether additional risk management measures are necessary.</w:t>
      </w:r>
    </w:p>
    <w:p w14:paraId="6EE25F3A" w14:textId="77777777" w:rsidR="00977EC2" w:rsidRDefault="00000000">
      <w:r>
        <w:t>This assessment ensures a proactive approach to identifying and addressing social risks.</w:t>
      </w:r>
    </w:p>
    <w:p w14:paraId="7D6C22A9" w14:textId="77777777" w:rsidR="00977EC2" w:rsidRDefault="00000000">
      <w:r>
        <w:t>For segments with lower exposures, the main instrument used is the ESG Factor Heatmap, where potential social risk factors, such as human rights, workers’ rights, and customer protection, are taken into account within the industry risk assessment for our regions in the annual process of reviewing the heatmap.</w:t>
      </w:r>
    </w:p>
    <w:p w14:paraId="387AB17E" w14:textId="77777777" w:rsidR="00977EC2" w:rsidRDefault="00000000">
      <w:r>
        <w:t>The ESG Factor Heatmap, used for the assessment of SME clients and smaller real estate transactions, combines the relevance of social factors related to human rights, job safety, workers’ rights, and customer protection.</w:t>
      </w:r>
    </w:p>
    <w:p w14:paraId="55F8119A" w14:textId="77777777" w:rsidR="00977EC2" w:rsidRDefault="00000000">
      <w:r>
        <w:t>The scanning for emerging social risk drivers will also be performed, together with evaluating their influence across the risk management framework.</w:t>
      </w:r>
    </w:p>
    <w:p w14:paraId="28C83131" w14:textId="77777777" w:rsidR="00977EC2" w:rsidRDefault="00000000">
      <w:r>
        <w:t>All these planned enhancements aim to ensure a more comprehensive understanding of social risks and their materiality as they evolve over time.</w:t>
      </w:r>
    </w:p>
    <w:p w14:paraId="2313DC06" w14:textId="7F4E4334" w:rsidR="00977EC2" w:rsidRDefault="00000000">
      <w:r>
        <w:t xml:space="preserve">Relevant harmful socio-environmental activities are translated into exclusion criteria for our business activities, as laid down in the Group Responsible Financing </w:t>
      </w:r>
      <w:proofErr w:type="gramStart"/>
      <w:r>
        <w:t xml:space="preserve">Policy </w:t>
      </w:r>
      <w:r w:rsidR="008742C9">
        <w:t xml:space="preserve"> </w:t>
      </w:r>
      <w:r>
        <w:t>Erste</w:t>
      </w:r>
      <w:proofErr w:type="gramEnd"/>
      <w:r>
        <w:t xml:space="preserve"> Group Responsible Financing Policy.</w:t>
      </w:r>
    </w:p>
    <w:p w14:paraId="4BECA700" w14:textId="77777777" w:rsidR="00977EC2" w:rsidRDefault="00000000">
      <w:r>
        <w:t>The impact of social risk on market risk has been considered for corporate exposure in the Group RMA 2023, based on the inclusion of social and governance components of the ESG Factor Heatmap.</w:t>
      </w:r>
    </w:p>
    <w:p w14:paraId="50CF7627" w14:textId="77777777" w:rsidR="00977EC2" w:rsidRDefault="00000000">
      <w:r>
        <w:lastRenderedPageBreak/>
        <w:t>Social and Governance attributes of the ESG Factor Heatmap are included in the storyline of the physical risk scenario and therefore into the assessment of liquidity risk.</w:t>
      </w:r>
    </w:p>
    <w:p w14:paraId="41F49720" w14:textId="77777777" w:rsidR="00977EC2" w:rsidRDefault="00000000">
      <w:r>
        <w:t>For the credit portfolio, poor human rights, job insecurity, and weak workers’ rights of the bank’s borrowers, for instance, can disrupt business operations, increase compliance costs, reduce the access to capital markets, and increase financing costs.</w:t>
      </w:r>
    </w:p>
    <w:p w14:paraId="5F56821C" w14:textId="3EEC7D9A" w:rsidR="00977EC2" w:rsidRDefault="00000000">
      <w:r>
        <w:t>Similarly, the same social risk drivers may lead to higher credit spreads, market volatility, increased delayed and</w:t>
      </w:r>
      <w:r w:rsidR="00895F96">
        <w:t xml:space="preserve"> </w:t>
      </w:r>
      <w:r>
        <w:t>or reduced payments of loans, increase deposit outflows, and higher funding costs, further exposing the bank to market and liquidity risk.</w:t>
      </w:r>
    </w:p>
    <w:p w14:paraId="14CA640F" w14:textId="77777777" w:rsidR="00977EC2" w:rsidRDefault="00000000">
      <w:r>
        <w:t>This includes ensuring the implementation of the Sustainability Strategy by allocating adequate resources and controls and preparing the consolidated Sustainability Statement.</w:t>
      </w:r>
    </w:p>
    <w:p w14:paraId="336D5EE7" w14:textId="77777777" w:rsidR="00977EC2" w:rsidRDefault="00000000">
      <w:r>
        <w:t>To facilitate this, the Supervisory Board has established its own strategy and sustainability committee.</w:t>
      </w:r>
    </w:p>
    <w:p w14:paraId="05DE9A64" w14:textId="77777777" w:rsidR="00977EC2" w:rsidRDefault="00000000">
      <w:r>
        <w:t>The Supervisory Board is regularly briefed on material IROs and are informed and consulted in the process of setting, reviewing, and adapting targets towards material IROs.</w:t>
      </w:r>
    </w:p>
    <w:p w14:paraId="47D592F8" w14:textId="77777777" w:rsidR="00977EC2" w:rsidRDefault="00000000">
      <w:r>
        <w:t>The Group ESG Office develops key ESG policies, secures in-house expertise on climate, environmental, social and governance objectives, defines the ESG governance framework and financing rules, and selectively intervenes in single transactions.</w:t>
      </w:r>
    </w:p>
    <w:p w14:paraId="6774071D" w14:textId="77777777" w:rsidR="00977EC2" w:rsidRDefault="00000000">
      <w:r>
        <w:t>Additionally, the Group ESG Office ensures transparency on Erste Group’s sustainability impact and coordinates with various stakeholders, including regulatory and public bodies.</w:t>
      </w:r>
    </w:p>
    <w:p w14:paraId="6941C743" w14:textId="77777777" w:rsidR="00977EC2" w:rsidRDefault="00000000">
      <w:r>
        <w:t>Governance arrangements and governance performance of the counterparty are taken into account in the ESG Factor Heatmap and Group Responsible Financing Policy.</w:t>
      </w:r>
    </w:p>
    <w:p w14:paraId="1B864C7A" w14:textId="77777777" w:rsidR="00977EC2" w:rsidRDefault="00000000">
      <w:r>
        <w:t>In the context of our financing and investment operations, Erste Group considers governance performance and its impact on society and the environment in case of non-compliance, in addition to economic consideration.</w:t>
      </w:r>
    </w:p>
    <w:p w14:paraId="0A30B6D2" w14:textId="77777777" w:rsidR="00977EC2" w:rsidRDefault="00000000">
      <w:r>
        <w:t>Business strategy is adapted on a yearly basis, also considering governance risks resulting from our counterparties.</w:t>
      </w:r>
    </w:p>
    <w:p w14:paraId="09E2493E" w14:textId="77777777" w:rsidR="00977EC2" w:rsidRDefault="00000000">
      <w:r>
        <w:t>By integrating these processes, we ensure that our engagement with counterparties is informed and effective and allows Erste Group to assess their capacity to managing governance risks.</w:t>
      </w:r>
    </w:p>
    <w:p w14:paraId="492096C8" w14:textId="77777777" w:rsidR="00977EC2" w:rsidRDefault="00000000">
      <w:r>
        <w:t>Additionally, Erste Group is committed to the principles of the UN Global Compact, which include upholding human rights, labour standards and combating corruption, drawing from key international declarations and conventions.</w:t>
      </w:r>
    </w:p>
    <w:p w14:paraId="02454689" w14:textId="18BA9D82" w:rsidR="00977EC2" w:rsidRDefault="00000000">
      <w:r>
        <w:t xml:space="preserve">Corruption and Bribery – Prevention and Awareness Erste Group’s Policy on </w:t>
      </w:r>
      <w:proofErr w:type="gramStart"/>
      <w:r>
        <w:t>Conflict of Interest</w:t>
      </w:r>
      <w:proofErr w:type="gramEnd"/>
      <w:r>
        <w:t xml:space="preserve"> </w:t>
      </w:r>
      <w:proofErr w:type="spellStart"/>
      <w:r>
        <w:t>CoI</w:t>
      </w:r>
      <w:proofErr w:type="spellEnd"/>
      <w:r>
        <w:t xml:space="preserve"> and Anti-Bribery and Corruption addresses corruption and bribery prevention and detection, including awareness and training.</w:t>
      </w:r>
    </w:p>
    <w:p w14:paraId="36AF9B03" w14:textId="77777777" w:rsidR="00977EC2" w:rsidRDefault="00000000">
      <w:r>
        <w:lastRenderedPageBreak/>
        <w:t>It aims to prevent legal breaches and to protect the company’s reputation through a responsible corporate culture, compliance framework, and employee qualifications.</w:t>
      </w:r>
    </w:p>
    <w:p w14:paraId="09DA8023" w14:textId="77777777" w:rsidR="00977EC2" w:rsidRDefault="00000000">
      <w:r>
        <w:t>In 2025, Erste Group will implement a compliance platform to serve as a central hub for knowledge transfer, enhancing the accessibility and dissemination of critical compliance information.</w:t>
      </w:r>
    </w:p>
    <w:p w14:paraId="1E72721E" w14:textId="77777777" w:rsidR="00977EC2" w:rsidRDefault="00000000">
      <w:r>
        <w:t>The platform will cover conflicts of interest, the Policy on Conflict of Interest and Anti- Bribery and Corruption, important contacts, and training notes.</w:t>
      </w:r>
    </w:p>
    <w:p w14:paraId="2790B39B" w14:textId="1F3A7B16" w:rsidR="00977EC2" w:rsidRDefault="00000000">
      <w:r>
        <w:t xml:space="preserve">Within the risk assessment of loan origination and monitoring process for large corporate and commercial real estate transactions, Erste Group includes an ESG questionnaire-based screening through the Group’s ESG Assessment Questionnaire, detailed in the Environmental risk chapter, sections d and </w:t>
      </w:r>
      <w:proofErr w:type="gramStart"/>
      <w:r>
        <w:t>l,</w:t>
      </w:r>
      <w:r w:rsidR="00895F96">
        <w:t>,</w:t>
      </w:r>
      <w:proofErr w:type="gramEnd"/>
      <w:r w:rsidR="00895F96">
        <w:t xml:space="preserve"> </w:t>
      </w:r>
      <w:r>
        <w:t>respectively 144.</w:t>
      </w:r>
    </w:p>
    <w:p w14:paraId="7546F874" w14:textId="77777777" w:rsidR="00977EC2" w:rsidRDefault="00000000">
      <w:r>
        <w:t>This screening covers governance risks such as governance failure, supply chain management issues, corporate governance, and transparency.</w:t>
      </w:r>
    </w:p>
    <w:p w14:paraId="3EB66E5B" w14:textId="77777777" w:rsidR="00977EC2" w:rsidRDefault="00000000">
      <w:r>
        <w:t>In the corporate rating model, two soft fact questions covering the counterparty’s governance compliance are assessed.</w:t>
      </w:r>
    </w:p>
    <w:p w14:paraId="77B46868" w14:textId="30AF7EB3" w:rsidR="00977EC2" w:rsidRDefault="00000000">
      <w:r>
        <w:t xml:space="preserve">The soft fact reputation </w:t>
      </w:r>
      <w:proofErr w:type="gramStart"/>
      <w:r>
        <w:t>risk</w:t>
      </w:r>
      <w:r w:rsidR="00895F96">
        <w:t xml:space="preserve"> </w:t>
      </w:r>
      <w:r>
        <w:t xml:space="preserve"> explicitly</w:t>
      </w:r>
      <w:proofErr w:type="gramEnd"/>
      <w:r>
        <w:t xml:space="preserve"> asks whether there is a lack of control, such as missing of clear and transparent governance structure for decisionmaking in line with corporate governance guidelines, or unethical behaviour such as fraudulent activity or improper business practices in respect to ESG.</w:t>
      </w:r>
    </w:p>
    <w:p w14:paraId="5F164555" w14:textId="77777777" w:rsidR="00977EC2" w:rsidRDefault="00000000">
      <w:r>
        <w:t>For segments with lower exposures, the main instrument used is the ESG Factor Heatmap, where potential governance risk factors, such as corporate governance, ethical standards and transparency are taken into account within the industry risk assessment for our regions in the annual process of reviewing the heatmap.</w:t>
      </w:r>
    </w:p>
    <w:p w14:paraId="746EA8C4" w14:textId="77777777" w:rsidR="00977EC2" w:rsidRDefault="00000000">
      <w:r>
        <w:t>To further ensure proper management of asset encumbrance throughout the group, an internal governance framework is in place, which includes a Group-wide policy on reporting, steering and limiting the level of asset en- 194 cumbrance on Group and individual entity level.</w:t>
      </w:r>
    </w:p>
    <w:p w14:paraId="544D4DB4" w14:textId="77777777" w:rsidR="00977EC2" w:rsidRDefault="00000000">
      <w:r>
        <w:t>Thus, the risk management framework around macroeconomic risk is implemented under affected key risk types.</w:t>
      </w:r>
    </w:p>
    <w:p w14:paraId="34AADED0" w14:textId="0E6BB98F" w:rsidR="00977EC2" w:rsidRDefault="00000000">
      <w:r>
        <w:t>Capital risk is the risk that bank has an insufficient level and composition of capital to support its business activities and associated risks during normal and stressed conditions, which can be result of, among others, possible erosion of capital as a result of dividend and</w:t>
      </w:r>
      <w:r w:rsidR="00895F96">
        <w:t xml:space="preserve"> </w:t>
      </w:r>
      <w:r>
        <w:t>or remuneration policies, limited access to additional capital due to ownership structure and lack of market access to supplementary capital sources.</w:t>
      </w:r>
    </w:p>
    <w:p w14:paraId="1A32A509" w14:textId="2CABCAF6" w:rsidR="00977EC2" w:rsidRDefault="00000000">
      <w:r>
        <w:t xml:space="preserve">As part of its overall risk management framework, Erste Group is regularly reviewing strategic risk at both Group and local entity levels, reflecting current developments in </w:t>
      </w:r>
      <w:r>
        <w:lastRenderedPageBreak/>
        <w:t>operating environment macroeconomic, geo-political, pandemic, ESG risk, different legal jurisdictions as well as different business strategies and balance sheet structures.</w:t>
      </w:r>
    </w:p>
    <w:p w14:paraId="23F20B16" w14:textId="77777777" w:rsidR="00977EC2" w:rsidRDefault="00000000">
      <w:r>
        <w:t>Erste Group establishes an appropriate framework for identifying, assessing, measuring and monitoring Compliance risk, including regulatory compliance risk, in line with the institution’s size and complexity.</w:t>
      </w:r>
    </w:p>
    <w:p w14:paraId="17A0030B" w14:textId="77777777" w:rsidR="00977EC2" w:rsidRDefault="00000000">
      <w:r>
        <w:t>In addition, Erste Group is committed to being compliant with all applicable laws, regulations, guidelines, and standards applicable in the jurisdictions it operates in, to maintain a solid relationship of trust with all stakeholders and avoid penalties.</w:t>
      </w:r>
    </w:p>
    <w:p w14:paraId="70A16B60" w14:textId="77777777" w:rsidR="00977EC2" w:rsidRDefault="00000000">
      <w:r>
        <w:t>The framework and applied controls are reviewed regularly at both Group and local entity levels, reflecting current developments.</w:t>
      </w:r>
    </w:p>
    <w:p w14:paraId="7BA12C6B" w14:textId="77777777" w:rsidR="00977EC2" w:rsidRDefault="00000000">
      <w:r>
        <w:t>To support the execution of such operating model, Erste Group has in place a number of policies which regulate its model risk governance, management and oversight.</w:t>
      </w:r>
    </w:p>
    <w:p w14:paraId="7132104F" w14:textId="77777777" w:rsidR="00977EC2" w:rsidRDefault="00000000">
      <w:r>
        <w:t>The operating model of Erste Group related to credit risk model governance is centred around the following principles: a subsidiarity model for development to balance development effort and to foster local ownership, while retaining central oversight and group-wide methodological approaches.</w:t>
      </w:r>
    </w:p>
    <w:p w14:paraId="28A8A841" w14:textId="77777777" w:rsidR="00977EC2" w:rsidRDefault="00000000">
      <w:r>
        <w:t>It describes the framework for model risk management within the market risk area.</w:t>
      </w:r>
    </w:p>
    <w:p w14:paraId="694B7B56" w14:textId="77777777" w:rsidR="00977EC2" w:rsidRDefault="00000000">
      <w:r>
        <w:t>Apart from group processes the policy also outlines the process for local model development and validation.</w:t>
      </w:r>
    </w:p>
    <w:p w14:paraId="0FC77527" w14:textId="2FD1955B" w:rsidR="00977EC2" w:rsidRDefault="00000000">
      <w:r>
        <w:t xml:space="preserve">The model was developed in compliance with the RTS on </w:t>
      </w:r>
      <w:proofErr w:type="spellStart"/>
      <w:r>
        <w:t>AMAfor</w:t>
      </w:r>
      <w:proofErr w:type="spellEnd"/>
      <w:r>
        <w:t xml:space="preserve"> operational risk EBA</w:t>
      </w:r>
      <w:r w:rsidR="00895F96">
        <w:t xml:space="preserve"> </w:t>
      </w:r>
      <w:r>
        <w:t>RTS</w:t>
      </w:r>
      <w:r w:rsidR="00895F96">
        <w:t xml:space="preserve"> </w:t>
      </w:r>
      <w:r>
        <w:t>2015</w:t>
      </w:r>
      <w:r w:rsidR="00895F96">
        <w:t xml:space="preserve"> </w:t>
      </w:r>
      <w:r>
        <w:t>02, and is subject to an independent yearly model validation, as outlined in the AMA Model Validation concept.</w:t>
      </w:r>
    </w:p>
    <w:sectPr w:rsidR="00977E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86993822">
    <w:abstractNumId w:val="8"/>
  </w:num>
  <w:num w:numId="2" w16cid:durableId="27144120">
    <w:abstractNumId w:val="6"/>
  </w:num>
  <w:num w:numId="3" w16cid:durableId="782963879">
    <w:abstractNumId w:val="5"/>
  </w:num>
  <w:num w:numId="4" w16cid:durableId="100731567">
    <w:abstractNumId w:val="4"/>
  </w:num>
  <w:num w:numId="5" w16cid:durableId="228463072">
    <w:abstractNumId w:val="7"/>
  </w:num>
  <w:num w:numId="6" w16cid:durableId="2100635561">
    <w:abstractNumId w:val="3"/>
  </w:num>
  <w:num w:numId="7" w16cid:durableId="54012567">
    <w:abstractNumId w:val="2"/>
  </w:num>
  <w:num w:numId="8" w16cid:durableId="1644313088">
    <w:abstractNumId w:val="1"/>
  </w:num>
  <w:num w:numId="9" w16cid:durableId="396905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BD3"/>
    <w:rsid w:val="004F5755"/>
    <w:rsid w:val="008742C9"/>
    <w:rsid w:val="00895F96"/>
    <w:rsid w:val="00977EC2"/>
    <w:rsid w:val="00AA1D8D"/>
    <w:rsid w:val="00B47730"/>
    <w:rsid w:val="00CB0664"/>
    <w:rsid w:val="00DB6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5CA7D"/>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7874</Words>
  <Characters>44886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2025-08-03T17:29:00Z</dcterms:modified>
  <cp:category/>
</cp:coreProperties>
</file>