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28438" w14:textId="2DC10CA5" w:rsidR="008F7185" w:rsidRDefault="00000000">
      <w:r>
        <w:t>Apart from the general geopolitical climate, which other topics are a key focus for RBI</w:t>
      </w:r>
      <w:r w:rsidR="00D0461E">
        <w:t>.</w:t>
      </w:r>
    </w:p>
    <w:p w14:paraId="4F1748BC" w14:textId="77777777" w:rsidR="008F7185" w:rsidRDefault="00000000">
      <w:r>
        <w:t xml:space="preserve">Many companies have recognized the urgent need to strengthen their sustainability efforts </w:t>
      </w:r>
      <w:proofErr w:type="gramStart"/>
      <w:r>
        <w:t>in order to</w:t>
      </w:r>
      <w:proofErr w:type="gramEnd"/>
      <w:r>
        <w:t xml:space="preserve"> minimize environmental impact, assume social responsibility and ensure long-term business stability.</w:t>
      </w:r>
    </w:p>
    <w:p w14:paraId="4B4E3FD2" w14:textId="77777777" w:rsidR="008F7185" w:rsidRDefault="00000000">
      <w:r>
        <w:t>They offer sustainable financial products, support companies in integrating ESG criteria into their business strategies, and act as a bridge to sustainability-oriented investors.</w:t>
      </w:r>
    </w:p>
    <w:p w14:paraId="13F327DE" w14:textId="77777777" w:rsidR="008F7185" w:rsidRDefault="00000000">
      <w:r>
        <w:t>Of course, we are also endeavoring to continuously improve our own sustainability and can demonstrate good successes.</w:t>
      </w:r>
    </w:p>
    <w:p w14:paraId="724D3B8C" w14:textId="77777777" w:rsidR="008F7185" w:rsidRDefault="00000000">
      <w:r>
        <w:t>The platform also offers convenient functions, such as eKYC and eSignature, which support the onboarding of customers.</w:t>
      </w:r>
    </w:p>
    <w:p w14:paraId="17F26A24" w14:textId="77777777" w:rsidR="008F7185" w:rsidRDefault="00000000">
      <w:r>
        <w:t>Thirdly, AI will increase the effectiveness and productivity of managers and employees at the individual level.</w:t>
      </w:r>
    </w:p>
    <w:p w14:paraId="49DE995B" w14:textId="77777777" w:rsidR="008F7185" w:rsidRDefault="00000000">
      <w:r>
        <w:t>This is a significant increase on the previous year, but a strong capitalization is also very important in such a climate.</w:t>
      </w:r>
    </w:p>
    <w:p w14:paraId="7BAE0D53" w14:textId="77777777" w:rsidR="008F7185" w:rsidRDefault="00000000">
      <w:r>
        <w:t>In 2023, the focus of the Supervisory Board again laid on evaluating the impact of Russias war of aggression against Ukraine, including in particular its macroeconomic consequences and RBIs strategic positioning.</w:t>
      </w:r>
    </w:p>
    <w:p w14:paraId="5F421E1D" w14:textId="77777777" w:rsidR="008F7185" w:rsidRDefault="00000000">
      <w:r>
        <w:t>Other important topics included monitoring the digital transformation and adherence to compliance measures, with a particular focus on compliance with financial sanctions, as well as the risk policy.</w:t>
      </w:r>
    </w:p>
    <w:p w14:paraId="068A2D35" w14:textId="77777777" w:rsidR="008F7185" w:rsidRDefault="00000000">
      <w:r>
        <w:t>Here, the Supervisory Board gave special attention to RBIs risk policy for commercial properties, as well as to the allocations to provisions in connection with foreign-currency mortgage loans in Poland.</w:t>
      </w:r>
    </w:p>
    <w:p w14:paraId="7DF50897" w14:textId="77777777" w:rsidR="008F7185" w:rsidRDefault="00000000">
      <w:r>
        <w:t>The Supervisory Board monitored and supported RBIs activities in the field of sustainability and diversity.</w:t>
      </w:r>
    </w:p>
    <w:p w14:paraId="3C578DDB" w14:textId="77777777" w:rsidR="008F7185" w:rsidRDefault="00000000">
      <w:r>
        <w:t>In addition, in 2023 the Supervisory Board was involved in the strategy process and in monitoring the Strategic Roadmap for achieving RBIs Vision &amp; Mission.</w:t>
      </w:r>
    </w:p>
    <w:p w14:paraId="05E9CDEC" w14:textId="77777777" w:rsidR="008F7185" w:rsidRDefault="00000000">
      <w:r>
        <w:t>The Supervisory Board supports the new business strategy, which aims to improve the customer experience, reduce costs and achieve a sustainable strengthening of the financial result.</w:t>
      </w:r>
    </w:p>
    <w:p w14:paraId="758D9585" w14:textId="77777777" w:rsidR="008F7185" w:rsidRDefault="00000000">
      <w:r>
        <w:t>The Supervisory Board supports RBIs foresighted, proactive and prudent risk policy in all business areas, including in particular in respect to commercial properties.</w:t>
      </w:r>
    </w:p>
    <w:p w14:paraId="53AE17C3" w14:textId="77777777" w:rsidR="008F7185" w:rsidRDefault="00000000">
      <w:r>
        <w:lastRenderedPageBreak/>
        <w:t>During the financial year, the Supervisory Board intensively discussed the efficiency and implementation of the internal compliance measures as well as the corresponding rules and procedures.</w:t>
      </w:r>
    </w:p>
    <w:p w14:paraId="58D264D6" w14:textId="77777777" w:rsidR="008F7185" w:rsidRDefault="00000000">
      <w:r>
        <w:t>Special focus was placed on the internal sanctions management process and on diligent compliance with the EU and US provisions on financial sanctions.</w:t>
      </w:r>
    </w:p>
    <w:p w14:paraId="1A734D25" w14:textId="77777777" w:rsidR="008F7185" w:rsidRDefault="00000000">
      <w:r>
        <w:t>In the regular compliance updates, the Supervisory Board and its committees were provided with detailed information on the measures to combat money laundering and on other current compliance issues.</w:t>
      </w:r>
    </w:p>
    <w:p w14:paraId="54635164" w14:textId="77777777" w:rsidR="008F7185" w:rsidRDefault="00000000">
      <w:r>
        <w:t>The Audit Committee also placed a special focus on auditing the internal control system and Group-wide compliance management.</w:t>
      </w:r>
    </w:p>
    <w:p w14:paraId="01365814" w14:textId="77777777" w:rsidR="008F7185" w:rsidRDefault="00000000">
      <w:r>
        <w:t>The Nomination Committee carefully monitored the measures and progress made with regard to achieving the target quota for the underrepresented gender and other aspects of diversity.</w:t>
      </w:r>
    </w:p>
    <w:p w14:paraId="1CDD9637" w14:textId="77777777" w:rsidR="008F7185" w:rsidRDefault="00000000">
      <w:r>
        <w:t>This ensured optimum preparation of the basis for assessment and decision-making for the members of the Supervisory Board and its committees.</w:t>
      </w:r>
    </w:p>
    <w:p w14:paraId="7BD87021" w14:textId="77777777" w:rsidR="008F7185" w:rsidRDefault="00000000">
      <w:r>
        <w:t>Training and professional development measures In 2023, the members of the Supervisory Board undertook the training and professional development measures required for their roles, for which adequate support from RBI was received.</w:t>
      </w:r>
    </w:p>
    <w:p w14:paraId="39529784" w14:textId="77777777" w:rsidR="008F7185" w:rsidRDefault="00000000">
      <w:r>
        <w:t>Additional updates were provided on current developments within the EU in the field of digitalization, on the legal and regulatory framework conditions for credit limit management, as well as on international clearing, settlement and payment services taking into account the sanction regime.</w:t>
      </w:r>
    </w:p>
    <w:p w14:paraId="308B65DE" w14:textId="77777777" w:rsidR="008F7185" w:rsidRDefault="00000000">
      <w:r>
        <w:t>A sound capital base and a prudent, proactive and forward-looking risk strategy will remain the basic prerequisites for further development, in order to overcome challenges resulting from the macroeconomic environment and their possible consequences for RBIs business.</w:t>
      </w:r>
    </w:p>
    <w:p w14:paraId="6ECFB0FD" w14:textId="77777777" w:rsidR="008F7185" w:rsidRDefault="00000000">
      <w:r>
        <w:t>The implementation of the new business strategy will also form a focus for the Supervisory Board in 2024.</w:t>
      </w:r>
    </w:p>
    <w:p w14:paraId="30C5D4B8" w14:textId="77777777" w:rsidR="008F7185" w:rsidRDefault="00000000">
      <w:r>
        <w:t>The Supervisory Board will continue to support the expansion of digital capability, with the aim of responding flexibly and innovatively to the needs of customers in fast changing times.</w:t>
      </w:r>
    </w:p>
    <w:p w14:paraId="307E6598" w14:textId="77777777" w:rsidR="008F7185" w:rsidRDefault="00000000">
      <w:r>
        <w:t>Strong IT risk management is crucially important in order to guarantee the security and processing of customer data and ensure stable banking operations.</w:t>
      </w:r>
    </w:p>
    <w:p w14:paraId="7C0C4E62" w14:textId="77777777" w:rsidR="008F7185" w:rsidRDefault="00000000">
      <w:r>
        <w:t>In 2024, the Supervisory Board will therefore continue to focus on sustainability issues and support the expansion of activities in this area.</w:t>
      </w:r>
    </w:p>
    <w:p w14:paraId="7F280174" w14:textId="77777777" w:rsidR="008F7185" w:rsidRDefault="00000000">
      <w:r>
        <w:lastRenderedPageBreak/>
        <w:t>In view of the change in the legal and regulatory framework and implementation of an institutional protection scheme, the RKÖ and its respective member institutions decided in 2019 to discontinue the scheme for new transactions.</w:t>
      </w:r>
    </w:p>
    <w:p w14:paraId="3CCCC916" w14:textId="77777777" w:rsidR="008F7185" w:rsidRDefault="00000000">
      <w:r>
        <w:t>Speed &amp; Adaptability Timeliness in reacting to rapidly changing market developments is a crucial part of RBIs competitive position, with speed and adaptability playing a large part in delivering business impact.</w:t>
      </w:r>
    </w:p>
    <w:p w14:paraId="174B13E8" w14:textId="77777777" w:rsidR="008F7185" w:rsidRDefault="00000000">
      <w:r>
        <w:t>In addition, this structure will enable the optimization of processes to ensure the ability to adapt more quickly to changing customer demands and market developments.</w:t>
      </w:r>
    </w:p>
    <w:p w14:paraId="364766A0" w14:textId="77777777" w:rsidR="008F7185" w:rsidRDefault="00000000">
      <w:r>
        <w:t>Supporting leadership development measures will ensure that RBI has conscious and effective leaders who encourage people to use their full potential and perform at their best.</w:t>
      </w:r>
    </w:p>
    <w:p w14:paraId="6C38DC91" w14:textId="77777777" w:rsidR="008F7185" w:rsidRDefault="00000000">
      <w:r>
        <w:t>The discussions held with investors and analysts in 2023 continued to focus on the situation in Ukraine and developments in Russia, their potential impact on RBI, and questions relating to the intended separation from the Russian subsidiary bank.</w:t>
      </w:r>
    </w:p>
    <w:p w14:paraId="5C729BB6" w14:textId="77777777" w:rsidR="008F7185" w:rsidRDefault="00000000">
      <w:r>
        <w:t>RBI rating In order to ensure an accurate assessment, RBI maintains regular contact with rating agency analysts and informs them about current developments in its business.</w:t>
      </w:r>
    </w:p>
    <w:p w14:paraId="33CC8AAE" w14:textId="77777777" w:rsidR="008F7185" w:rsidRDefault="00000000">
      <w:r>
        <w:t>RBI attaches great importance to responsible and transparent business management in order to maintain the understanding and confidence of its various stakeholders not least of capital market participants.</w:t>
      </w:r>
    </w:p>
    <w:p w14:paraId="48F10ED3" w14:textId="77777777" w:rsidR="008F7185" w:rsidRDefault="00000000">
      <w:r>
        <w:t>Hence, RBI is committed to adhering to the Austrian Corporate Governance Code ACGC, or the Code as laid out in the version dated January 2023.</w:t>
      </w:r>
    </w:p>
    <w:p w14:paraId="62D297C8" w14:textId="77777777" w:rsidR="008F7185" w:rsidRDefault="00000000">
      <w:r>
        <w:t>With the Code of Conduct, RBI commits itself to sustainable corporate management and the associated social and environmental responsibilities.</w:t>
      </w:r>
    </w:p>
    <w:p w14:paraId="4415B969" w14:textId="77777777" w:rsidR="008F7185" w:rsidRDefault="00000000">
      <w:r>
        <w:t>To ensure this, all RBI governance documents must be in accordance with the principles laid out in the RBI Code of Conduct.</w:t>
      </w:r>
    </w:p>
    <w:p w14:paraId="1076BE40" w14:textId="77777777" w:rsidR="008F7185" w:rsidRDefault="00000000">
      <w:r>
        <w:t>Building on the regulatory requirements and the Code of Conduct, the Group internal policies &amp; processes ensure compliant behavior.</w:t>
      </w:r>
    </w:p>
    <w:p w14:paraId="366D4D34" w14:textId="77777777" w:rsidR="008F7185" w:rsidRDefault="00000000">
      <w:r>
        <w:t>They make up RBIs company law and their documentation and ongoing implementation are essential prerequisites for compliance with legal requirements.</w:t>
      </w:r>
    </w:p>
    <w:p w14:paraId="1A37A753" w14:textId="77777777" w:rsidR="008F7185" w:rsidRDefault="00000000">
      <w:r>
        <w:t>The remuneration report and the remuneration policy will be submitted to the Annual General Meeting on 4 April 2024 for approval and published on the RBI website in good time before the Annual General Meeting.</w:t>
      </w:r>
    </w:p>
    <w:p w14:paraId="641AD00D" w14:textId="77777777" w:rsidR="008F7185" w:rsidRDefault="00000000">
      <w:r>
        <w:t>In accordance with C Rule 62 of the ACGC, RBI AG commissioned Deloitte Audit Wirtschaftsprüfungs GmbH, Vienna Deloitte to conduct an external evaluation of compliance with the C Rules of the ACGC.</w:t>
      </w:r>
    </w:p>
    <w:p w14:paraId="73AC65B3" w14:textId="77777777" w:rsidR="008F7185" w:rsidRDefault="00000000">
      <w:r>
        <w:lastRenderedPageBreak/>
        <w:t>In addition to serving as the Chairwoman of the Audit Committee, Eva Eberhartinger, in her main position, chairs the Tax Management division at the Institute for Accounting &amp; Auditing at the Vienna University of Economics and Business, and from 2006 to 2011 was the universitys Vice Rector for Finance, Accounting and Controlling.</w:t>
      </w:r>
    </w:p>
    <w:p w14:paraId="37C68235" w14:textId="77777777" w:rsidR="008F7185" w:rsidRDefault="00000000">
      <w:r>
        <w:t>In addition, the division is responsible for the further development and improvement of the controlling system environment within RBI and handles controlling at head office.</w:t>
      </w:r>
    </w:p>
    <w:p w14:paraId="557E0099" w14:textId="77777777" w:rsidR="008F7185" w:rsidRDefault="00000000">
      <w:r>
        <w:t>CIB Customer Coverage is responsible for supporting corporate and institutional clients as well as for all onboarding and KYC activities.</w:t>
      </w:r>
    </w:p>
    <w:p w14:paraId="5DE9C326" w14:textId="77777777" w:rsidR="008F7185" w:rsidRDefault="00000000">
      <w:r>
        <w:t>To achieve this, the Customer Data Services division was integrated from the COOCIO into CIB Mid-Office, which covers all mid-office activities, including account opening, KYC onboarding and the verification and maintenance of customer data.</w:t>
      </w:r>
    </w:p>
    <w:p w14:paraId="6BF07347" w14:textId="77777777" w:rsidR="008F7185" w:rsidRDefault="00000000">
      <w:r>
        <w:t>Regulatory topics in this context included ongoing updates on auditing, compliance and internal rules and regulations.</w:t>
      </w:r>
    </w:p>
    <w:p w14:paraId="028348E8" w14:textId="77777777" w:rsidR="008F7185" w:rsidRDefault="00000000">
      <w:r>
        <w:t>To achieve this goal, cloud migration, the introduction of leaner, more standardized IT governance and the use of artificial intelligence are being accelerated.</w:t>
      </w:r>
    </w:p>
    <w:p w14:paraId="0190A528" w14:textId="77777777" w:rsidR="008F7185" w:rsidRDefault="00000000">
      <w:r>
        <w:t>The establishment of Raiffeisen Digital Bank advances the goal of continuing to actively promote the digital service and product offering for retail customers and reflects market developments.</w:t>
      </w:r>
    </w:p>
    <w:p w14:paraId="251C9DD7" w14:textId="77777777" w:rsidR="008F7185" w:rsidRDefault="00000000">
      <w:r>
        <w:t>In 2023, discussions focused on the prevention of money laundering and terrorist financing as well as financial sanctions, particularly with regard to full compliance with European and international sanctions packages.</w:t>
      </w:r>
    </w:p>
    <w:p w14:paraId="55E01551" w14:textId="77777777" w:rsidR="008F7185" w:rsidRDefault="00000000">
      <w:r>
        <w:t>In 2023, RBI introduced a Climate &amp; Environment business strategy that aims to bring the statement of financial position in line with the climate goals of the Paris Agreement by integrating climate and environmental factors into financial, risk and operational management considerations and resource allocations.</w:t>
      </w:r>
    </w:p>
    <w:p w14:paraId="109EB7D2" w14:textId="77777777" w:rsidR="008F7185" w:rsidRDefault="00000000">
      <w:r>
        <w:t>Corporate, retail and institutional clients are provided with expertise through RBI's Group-wide ESG Competence Center and ESG Expert Network, and are offered tailored and innovative products to support their climate and environmental transformation.</w:t>
      </w:r>
    </w:p>
    <w:p w14:paraId="33FE9C47" w14:textId="77777777" w:rsidR="008F7185" w:rsidRDefault="00000000">
      <w:r>
        <w:t>RBI translated its climate &amp; environment efforts into ESG procedures, policies and an appropriate governance structure e.</w:t>
      </w:r>
    </w:p>
    <w:p w14:paraId="49BE10FB" w14:textId="77777777" w:rsidR="008F7185" w:rsidRDefault="00000000">
      <w:r>
        <w:t>Through the development of an ESG risk framework, sectoral guidelines for specific industries, prevention of greenwashing, ESG trainings and seminars.</w:t>
      </w:r>
    </w:p>
    <w:p w14:paraId="1B9E4813" w14:textId="77777777" w:rsidR="008F7185" w:rsidRDefault="00000000">
      <w:r>
        <w:t>The Supervisory Board was also involved in the annual strategy review.</w:t>
      </w:r>
    </w:p>
    <w:p w14:paraId="223FC10B" w14:textId="77777777" w:rsidR="008F7185" w:rsidRDefault="00000000">
      <w:r>
        <w:lastRenderedPageBreak/>
        <w:t>The Supervisory Board received detailed information on RBIs earnings, liquidity, risk and capital situation with and without the Russian unit as part of regular reporting on business developments.</w:t>
      </w:r>
    </w:p>
    <w:p w14:paraId="02DD890F" w14:textId="77777777" w:rsidR="008F7185" w:rsidRDefault="00000000">
      <w:r>
        <w:t>Regular compliance updates provided the Supervisory Board and its committees with detailed information about current compliance issues, particularly with regard to financial sanctions and combating money laundering.</w:t>
      </w:r>
    </w:p>
    <w:p w14:paraId="07DFB18F" w14:textId="77777777" w:rsidR="008F7185" w:rsidRDefault="00000000">
      <w:r>
        <w:t>The Supervisory Board was also informed at regular intervals about the status of IT security and the initiatives taken within the Group.</w:t>
      </w:r>
    </w:p>
    <w:p w14:paraId="2BAB7BC4" w14:textId="77777777" w:rsidR="008F7185" w:rsidRDefault="00000000">
      <w:r>
        <w:t>There were additional updates on current developments within the EU in the field of digitalization, on the legal and regulatory framework conditions for credit limit management, as well as on international clearing, settlement and payment services taking into account the sanction regime.</w:t>
      </w:r>
    </w:p>
    <w:p w14:paraId="6CB7DD3E" w14:textId="77777777" w:rsidR="008F7185" w:rsidRDefault="00000000">
      <w:r>
        <w:t>In addition, the Risk Committee discusses relevant metrics and tolerances regarding the Groups risk appetite, with due consideration given to budgeting and strategy.</w:t>
      </w:r>
    </w:p>
    <w:p w14:paraId="64AF7651" w14:textId="77777777" w:rsidR="008F7185" w:rsidRDefault="00000000">
      <w:r>
        <w:t>Furthermore, the Risk Committee is also responsible for examining whether adequate consideration is given to the business model and risk strategy in the pricing of the services and products offered.</w:t>
      </w:r>
    </w:p>
    <w:p w14:paraId="3A5ADAF7" w14:textId="77777777" w:rsidR="008F7185" w:rsidRDefault="00000000">
      <w:r>
        <w:t>The Risk Committee addressed regular updates on the compliance risk profile, particularly with regard to anti-money laundering and sanctions management.</w:t>
      </w:r>
    </w:p>
    <w:p w14:paraId="4A8F11E4" w14:textId="77777777" w:rsidR="008F7185" w:rsidRDefault="00000000">
      <w:r>
        <w:t>It also focused on the monitoring of IT risk management and the resilience of IT infrastructure, which were also the subject of regular reporting.</w:t>
      </w:r>
    </w:p>
    <w:p w14:paraId="6DAE41B3" w14:textId="77777777" w:rsidR="008F7185" w:rsidRDefault="00000000">
      <w:r>
        <w:t>All these activities were consistently focused on ensuring forward-looking, prudent and proactive risk management.</w:t>
      </w:r>
    </w:p>
    <w:p w14:paraId="511B631E" w14:textId="77777777" w:rsidR="008F7185" w:rsidRDefault="00000000">
      <w:r>
        <w:t>It issues recommendations for improving reliability and supervises the effectiveness of the companys internal control, audit and risk management systems.</w:t>
      </w:r>
    </w:p>
    <w:p w14:paraId="22B64FBD" w14:textId="77777777" w:rsidR="008F7185" w:rsidRDefault="00000000">
      <w:r>
        <w:t>It also examines the Management Boards proposal for earnings appropriation and the Corporate Governance Report.</w:t>
      </w:r>
    </w:p>
    <w:p w14:paraId="471DD755" w14:textId="77777777" w:rsidR="008F7185" w:rsidRDefault="00000000">
      <w:r>
        <w:t>The Audit Committee also devotes attention to the accounting framework and discusses the implementation of necessary projects.</w:t>
      </w:r>
    </w:p>
    <w:p w14:paraId="5EDAB144" w14:textId="7DCD9340" w:rsidR="008F7185" w:rsidRDefault="00000000">
      <w:r>
        <w:t xml:space="preserve">Regarding ESG, there were updates on the business strategy for climate and the environment, on RBIs ESG financial steering and on the </w:t>
      </w:r>
      <w:proofErr w:type="gramStart"/>
      <w:r>
        <w:t>current status</w:t>
      </w:r>
      <w:proofErr w:type="gramEnd"/>
      <w:r>
        <w:t xml:space="preserve"> of preparations for reporting in accordance with the new Corporate Sustainability Reporting Directive.</w:t>
      </w:r>
    </w:p>
    <w:p w14:paraId="06CF724C" w14:textId="77777777" w:rsidR="008F7185" w:rsidRDefault="00000000">
      <w:r>
        <w:t>To assess the quality of the audit and auditor of the financial statements, the Chairwoman of the Audit Committee worked with the Finance division to develop a questionnaire to record indicators for assessing audit quality.</w:t>
      </w:r>
    </w:p>
    <w:p w14:paraId="5F6072FF" w14:textId="77777777" w:rsidR="008F7185" w:rsidRDefault="00000000">
      <w:r>
        <w:lastRenderedPageBreak/>
        <w:t>In addition to the Audit Committees regular annual monitoring activities, there were regular updates on business developments in the 2023 financial year which addressed the financial performance, development of the lending business and the impact of current geopolitical circumstances on RBI.</w:t>
      </w:r>
    </w:p>
    <w:p w14:paraId="122892FB" w14:textId="77777777" w:rsidR="008F7185" w:rsidRDefault="00000000">
      <w:r>
        <w:t>The Remuneration Committees responsibilities include, first and foremost, establishing guidelines for the companys remuneration policies and practices, particularly on the basis of the BWG, as well as relevant sections of the ACGC.</w:t>
      </w:r>
    </w:p>
    <w:p w14:paraId="399B61B4" w14:textId="77777777" w:rsidR="008F7185" w:rsidRDefault="00000000">
      <w:r>
        <w:t>The Remuneration Committee is also responsible for annually approving the proposed list of employees and functions which have a material impact on the risk profile of the Group andor company.</w:t>
      </w:r>
    </w:p>
    <w:p w14:paraId="19000AEA" w14:textId="77777777" w:rsidR="008F7185" w:rsidRDefault="00000000">
      <w:r>
        <w:t>The Nomination Committee evaluates potential candidates based on a description of the duties entailed and, after conducting an appropriate Fit &amp; Proper assessment, issues recommendations for filling the board vacancy, giving consideration to the balance and diversity of knowledge, skills and experience of all members of the governing body in question.</w:t>
      </w:r>
    </w:p>
    <w:p w14:paraId="31AF624A" w14:textId="77777777" w:rsidR="008F7185" w:rsidRDefault="00000000">
      <w:r>
        <w:t>To this end, the Nomination Committee evaluates the selection of key function holders, the guiding principles of executive selection and development, succession planning and the policies and steps taken for filling upper management positions.</w:t>
      </w:r>
    </w:p>
    <w:p w14:paraId="305A7BF6" w14:textId="77777777" w:rsidR="008F7185" w:rsidRDefault="00000000">
      <w:r>
        <w:t>For details, please see the chapter describing the diversity strategy.</w:t>
      </w:r>
    </w:p>
    <w:p w14:paraId="1A52665C" w14:textId="77777777" w:rsidR="008F7185" w:rsidRDefault="00000000">
      <w:r>
        <w:t>The primary basis for the non-financial performance criteria are the goals of the Vision Mission 2025, particularly sustainability targets.</w:t>
      </w:r>
    </w:p>
    <w:p w14:paraId="662D90AA" w14:textId="77777777" w:rsidR="008F7185" w:rsidRDefault="00000000">
      <w:r>
        <w:t>It is also responsible for monitoring the execution of the digitalization strategy as well as the progress made in the digital transformation and for regularly reporting on this to the Supervisory Board.</w:t>
      </w:r>
    </w:p>
    <w:p w14:paraId="7D13C144" w14:textId="77777777" w:rsidR="008F7185" w:rsidRDefault="00000000">
      <w:r>
        <w:t>The issues focused on developments in artificial intelligence and their impact and potential use cases in the financial services sector.</w:t>
      </w:r>
    </w:p>
    <w:p w14:paraId="79EA430A" w14:textId="77777777" w:rsidR="008F7185" w:rsidRDefault="00000000">
      <w:r>
        <w:t>In addition to fulfilling his duties to ensure the smooth functioning of the Supervisory Boards activities, the Chairman of the Supervisory Board also has external public-facing roles, such as chairing the Annual General Meeting.</w:t>
      </w:r>
    </w:p>
    <w:p w14:paraId="2B1AC1B5" w14:textId="77777777" w:rsidR="008F7185" w:rsidRDefault="00000000">
      <w:r>
        <w:t>This principle applies across all areas of human resource management, from employee selection to salaries all the way to appraisals and career development.</w:t>
      </w:r>
    </w:p>
    <w:p w14:paraId="3C8605F6" w14:textId="77777777" w:rsidR="008F7185" w:rsidRDefault="00000000">
      <w:r>
        <w:t>The RBI Group diversity and inclusion policy defines RBIs attitude, roles and responsibility with regard to diversity and establishes the principle of implementing a diversity strategy at RBI.</w:t>
      </w:r>
    </w:p>
    <w:p w14:paraId="7C9F7399" w14:textId="77777777" w:rsidR="008F7185" w:rsidRDefault="00000000">
      <w:r>
        <w:lastRenderedPageBreak/>
        <w:t>The work and family audit is a customized certification process for companies that is designed to provide support for the definition, evaluation and targeted execution of family-friendly measures.</w:t>
      </w:r>
    </w:p>
    <w:p w14:paraId="0C22AE7E" w14:textId="77777777" w:rsidR="008F7185" w:rsidRDefault="00000000">
      <w:r>
        <w:t>For example, unconscious bias was added to the basic leadership training course to support the new managers at head office.</w:t>
      </w:r>
    </w:p>
    <w:p w14:paraId="298CDFA2" w14:textId="77777777" w:rsidR="008F7185" w:rsidRDefault="00000000">
      <w:r>
        <w:t>It includes establishing an internal office for the Group-wide recruitment of managers in order to achieve multiple aims, including the execution of the diversity and inclusion strategy.</w:t>
      </w:r>
    </w:p>
    <w:p w14:paraId="1C6C04BF" w14:textId="77777777" w:rsidR="008F7185" w:rsidRDefault="00000000">
      <w:r>
        <w:t>Each recruitment agency is carefully evaluated, including with regard to its diversity and inclusion strategy and its ability to reach a broad, diverse pool of applicants for a vacant position.</w:t>
      </w:r>
    </w:p>
    <w:p w14:paraId="76FEE462" w14:textId="77777777" w:rsidR="008F7185" w:rsidRDefault="00000000">
      <w:r>
        <w:t>The policy also gives due consideration to the EBAs guidelines on internal governance, the joint European Securities and Markets AuthorityEBA guidelines on the assessment of the suitability of members of management bodies and key function holders, the European Central Banks guide to fit and proper assessments, and the Basel Committee on Banking Supervisions corporate governance principles for banks.</w:t>
      </w:r>
    </w:p>
    <w:p w14:paraId="2B8C6B01" w14:textId="77777777" w:rsidR="008F7185" w:rsidRDefault="00000000">
      <w:r>
        <w:t>Due consideration is always given to how factors that affect information security change, the threat landscape, technology, the regulatory environment, the corporate strategy, etc.</w:t>
      </w:r>
    </w:p>
    <w:p w14:paraId="44F1D251" w14:textId="77777777" w:rsidR="008F7185" w:rsidRDefault="00000000">
      <w:r>
        <w:t>The scope of the certificate covers core banking processes, mission-critical support processes, banking products, the requisite IT infrastructure, locations and employees as well as security management for RBI and security processes for subsidiaries.</w:t>
      </w:r>
    </w:p>
    <w:p w14:paraId="0C1E35CF" w14:textId="77777777" w:rsidR="008F7185" w:rsidRDefault="00000000">
      <w:r>
        <w:t>Measures are taken to ensure a reasonable level of risk regarding confidentiality, integrity, availability and resilience of all systems.</w:t>
      </w:r>
    </w:p>
    <w:p w14:paraId="7E030B81" w14:textId="77777777" w:rsidR="008F7185" w:rsidRDefault="00000000">
      <w:r>
        <w:t>This is primarily due to the different interest rate environment and, to a lesser extent, to the changed regulatory framework for lending guidelines.</w:t>
      </w:r>
    </w:p>
    <w:p w14:paraId="55DD54BD" w14:textId="77777777" w:rsidR="008F7185" w:rsidRDefault="00000000">
      <w:r>
        <w:t>Group management report 49 Raiffeisen Bank International Member of RBI Group Financial Year 2023 Development of the banking sector in CEE As key interest rates remained high for most of 2023 and euro markets caught up, CESEE banks were able to further improve their profitability thanks to wider net interest margins while risk costs remained rather limited as the number of loan defaults remained low.</w:t>
      </w:r>
    </w:p>
    <w:p w14:paraId="2708C0AF" w14:textId="77777777" w:rsidR="008F7185" w:rsidRDefault="00000000">
      <w:r>
        <w:t>Regulatory environment Supervisory priorities and interaction with the ECB Reinforcing the management competence of the governing bodies to enable banks to effectively address the digitalization process, As a supervisory authority, the ECB wants to ensure that RBI has sound strategies and appropriate regulations in place to meet the challenges that digitalization presents.</w:t>
      </w:r>
    </w:p>
    <w:p w14:paraId="15D4D43E" w14:textId="77777777" w:rsidR="008F7185" w:rsidRDefault="00000000">
      <w:r>
        <w:lastRenderedPageBreak/>
        <w:t>For this reason, the ECB wants to ensure that the European banks remedy weak points in their credit risk management frameworks, in order to strengthen their resilience against a possible asset quality deterioration, and quickly identify and mitigate risks.</w:t>
      </w:r>
    </w:p>
    <w:p w14:paraId="20DEF9C2" w14:textId="77777777" w:rsidR="008F7185" w:rsidRDefault="00000000">
      <w:r>
        <w:t>Intensified efforts to combat climate change, The risks associated with climate change are changing rapidly with far-reaching economic consequences, among other things.</w:t>
      </w:r>
    </w:p>
    <w:p w14:paraId="252059E6" w14:textId="77777777" w:rsidR="008F7185" w:rsidRDefault="00000000">
      <w:r>
        <w:t>It also considers that banks can only mitigate their risk exposure by taking appropriate consideration of climate and environmental factors in their strategies, risk management practices and decision-making processes.</w:t>
      </w:r>
    </w:p>
    <w:p w14:paraId="65259EE6" w14:textId="77777777" w:rsidR="008F7185" w:rsidRDefault="00000000">
      <w:r>
        <w:t>The objective of the MiCA regulation is to protect investors, prevent crypto asset misuse, ensure financial stability, create regulatory clarity and protect against market abuse and manipulation.</w:t>
      </w:r>
    </w:p>
    <w:p w14:paraId="6F4DCF4B" w14:textId="77777777" w:rsidR="008F7185" w:rsidRDefault="00000000">
      <w:r>
        <w:t>Regulatory environment for ESG disclosures in the EU The European Green Deal was at the very top of the political agenda and the European Commissions initiatives for 2023.</w:t>
      </w:r>
    </w:p>
    <w:p w14:paraId="1716661C" w14:textId="77777777" w:rsidR="008F7185" w:rsidRDefault="00000000">
      <w:r>
        <w:t>This reaffirms the EUs commitment to be at the forefront of sustainability efforts with ambitious environmental laws and the goal of being climate neutral by 2050.</w:t>
      </w:r>
    </w:p>
    <w:p w14:paraId="51580F5F" w14:textId="77777777" w:rsidR="008F7185" w:rsidRDefault="00000000">
      <w:r>
        <w:t>In June 2023, the EU Commission adopted further EU taxonomy criteria for economic activities that make a significant contribution to biodiversity, environmental pollution and the circular economy.</w:t>
      </w:r>
    </w:p>
    <w:p w14:paraId="3A528920" w14:textId="77777777" w:rsidR="008F7185" w:rsidRDefault="00000000">
      <w:r>
        <w:t>The inclusion of more economic activities and sectors will increase the usability and potential of the EU taxonomy in scaling up sustainable investment in the EU.</w:t>
      </w:r>
    </w:p>
    <w:p w14:paraId="0B6373C2" w14:textId="77777777" w:rsidR="008F7185" w:rsidRDefault="00000000">
      <w:r>
        <w:t>This will be substantiated by the European Sustainability Reporting Standards that were developed by the European Financial Reporting Advisory Group .</w:t>
      </w:r>
    </w:p>
    <w:p w14:paraId="015C98DF" w14:textId="77777777" w:rsidR="008F7185" w:rsidRDefault="00000000">
      <w:r>
        <w:t>The standards serve to limit the burden on reporting companies, while at the same time enabling them to verify the efforts they are making to meet the green deal agenda, and accordingly get access to sustainable finance.</w:t>
      </w:r>
    </w:p>
    <w:p w14:paraId="586149C0" w14:textId="77777777" w:rsidR="008F7185" w:rsidRDefault="00000000">
      <w:r>
        <w:t>Closing of the acquisition is subject to various conditions precedent including satisfactory completion of the sanctions compliance due diligence by RBI, regulatory approvals, and merger clearance.</w:t>
      </w:r>
    </w:p>
    <w:p w14:paraId="27572112" w14:textId="77777777" w:rsidR="008F7185" w:rsidRDefault="00000000">
      <w:r>
        <w:t>Group management report 53 Raiffeisen Bank International Member of RBI Group Financial Year 2023 Earnings and financial performance Due to the positive interest rate environment, RBI can look back on a successful business development in 2023.</w:t>
      </w:r>
    </w:p>
    <w:p w14:paraId="549C7812" w14:textId="77777777" w:rsidR="008F7185" w:rsidRDefault="00000000">
      <w:r>
        <w:t>In Russia, the increase resulted from higher salaries and social security costs, provisions for one-off payments and an increase in the headcount, notably in IT.</w:t>
      </w:r>
    </w:p>
    <w:p w14:paraId="11B71DCA" w14:textId="77777777" w:rsidR="008F7185" w:rsidRDefault="00000000">
      <w:r>
        <w:lastRenderedPageBreak/>
        <w:t>Group management report 61 Raiffeisen Bank International Member of RBI Group Financial Year 2023 Research and development Digitalization A central theme for banks in the advancement of digitalization is the growing relevance of mobile banking.</w:t>
      </w:r>
    </w:p>
    <w:p w14:paraId="38FE7A4B" w14:textId="77777777" w:rsidR="008F7185" w:rsidRDefault="00000000">
      <w:r>
        <w:t>A dedicated team for this topic was formed several years ago to monitor market developments and the technologys potential for client-facing products.</w:t>
      </w:r>
    </w:p>
    <w:p w14:paraId="15A653A9" w14:textId="77777777" w:rsidR="008F7185" w:rsidRDefault="00000000">
      <w:r>
        <w:t>This is embedded in the company-wide framework for the internal control system .</w:t>
      </w:r>
    </w:p>
    <w:p w14:paraId="28E427A7" w14:textId="77777777" w:rsidR="008F7185" w:rsidRDefault="00000000">
      <w:r>
        <w:t>The ICS should ensure effective and continuously improving internal controls for accounting.</w:t>
      </w:r>
    </w:p>
    <w:p w14:paraId="53D2006B" w14:textId="77777777" w:rsidR="008F7185" w:rsidRDefault="00000000">
      <w:r>
        <w:t>Compliance with Group rules is monitored by the department Group Consolidation as well as through audits by Group and local auditors.</w:t>
      </w:r>
    </w:p>
    <w:p w14:paraId="3A66DF0A" w14:textId="77777777" w:rsidR="008F7185" w:rsidRDefault="00000000">
      <w:r>
        <w:t>The Group unit employees and the managers responsible for accounting are required to provide a full presentation and accurate valuation of all transactions.</w:t>
      </w:r>
    </w:p>
    <w:p w14:paraId="17875821" w14:textId="77777777" w:rsidR="008F7185" w:rsidRDefault="00000000">
      <w:r>
        <w:t>The local management is responsible for ensuring implementation of mandatory internal control measures, such as the separation of functions and the principle of dual control.</w:t>
      </w:r>
    </w:p>
    <w:p w14:paraId="3E4CA721" w14:textId="77777777" w:rsidR="008F7185" w:rsidRDefault="00000000">
      <w:r>
        <w:t>Additionally, the Audit Committee is required to monitor the financial reporting process.</w:t>
      </w:r>
    </w:p>
    <w:p w14:paraId="1DB47F39" w14:textId="77777777" w:rsidR="008F7185" w:rsidRDefault="00000000">
      <w:r>
        <w:t>These include, for example, Compliance, Data Quality Governance, Operational Risk Controlling, and Security &amp; Business Continuity Management.</w:t>
      </w:r>
    </w:p>
    <w:p w14:paraId="30816634" w14:textId="77777777" w:rsidR="008F7185" w:rsidRDefault="00000000">
      <w:r>
        <w:t>All internal auditing activities are subject to the Group Audit Standards, which are based on the Austrian Financial Market Authoritys minimum internal auditing requirements and international best practices.</w:t>
      </w:r>
    </w:p>
    <w:p w14:paraId="39A84474" w14:textId="77777777" w:rsidR="008F7185" w:rsidRDefault="00000000">
      <w:r>
        <w:t>Combining these areas into a single division enables the group to forge an integrated approach to employee aspects, leadership, culture and organizational development.</w:t>
      </w:r>
    </w:p>
    <w:p w14:paraId="0756D71B" w14:textId="77777777" w:rsidR="008F7185" w:rsidRDefault="00000000">
      <w:r>
        <w:t>In addition, the division is responsible for personnel development, career management, leadership development as well as professional education and training.</w:t>
      </w:r>
    </w:p>
    <w:p w14:paraId="2986ECCB" w14:textId="77777777" w:rsidR="008F7185" w:rsidRDefault="00000000">
      <w:r>
        <w:t>In the area of organizational development, the division extends support for restructurings and transformations within the group by leveraging its expertise in specialized fields, such as change management and organizational design, while spearheading targeted initiatives in the area of operational innovation.</w:t>
      </w:r>
    </w:p>
    <w:p w14:paraId="3836F440" w14:textId="77777777" w:rsidR="008F7185" w:rsidRDefault="00000000">
      <w:r>
        <w:t>To maintain this position in the future, we must understand the expectations and demands of both current employees and applicants and strategically position the company accordingly.</w:t>
      </w:r>
    </w:p>
    <w:p w14:paraId="2F45002F" w14:textId="77777777" w:rsidR="008F7185" w:rsidRDefault="00000000">
      <w:r>
        <w:t>To enhance retention, teams receive development support through a series of workshops, with a special focus on fostering mutual trust, open communication, and effective collaboration methods.</w:t>
      </w:r>
    </w:p>
    <w:p w14:paraId="0524E91D" w14:textId="77777777" w:rsidR="008F7185" w:rsidRDefault="00000000">
      <w:r>
        <w:lastRenderedPageBreak/>
        <w:t>Management development, Managers receive support to optimize their role and guide their teams through periods of uncertainty and change, while giving due consideration to the individual needs and expectations of their team members.</w:t>
      </w:r>
    </w:p>
    <w:p w14:paraId="740FAF6F" w14:textId="77777777" w:rsidR="008F7185" w:rsidRDefault="00000000">
      <w:r>
        <w:t>The goal is to properly equip managers and employees for the transformation process, guide them through the process, garner their commitment to the change, and provide support to individuals and teams throughout the change journey.</w:t>
      </w:r>
    </w:p>
    <w:p w14:paraId="18CA347B" w14:textId="77777777" w:rsidR="008F7185" w:rsidRDefault="00000000">
      <w:r>
        <w:t>On the regulatory front, ESG will remain high on the agenda and will see further implementation in the regulatory framework, with EU regulators setting the tone for the entire CEE region.</w:t>
      </w:r>
    </w:p>
    <w:p w14:paraId="204C0F9A" w14:textId="77777777" w:rsidR="008F7185" w:rsidRDefault="00000000">
      <w:r>
        <w:t>This development resulted from a significant increase in litigation, higher loss ratios and losses from annulments of loan agreements resulting from a decision of the European Court of Justice in June.</w:t>
      </w:r>
    </w:p>
    <w:p w14:paraId="20FF5446" w14:textId="77777777" w:rsidR="008F7185" w:rsidRDefault="00000000">
      <w:r>
        <w:t>The year-on-year increase in income taxes was mainly attributable to the positive earnings development in Ukraine and the introduction of a new windfall tax.</w:t>
      </w:r>
    </w:p>
    <w:p w14:paraId="7E50C649" w14:textId="77777777" w:rsidR="008F7185" w:rsidRDefault="00000000">
      <w:r>
        <w:t>In order to achieve the maximum possible transparency and in the interest of clearer lines of reporting, five segments were defined in accordance with the IFRS 8 thresholds.</w:t>
      </w:r>
    </w:p>
    <w:p w14:paraId="7BD3DBF2" w14:textId="77777777" w:rsidR="008F7185" w:rsidRDefault="00000000">
      <w:r>
        <w:t>In Russia, the increase resulted from higher salaries and social security costs, provisions for one-off payments and an increase in the headcount, notably in IT.</w:t>
      </w:r>
    </w:p>
    <w:p w14:paraId="09A9D5AB" w14:textId="77777777" w:rsidR="008F7185" w:rsidRDefault="00000000">
      <w:r>
        <w:t>Additionally, a positive profit development and the introduction of a windfall tax 50 per cent in Ukraine led to an increase of € 108 million in taxes.</w:t>
      </w:r>
    </w:p>
    <w:p w14:paraId="5376B33F" w14:textId="77777777" w:rsidR="008F7185" w:rsidRDefault="00000000">
      <w:r>
        <w:t>At the beginning of the hedging relationship, the relationship between underlying and hedging instrument, including the risk management objectives, is documented.</w:t>
      </w:r>
    </w:p>
    <w:p w14:paraId="0BC76596" w14:textId="77777777" w:rsidR="008F7185" w:rsidRDefault="00000000">
      <w:r>
        <w:t>More information on RBIs risk management strategy is provided in the risk report under, Market risk.</w:t>
      </w:r>
    </w:p>
    <w:p w14:paraId="7B90DBF8" w14:textId="77777777" w:rsidR="008F7185" w:rsidRDefault="00000000">
      <w:r>
        <w:t>RBI generally uses measurement models that undergo internal review by the Market Risk Committee to ensure appropriate measurement parameters.</w:t>
      </w:r>
    </w:p>
    <w:p w14:paraId="7F53A6EF" w14:textId="77777777" w:rsidR="008F7185" w:rsidRDefault="00000000">
      <w:r>
        <w:t>RBI is observing market developments and will develop a method to calculate the FVA where appropriate.</w:t>
      </w:r>
    </w:p>
    <w:p w14:paraId="473829F7" w14:textId="77777777" w:rsidR="008F7185" w:rsidRDefault="00000000">
      <w:r>
        <w:t>The positive development in macroeconomic and interest rate environment had a positive impact on the companies earnings prospects.</w:t>
      </w:r>
    </w:p>
    <w:p w14:paraId="50AECE68" w14:textId="77777777" w:rsidR="008F7185" w:rsidRDefault="00000000">
      <w:r>
        <w:t>In addition to cost savings and a suitable pricing strategy, these include further specializations, optimization through digitalization and the development of new products.</w:t>
      </w:r>
    </w:p>
    <w:p w14:paraId="5D315847" w14:textId="77777777" w:rsidR="008F7185" w:rsidRDefault="00000000">
      <w:r>
        <w:t>The planning assumptions take into account the development of volumes in export finance and have been adopted in the valuation approach.</w:t>
      </w:r>
    </w:p>
    <w:p w14:paraId="4914763B" w14:textId="77777777" w:rsidR="008F7185" w:rsidRDefault="00000000">
      <w:r>
        <w:lastRenderedPageBreak/>
        <w:t>An internally developed intangible fixed asset resulting from development activities or from the development stage of an internal project is capitalized when the following evidence is provided, The final completion of the intangible fixed asset is technically feasible so that it will be available for use or sale.</w:t>
      </w:r>
    </w:p>
    <w:p w14:paraId="3108987D" w14:textId="77777777" w:rsidR="008F7185" w:rsidRDefault="00000000">
      <w:r>
        <w:t>If an internally developed intangible fixed asset cannot be capitalized, or if there is not yet an intangible fixed asset, the development costs are reported in the income statement for the reporting period in which they are incurred.</w:t>
      </w:r>
    </w:p>
    <w:p w14:paraId="31CED232" w14:textId="77777777" w:rsidR="008F7185" w:rsidRDefault="00000000">
      <w:r>
        <w:t>Akcenta adheres to strict compliance and regulatory standards to ensure the security and integrity of its operations.</w:t>
      </w:r>
    </w:p>
    <w:p w14:paraId="66629962" w14:textId="77777777" w:rsidR="008F7185" w:rsidRDefault="00000000">
      <w:r>
        <w:t>The biometrical basis for the calculation of provisions for pensions, severance payments and service anniversary bonuses for Austrian companies is provided by AVÖ 2018-P-Rechnungsgrundlagen für die Pensionsversicherung Computational Framework for Pension Insurance, using the relevant parameters for salaried employees.</w:t>
      </w:r>
    </w:p>
    <w:p w14:paraId="6FA340E8" w14:textId="77777777" w:rsidR="008F7185" w:rsidRDefault="00000000">
      <w:r>
        <w:t>Asset-Liability Matching The pension provider Valida Pension AG has established an assetrisk management process ARM process.</w:t>
      </w:r>
    </w:p>
    <w:p w14:paraId="7C36264C" w14:textId="77777777" w:rsidR="008F7185" w:rsidRDefault="00000000">
      <w:r>
        <w:t>After the volatile market environment in the spring, it was deemed prudent to wait for further developments in the financial year 2023 in terms of cautious capital and liquidity management.</w:t>
      </w:r>
    </w:p>
    <w:p w14:paraId="44683914" w14:textId="77777777" w:rsidR="008F7185" w:rsidRDefault="00000000">
      <w:r>
        <w:t>By embedding the review of the relative transfer criterion within the robust processes and procedures of the banks Group-wide credit risk management framework, the bank ensures that a significant increase in the credit risk is identified in a reliable and timely manner based on objective criteria.</w:t>
      </w:r>
    </w:p>
    <w:p w14:paraId="6D629DB0" w14:textId="77777777" w:rsidR="008F7185" w:rsidRDefault="00000000">
      <w:r>
        <w:t>This development is incorporated into the models of major parts of the portfolio through a change in the 3-month money market rate and the yield on government bonds, resulting in an increase in expected default risk.</w:t>
      </w:r>
    </w:p>
    <w:p w14:paraId="7B485894" w14:textId="77777777" w:rsidR="008F7185" w:rsidRDefault="00000000">
      <w:r>
        <w:t>In a first step, a top down assessment of mortgage collateral for retail customers was carried out to consider climate and environmental risks, which pose a very high physical risk flooding, landslides, wildfires.</w:t>
      </w:r>
    </w:p>
    <w:p w14:paraId="217B1855" w14:textId="77777777" w:rsidR="008F7185" w:rsidRDefault="00000000">
      <w:r>
        <w:t>Over the next few years we expect to develop and include the above climate-related matters into the expected credit loss parameters.</w:t>
      </w:r>
    </w:p>
    <w:p w14:paraId="0A614462" w14:textId="77777777" w:rsidR="008F7185" w:rsidRDefault="00000000">
      <w:r>
        <w:t>In order to effectively identify, measure, and manage risks the Group continues to develop its comprehensive risk management system.</w:t>
      </w:r>
    </w:p>
    <w:p w14:paraId="50890C5D" w14:textId="4E01C99F" w:rsidR="008F7185" w:rsidRDefault="00000000">
      <w:r>
        <w:t>Regulatory requirements</w:t>
      </w:r>
      <w:r w:rsidR="007C28A7">
        <w:t xml:space="preserve"> a</w:t>
      </w:r>
      <w:r>
        <w:t xml:space="preserve">ll provisions and requirements of the supervisory authorities relating to risk management are </w:t>
      </w:r>
      <w:proofErr w:type="gramStart"/>
      <w:r>
        <w:t>taken into account</w:t>
      </w:r>
      <w:proofErr w:type="gramEnd"/>
      <w:r>
        <w:t xml:space="preserve"> and complied with.</w:t>
      </w:r>
    </w:p>
    <w:p w14:paraId="34AC1E6F" w14:textId="77777777" w:rsidR="008F7185" w:rsidRDefault="00000000">
      <w:r>
        <w:lastRenderedPageBreak/>
        <w:t>Standardized methodologies, Risk measurement and risk limitation methods are standardized Group-wide in order to en-sure a consistent and coherent approach to risk management.</w:t>
      </w:r>
    </w:p>
    <w:p w14:paraId="4A184936" w14:textId="77777777" w:rsidR="008F7185" w:rsidRDefault="00000000">
      <w:r>
        <w:t>Individual risk management units of the Group develop detailed risk strategies, which set more concrete risk targets and specific standards in compliance with these general principles.</w:t>
      </w:r>
    </w:p>
    <w:p w14:paraId="20BD81FF" w14:textId="77777777" w:rsidR="008F7185" w:rsidRDefault="00000000">
      <w:r>
        <w:t>The overall Group risk strategy is derived from the Groups business strategy and the risk appetite and adds risk-relevant aspects to the planned business structure and strategic development.</w:t>
      </w:r>
    </w:p>
    <w:p w14:paraId="2130E443" w14:textId="77777777" w:rsidR="008F7185" w:rsidRDefault="00000000">
      <w:r>
        <w:t>ESG risks Environmental, Social and Governance were implemented and managed within the framework of a project that spans business lines and includes all risk areas.</w:t>
      </w:r>
    </w:p>
    <w:p w14:paraId="6BB1A2E6" w14:textId="77777777" w:rsidR="008F7185" w:rsidRDefault="00000000">
      <w:r>
        <w:t>It decides on the risk management methods and on the control concepts used for the overall Group and for key subdivisions, and is responsible for ongoing development and implementation of methods and parameters for risk quantification and for refining steering instruments.</w:t>
      </w:r>
    </w:p>
    <w:p w14:paraId="18C3331D" w14:textId="77777777" w:rsidR="008F7185" w:rsidRDefault="00000000">
      <w:r>
        <w:t>This includes, inter alia, approving the Security Policy and the IT Risk Management Policy, defining key performance indicators and key risk indicators, which must be reported on at Group level and in the local security committees, and defining and checking the risk appetite in relation to IT risk and security.</w:t>
      </w:r>
    </w:p>
    <w:p w14:paraId="138CA60C" w14:textId="77777777" w:rsidR="008F7185" w:rsidRDefault="00000000">
      <w:r>
        <w:t>Quality assurance and internal audit Quality assurance with respect to risk management refers to ensuring the integrity, soundness, and accuracy of processes, models, calculations, and data sources.</w:t>
      </w:r>
    </w:p>
    <w:p w14:paraId="15CACAEA" w14:textId="77777777" w:rsidR="008F7185" w:rsidRDefault="00000000">
      <w:r>
        <w:t>This is to ensure that the Group adheres to all legal requirements and that it can achieve the highest standards in risk management-related operations.</w:t>
      </w:r>
    </w:p>
    <w:p w14:paraId="1FD74176" w14:textId="77777777" w:rsidR="008F7185" w:rsidRDefault="00000000">
      <w:r>
        <w:t>Two very important functions in assuring independent oversight are performed by the divisions Audit and Compliance.</w:t>
      </w:r>
    </w:p>
    <w:p w14:paraId="1FF7062A" w14:textId="77777777" w:rsidR="008F7185" w:rsidRDefault="00000000">
      <w:r>
        <w:t>The Compliance Office is responsible for all issues concerning compliance with legal requirements in addition to and as an integral part of the internal control system.</w:t>
      </w:r>
    </w:p>
    <w:p w14:paraId="62B438DF" w14:textId="77777777" w:rsidR="008F7185" w:rsidRDefault="00000000">
      <w:r>
        <w:t>The comprehensive risk management control function is one of the key responsibilities of the Supervisory Boards Risk Committee, which for this purpose uses the analyses and reports prepared by Audit, Compliance, and Risk Controlling.</w:t>
      </w:r>
    </w:p>
    <w:p w14:paraId="36F6A505" w14:textId="77777777" w:rsidR="008F7185" w:rsidRDefault="00000000">
      <w:r>
        <w:t>Consolidated financial statements 191 Raiffeisen Bank International Member of RBI Group Financial Year 2023, Overall group risk management Maintaining an adequate level of capital is a core objective of the Group.</w:t>
      </w:r>
    </w:p>
    <w:p w14:paraId="2F257AC6" w14:textId="77777777" w:rsidR="008F7185" w:rsidRDefault="00000000">
      <w:r>
        <w:lastRenderedPageBreak/>
        <w:t>This concept of overall bank risk management provides for meeting capital requirements from both a regulatory perspective normative perspective and from economic points of view economic perspective.</w:t>
      </w:r>
    </w:p>
    <w:p w14:paraId="4BE3BC1F" w14:textId="77777777" w:rsidR="008F7185" w:rsidRDefault="00000000">
      <w:r>
        <w:t>The primary aim of the RAF is to limit risk, particularly in adverse scenarios and for major singular risks in such a way as to guarantee compliance with regulatory minimum ratios.</w:t>
      </w:r>
    </w:p>
    <w:p w14:paraId="7AB4C1F5" w14:textId="77777777" w:rsidR="008F7185" w:rsidRDefault="00000000">
      <w:r>
        <w:t>The downturn scenario assumed incorporates recognition of the necessary loan loss provisions and potential pro-cyclical effects which increase the minimum regulatory capital requirement along with the impact of foreign exchange rate fluctuations and other valuation and earnings effects.</w:t>
      </w:r>
    </w:p>
    <w:p w14:paraId="0381C5E6" w14:textId="77777777" w:rsidR="008F7185" w:rsidRDefault="00000000">
      <w:r>
        <w:t>Therefore, it can account for exceptional market situations that have not been observed in the past, and permits estimation of the potential impact of such developments.</w:t>
      </w:r>
    </w:p>
    <w:p w14:paraId="2491BFA1" w14:textId="77777777" w:rsidR="008F7185" w:rsidRDefault="00000000">
      <w:r>
        <w:t>Extent of ESG risks arising from financial instruments Currently RBI continues to focus on tackling climate and environmental risks and its related components transition and physical risks.</w:t>
      </w:r>
    </w:p>
    <w:p w14:paraId="06714A60" w14:textId="77777777" w:rsidR="008F7185" w:rsidRDefault="00000000">
      <w:r>
        <w:t>Transition risk, The initial transition risk assessment was carried out on the basis of the Financed Greenhouse Gas Emissions calculation, as shown in RBIs Sustainability Report.</w:t>
      </w:r>
    </w:p>
    <w:p w14:paraId="433EF1E8" w14:textId="77777777" w:rsidR="008F7185" w:rsidRDefault="00000000">
      <w:r>
        <w:t>Please refer to RBIs Sustainability Report Chapter RBIs climate and environmental business strategy, for detailed description of the internal methodology applied for climate and environmental risks materiality assessment.</w:t>
      </w:r>
    </w:p>
    <w:p w14:paraId="60D3317D" w14:textId="77777777" w:rsidR="008F7185" w:rsidRDefault="00000000">
      <w:r>
        <w:t>The analyses identified climate change and circular economy as important focus areas within internal steering.</w:t>
      </w:r>
    </w:p>
    <w:p w14:paraId="211E6AF1" w14:textId="77777777" w:rsidR="008F7185" w:rsidRDefault="00000000">
      <w:r>
        <w:t>How the company manages the ESG risks arising from financial instruments A climate and environmental risk specific materiality assessment was the base for the implementation in the ICAAP framework and is expected to be refined over the next years as methodologies are being further developed and common practices evolve.</w:t>
      </w:r>
    </w:p>
    <w:p w14:paraId="26F973EC" w14:textId="77777777" w:rsidR="008F7185" w:rsidRDefault="00000000">
      <w:r>
        <w:t>The first calculation of the financed greenhouse gas emissions and the performance of the impact analysis part of the RBI Groups commitment as a signatory to the Principles for Responsible Banking identified those industries prone to transition risks and where measures need to be set in place in order to align the portfolio to the Paris Agreement.</w:t>
      </w:r>
    </w:p>
    <w:p w14:paraId="4AE0EC71" w14:textId="77777777" w:rsidR="008F7185" w:rsidRDefault="00000000">
      <w:r>
        <w:t>Science-based climate targets SBTs were set for RBI, as approved by the SBT initiative in September 2022.</w:t>
      </w:r>
    </w:p>
    <w:p w14:paraId="31DB7E5F" w14:textId="77777777" w:rsidR="008F7185" w:rsidRDefault="00000000">
      <w:r>
        <w:t>The reasons for the differences in the values used for internal portfolio management and for external financial accounting are the different scopes of consolidation regulatory versus accounting rules according to IFRS and differences in the classification and presentation of exposure volumes, especially in the case of repo transactions and derivatives, particularly SA-CCR standardized approach for measuring counterparty credit risk.</w:t>
      </w:r>
    </w:p>
    <w:p w14:paraId="4C8BDBC0" w14:textId="77777777" w:rsidR="008F7185" w:rsidRDefault="00000000">
      <w:r>
        <w:lastRenderedPageBreak/>
        <w:t>In previous years the global COVID-19 situation required increased monitoring of market trends and position changes for RBI, in 2022 the Russia-Ukraine war outbreak provided the challenge for market risk management, which continued during 2023 as well.</w:t>
      </w:r>
    </w:p>
    <w:p w14:paraId="2C7A3B67" w14:textId="77777777" w:rsidR="008F7185" w:rsidRDefault="00000000">
      <w:r>
        <w:t>Active risk management and daily monitoring with a focus on the Russian, Ukrainian and Belarusian markets and portfolios, dual steering approach Group without Russian entities introduction for the Group beginning of 2023, as well as the derivative exposure reduction between head office and Russian entity were necessary in order to adapt to the changed environment.</w:t>
      </w:r>
    </w:p>
    <w:p w14:paraId="6845B269" w14:textId="77777777" w:rsidR="008F7185" w:rsidRDefault="00000000">
      <w:r>
        <w:t>Furthermore, Market Risk Management independently measures and reports all market risks on a daily basis.</w:t>
      </w:r>
    </w:p>
    <w:p w14:paraId="54DA57BC" w14:textId="77777777" w:rsidR="008F7185" w:rsidRDefault="00000000">
      <w:r>
        <w:t>Limit system The Group uses a comprehensive risk management approach for both the trading and the banking books total-return approach.</w:t>
      </w:r>
    </w:p>
    <w:p w14:paraId="5764AF39" w14:textId="77777777" w:rsidR="008F7185" w:rsidRDefault="00000000">
      <w:r>
        <w:t>The ILAAP framework and governance once again proved to be solid and functioning even in times of crisis.</w:t>
      </w:r>
    </w:p>
    <w:p w14:paraId="4CA2F513" w14:textId="77777777" w:rsidR="008F7185" w:rsidRDefault="00000000">
      <w:r>
        <w:t>Daily monitoring of the liquidity position using dynamic dashboards showed that the infrastructure and monitoring are effective and support quick reactions in times of crisis.</w:t>
      </w:r>
    </w:p>
    <w:p w14:paraId="22A0ABCD" w14:textId="77777777" w:rsidR="008F7185" w:rsidRDefault="00000000">
      <w:r>
        <w:t>In order to approach the economic perspective RBI established a governance framework comprising internal limits and steering measures which complies with the Principles for Sound Liquidity Risk Management and Supervision set out by the Basel Committee on Banking Supervision and the Kreditinstitute-Risikomanagement-Verordnung KI-RMV issued by the Austrian regulatory authority.</w:t>
      </w:r>
    </w:p>
    <w:p w14:paraId="08EB9F68" w14:textId="77777777" w:rsidR="008F7185" w:rsidRDefault="00000000">
      <w:r>
        <w:t>Secondly, they are monitored and supported by independent Risk Controlling units, which measure and model liquidity risk positions, set limits and supervise compliance with those.</w:t>
      </w:r>
    </w:p>
    <w:p w14:paraId="3FBDF8D1" w14:textId="40A57AAA" w:rsidR="008F7185" w:rsidRDefault="00000000">
      <w:r>
        <w:t>The current set of KPIs includes general targets</w:t>
      </w:r>
      <w:r w:rsidR="007C28A7">
        <w:t xml:space="preserve"> f</w:t>
      </w:r>
      <w:r>
        <w:t>or return on risk-adjusted capital or coverage ratios, as well as specific Treasury targets for liquidity such as a minimum survival period in defined stress scenarios or minimum liquidity targets in regulatory indicators.</w:t>
      </w:r>
    </w:p>
    <w:p w14:paraId="75FF51B3" w14:textId="77777777" w:rsidR="008F7185" w:rsidRDefault="00000000">
      <w:r>
        <w:t>Strategic goals comprise a reduction of parent funding within the Group, the sustainable management of the depositor base and credit growth as well as continuous compliance with regulatory requirements and the internal limit framework.</w:t>
      </w:r>
    </w:p>
    <w:p w14:paraId="5EEE2FD2" w14:textId="77777777" w:rsidR="008F7185" w:rsidRDefault="00000000">
      <w:r>
        <w:t>Liquidity risk framework Regulatory and internal liquidity reports and ratios are generated based on certain modelling assumptions.</w:t>
      </w:r>
    </w:p>
    <w:p w14:paraId="72AD656D" w14:textId="77777777" w:rsidR="008F7185" w:rsidRDefault="00000000">
      <w:r>
        <w:t>The internal model limits are supplemented by limits for compliance with regulatory liquidity ratios, such as the liquidity coverage ratio.</w:t>
      </w:r>
    </w:p>
    <w:p w14:paraId="0118F426" w14:textId="77777777" w:rsidR="008F7185" w:rsidRDefault="00000000">
      <w:r>
        <w:t>Operational risk controlling units are responsible for reporting, implementing the framework, developing control measures and monitoring compliance with requirements.</w:t>
      </w:r>
    </w:p>
    <w:p w14:paraId="355AF859" w14:textId="77777777" w:rsidR="008F7185" w:rsidRDefault="00000000">
      <w:r>
        <w:lastRenderedPageBreak/>
        <w:t>In addition to the requirements for internal and external reporting, information on loss events is exchanged with international data pools to further develop operational risk management tools as well as to track measures and control effectiveness.</w:t>
      </w:r>
    </w:p>
    <w:p w14:paraId="7DF63E0E" w14:textId="77777777" w:rsidR="008F7185" w:rsidRDefault="00000000">
      <w:r>
        <w:t>As a matter of principle, RBI maintains policies and procedures that ensure compliance with applicable embargoes and financial sanctions and is cooperating fully with OFAC in relation to their request to the extent permitted by applicable laws and regulations.</w:t>
      </w:r>
    </w:p>
    <w:p w14:paraId="6AB78E9D" w14:textId="77777777" w:rsidR="008F7185" w:rsidRDefault="00000000">
      <w:r>
        <w:t>In view of the change in the legal and regulatory framework and implementation of an institutional protection scheme, the RKÖ and its respective member institutions decided in 2019 to discontinue the scheme for new transactions.</w:t>
      </w:r>
    </w:p>
    <w:p w14:paraId="229BC75F" w14:textId="77777777" w:rsidR="008F7185" w:rsidRDefault="00000000">
      <w:r>
        <w:t>Provisioning ratio is an indicator for development of risk costs and provisioning policy of an enterprise.</w:t>
      </w:r>
    </w:p>
    <w:p w14:paraId="4D3C3DFC" w14:textId="77777777" w:rsidR="008F7185" w:rsidRDefault="00000000">
      <w:r>
        <w:t>Our response In testing expected credit losses for loans and advances to non-financial corporations and households, we performed the following significant audit procedures, We assessed the methodologies used to determine expected credit losses and their compliance with IFRS.</w:t>
      </w:r>
    </w:p>
    <w:p w14:paraId="1B22C869" w14:textId="77777777" w:rsidR="008F7185" w:rsidRDefault="00000000">
      <w:r>
        <w:t>The audit committee is responsible for overseeing the Group's financial reporting process.</w:t>
      </w:r>
    </w:p>
    <w:p w14:paraId="206F3226" w14:textId="77777777" w:rsidR="008F7185" w:rsidRDefault="00000000">
      <w:r>
        <w:t>As part of an audit in accordance with Regulation 5372014 and with Austrian Generally Accepted Auditing Standards, which require the application of the ISAs, we exercise professional judgement and maintain professional skepticism throughout the audit.</w:t>
      </w:r>
    </w:p>
    <w:p w14:paraId="64E392A6" w14:textId="77777777" w:rsidR="008F7185" w:rsidRDefault="00000000">
      <w:r>
        <w:t>We are responsible for the direction, supervision and performance of the group audit.</w:t>
      </w:r>
    </w:p>
    <w:sectPr w:rsidR="008F718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1813403947">
    <w:abstractNumId w:val="8"/>
  </w:num>
  <w:num w:numId="2" w16cid:durableId="1111820025">
    <w:abstractNumId w:val="6"/>
  </w:num>
  <w:num w:numId="3" w16cid:durableId="117064188">
    <w:abstractNumId w:val="5"/>
  </w:num>
  <w:num w:numId="4" w16cid:durableId="1541241741">
    <w:abstractNumId w:val="4"/>
  </w:num>
  <w:num w:numId="5" w16cid:durableId="1985768639">
    <w:abstractNumId w:val="7"/>
  </w:num>
  <w:num w:numId="6" w16cid:durableId="1423408760">
    <w:abstractNumId w:val="3"/>
  </w:num>
  <w:num w:numId="7" w16cid:durableId="920066306">
    <w:abstractNumId w:val="2"/>
  </w:num>
  <w:num w:numId="8" w16cid:durableId="887424302">
    <w:abstractNumId w:val="1"/>
  </w:num>
  <w:num w:numId="9" w16cid:durableId="19332707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27B6"/>
    <w:rsid w:val="0015074B"/>
    <w:rsid w:val="0029639D"/>
    <w:rsid w:val="00326F90"/>
    <w:rsid w:val="00672963"/>
    <w:rsid w:val="007C28A7"/>
    <w:rsid w:val="008F7185"/>
    <w:rsid w:val="00AA1D8D"/>
    <w:rsid w:val="00B47730"/>
    <w:rsid w:val="00C42A03"/>
    <w:rsid w:val="00CB0664"/>
    <w:rsid w:val="00D0461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081C16"/>
  <w14:defaultImageDpi w14:val="300"/>
  <w15:docId w15:val="{E95D59C8-535C-6B47-8D5B-09C3A51B0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15</Pages>
  <Words>5421</Words>
  <Characters>30901</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36250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Mária Pappová</cp:lastModifiedBy>
  <cp:revision>5</cp:revision>
  <dcterms:created xsi:type="dcterms:W3CDTF">2013-12-23T23:15:00Z</dcterms:created>
  <dcterms:modified xsi:type="dcterms:W3CDTF">2025-08-02T16:56:00Z</dcterms:modified>
  <cp:category/>
</cp:coreProperties>
</file>