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B277" w14:textId="77777777" w:rsidR="00B0464C" w:rsidRDefault="00000000">
      <w:r>
        <w:t>Description of the diversity strategy RBI is actively committed to ensuring equal opportunities for all employees regardless of age, gender, nationality, sexual orientation, physical or mental ability, religion or world view.</w:t>
      </w:r>
    </w:p>
    <w:p w14:paraId="772F608F" w14:textId="77777777" w:rsidR="00B0464C" w:rsidRDefault="00000000">
      <w:r>
        <w:t>This principle applies across all areas of human resource management, from employee selection to salaries all the way to appraisals and career development.</w:t>
      </w:r>
    </w:p>
    <w:p w14:paraId="6F984C47" w14:textId="77777777" w:rsidR="00B0464C" w:rsidRDefault="00000000">
      <w:r>
        <w:t>The RBI Group diversity and inclusion policy defines RBIs attitude, roles and responsibility with regard to diversity and establishes the principle of implementing a diversity strategy at RBI.</w:t>
      </w:r>
    </w:p>
    <w:p w14:paraId="40B32313" w14:textId="77777777" w:rsidR="00B0464C" w:rsidRDefault="00000000">
      <w:r>
        <w:t>The key components of the RBI Group diversity and inclusion policy include RBIs diversity vision and mission statement and the daily implementation guidelines, RBI believes that diversity adds value.</w:t>
      </w:r>
    </w:p>
    <w:p w14:paraId="33555D4E" w14:textId="77777777" w:rsidR="00B0464C" w:rsidRDefault="00000000">
      <w:r>
        <w:t>The work and family audit is a customized certification process for companies that is designed to provide support for the defining, evaluating and planning of family-friendly measures.</w:t>
      </w:r>
    </w:p>
    <w:p w14:paraId="6CE94529" w14:textId="77777777" w:rsidR="00B0464C" w:rsidRDefault="00000000">
      <w:r>
        <w:t>Examples include RBIs collaboration with womens networks such as the female factor and Fondsfrauen and its sponsoring of memberships in these networks for female RBI employees to give them the opportunity to participate in career training and mentoring programs.</w:t>
      </w:r>
    </w:p>
    <w:p w14:paraId="4C0F2F34" w14:textId="77777777" w:rsidR="00B0464C" w:rsidRDefault="00000000">
      <w:r>
        <w:t>For example, unconscious bias was added to the basic leadership training course to support the new managers at head office.</w:t>
      </w:r>
    </w:p>
    <w:p w14:paraId="7D92BAB9" w14:textId="77777777" w:rsidR="00B0464C" w:rsidRDefault="00000000">
      <w:r>
        <w:t>It includes establishing an internal office for the Group-wide recruitment of managers in order to achieve multiple aims, including the execution of the diversity and inclusion strategy.</w:t>
      </w:r>
    </w:p>
    <w:p w14:paraId="01124D70" w14:textId="77777777" w:rsidR="00B0464C" w:rsidRDefault="00000000">
      <w:r>
        <w:t>Each recruitment agency is carefully evaluated, including with regard to its diversity and inclusion strategy and its ability to reach a broad, diverse pool of applicants for a vacant position.</w:t>
      </w:r>
    </w:p>
    <w:p w14:paraId="36316953" w14:textId="77777777" w:rsidR="00B0464C" w:rsidRDefault="00000000">
      <w:r>
        <w:t>Regarding the risk strategy and major developments within RBI, the head of the Risk Controlling division reports to the Risk Committee of the Supervisory Board.</w:t>
      </w:r>
    </w:p>
    <w:p w14:paraId="20A2725E" w14:textId="77777777" w:rsidR="00B0464C" w:rsidRDefault="00000000">
      <w:r>
        <w:t>The quarterly Supervisory Board Risk Report summarizes the main results and findings of the various risk-type-specific risk reports and the ICAAP report, with a particular focus on the risk developments in the last quarter, as well as the utilization of the Internal Capital in relation to the approved Group Risk Appetite and the Risk Tolerance level.</w:t>
      </w:r>
    </w:p>
    <w:p w14:paraId="130A3D98" w14:textId="77777777" w:rsidR="00B0464C" w:rsidRDefault="00000000">
      <w:r>
        <w:t>This includes also the utilization of portfolio thresholds at country level, the development of customer ratings, average probabilities of default, collateralization, forbearance, credit concentration measures, as well as foreign currency exposures to customers that are considered unhedged.</w:t>
      </w:r>
    </w:p>
    <w:p w14:paraId="3FE938F5" w14:textId="4A1F3855" w:rsidR="00B0464C" w:rsidRDefault="00000000">
      <w:r>
        <w:lastRenderedPageBreak/>
        <w:t xml:space="preserve">A dashboard consisting of indicators related to sound risk culture </w:t>
      </w:r>
      <w:r w:rsidR="006878D8">
        <w:t>n</w:t>
      </w:r>
      <w:r>
        <w:t xml:space="preserve">umber of risk relevant limit breaches, compliance with mandatory trainings, data quality has been introduced in </w:t>
      </w:r>
      <w:proofErr w:type="gramStart"/>
      <w:r>
        <w:t>2022, and</w:t>
      </w:r>
      <w:proofErr w:type="gramEnd"/>
      <w:r>
        <w:t xml:space="preserve"> is reported to GRC on quarterly basis.</w:t>
      </w:r>
    </w:p>
    <w:p w14:paraId="713AE8B1" w14:textId="77777777" w:rsidR="00B0464C" w:rsidRDefault="00000000">
      <w:r>
        <w:t>At least on a yearly basis risk culture dashboard is presented to the Risk Committee of the Supervisory Board as a focus topic.</w:t>
      </w:r>
    </w:p>
    <w:p w14:paraId="7BFDB865" w14:textId="77777777" w:rsidR="00B0464C" w:rsidRDefault="00000000">
      <w:r>
        <w:t>It is worth mentioning that the methodologies around quantification of climate and environmental risks are emerging, and that a materiality assessment is performed at least on a yearly basis to assure that risks with potential material impact on the banks risk profile are adequately covered in the risk framework.</w:t>
      </w:r>
    </w:p>
    <w:p w14:paraId="4F9802B0" w14:textId="77777777" w:rsidR="00B0464C" w:rsidRDefault="00000000">
      <w:r>
        <w:t>A list of companies, which includes information on the accounting and the regulatory consolidation method for each entity EU LI3, can be found in the dedicated document in tabular form.</w:t>
      </w:r>
    </w:p>
    <w:p w14:paraId="15ABE77E" w14:textId="77777777" w:rsidR="00B0464C" w:rsidRDefault="00000000">
      <w:r>
        <w:t>Quantitative disclosure For numerical information on the composition of regulatory own funds templates EU CC1 and EU CC2 please refer to the dedicated document in tabular form.</w:t>
      </w:r>
    </w:p>
    <w:p w14:paraId="7EDC802C" w14:textId="77777777" w:rsidR="00B0464C" w:rsidRDefault="00000000">
      <w:r>
        <w:t>Quantitative disclosure For numerical information on operational risk management template EU OR1 please refer to the dedicated document in tabular form.</w:t>
      </w:r>
    </w:p>
    <w:p w14:paraId="6C2E090C" w14:textId="77777777" w:rsidR="00B0464C" w:rsidRDefault="00000000">
      <w:r>
        <w:t>Interest rate risk in the banking book is actively managed by Treasury in accordance with the interest rate strategy approved by the Group Asset Liability Committee and within given market risk limits approved by the Group Market Risk Committee .</w:t>
      </w:r>
    </w:p>
    <w:p w14:paraId="3D1E154F" w14:textId="77777777" w:rsidR="00B0464C" w:rsidRDefault="00000000">
      <w:r>
        <w:t xml:space="preserve">In the course of dealing with securitization transactions, RBI focuses on the following risks in addition to credit risk, </w:t>
      </w:r>
      <w:r>
        <w:t xml:space="preserve"> Reputation risk </w:t>
      </w:r>
      <w:r>
        <w:t xml:space="preserve"> Liquidity risk </w:t>
      </w:r>
      <w:r>
        <w:t xml:space="preserve"> Counterparty risk </w:t>
      </w:r>
      <w:r>
        <w:t xml:space="preserve"> Country risk </w:t>
      </w:r>
      <w:r>
        <w:t xml:space="preserve"> Currency risk </w:t>
      </w:r>
      <w:r>
        <w:t xml:space="preserve"> Regulatory risk </w:t>
      </w:r>
      <w:r>
        <w:t xml:space="preserve"> Market risk </w:t>
      </w:r>
      <w:r>
        <w:t xml:space="preserve"> Dilution risk and </w:t>
      </w:r>
      <w:r>
        <w:t> Commingling risk These aspects are addressed by the respective, dedicated internal governance processes.</w:t>
      </w:r>
    </w:p>
    <w:p w14:paraId="46244C98" w14:textId="77777777" w:rsidR="00B0464C" w:rsidRDefault="00000000">
      <w:r>
        <w:t xml:space="preserve">RBIs roles in securitization transactions RBI engages in securitization transactions as, </w:t>
      </w:r>
      <w:r>
        <w:t xml:space="preserve"> Investor traditional securitizations </w:t>
      </w:r>
      <w:r>
        <w:t xml:space="preserve"> Originator traditional and synthetic securitizations </w:t>
      </w:r>
      <w:r>
        <w:t xml:space="preserve"> Arranger traditional and synthetic securitizations </w:t>
      </w:r>
      <w:r>
        <w:t xml:space="preserve"> Servicer and back-up servicer acting only for Group entities to meet market requirements </w:t>
      </w:r>
      <w:r>
        <w:t> Sponsor traditional securitization The approaches used by RBI to calculate the weighted exposure amount in relation to its securitization activities A dedicated governance and risk management process is in place to monitor performance and changes in the securitization exposures.</w:t>
      </w:r>
    </w:p>
    <w:p w14:paraId="799B3556" w14:textId="77777777" w:rsidR="00B0464C" w:rsidRDefault="00000000">
      <w:r>
        <w:t>RBI Group fosters the development, satisfaction and loyalty of its employees by providing financial stability and by focusing performance management on the development of staff members.</w:t>
      </w:r>
    </w:p>
    <w:p w14:paraId="525A2771" w14:textId="77777777" w:rsidR="00B0464C" w:rsidRDefault="00000000">
      <w:r>
        <w:t>This provides every employee with an adequate living based on fixed income, thus allowing a fully flexible variable remuneration policy.</w:t>
      </w:r>
    </w:p>
    <w:p w14:paraId="67A7F5FC" w14:textId="77777777" w:rsidR="00B0464C" w:rsidRDefault="00000000">
      <w:r>
        <w:lastRenderedPageBreak/>
        <w:t>This means that variable remuneration is influenced by the performance of RBI as a whole and the performance of the respective company, and less by factors at the level of the individual employee.</w:t>
      </w:r>
    </w:p>
    <w:p w14:paraId="3194BFE1" w14:textId="77777777" w:rsidR="00B0464C" w:rsidRDefault="00000000">
      <w:r>
        <w:t>For this group of employees, the bonus system is adapted in such a way as to further promote teamwork and avoid silo-thinking by focusing on overall Group and institutional performance.</w:t>
      </w:r>
    </w:p>
    <w:p w14:paraId="3291F3D4" w14:textId="77777777" w:rsidR="00B0464C" w:rsidRDefault="00000000">
      <w:r>
        <w:t>By putting an emphasis and focus on the capital base of RBI, the compensation structure is directly linked to the aforementioned key remuneration principles.</w:t>
      </w:r>
    </w:p>
    <w:p w14:paraId="2443E4BC" w14:textId="77777777" w:rsidR="00B0464C" w:rsidRDefault="00000000">
      <w:r>
        <w:t>On a subsidiary level the compensation policies are structured in compliance with the RBI Group remuneration policy and are subject to approval by the respective local supervisory boardsREMCOs.</w:t>
      </w:r>
    </w:p>
    <w:p w14:paraId="5BAAB62B" w14:textId="77777777" w:rsidR="00B0464C" w:rsidRDefault="00000000">
      <w:r>
        <w:t>The design and structure of the remuneration system As a Group-wide standard, an Identified Staff Assessment approach is used based on the qualitative and quantitative criteria provided for in Commission Delegated Regulation 2021923 to determine those staff members whose professional activities have a material impact on RBI Groups and a single institutions risk profile.</w:t>
      </w:r>
    </w:p>
    <w:p w14:paraId="3F1B8077" w14:textId="77777777" w:rsidR="00B0464C" w:rsidRDefault="00000000">
      <w:r>
        <w:t>For this category of employees Identified Staff, the relevant internal regulations of RBI Group provide for specific rules and consequences concerning their variable remuneration in compliance with regulatory requirements.</w:t>
      </w:r>
    </w:p>
    <w:p w14:paraId="5AB174F4" w14:textId="7E657E48" w:rsidR="00B0464C" w:rsidRDefault="00000000">
      <w:r>
        <w:t xml:space="preserve">The RBI Group remuneration policy provides that, based on stricter local legal provisions in some EU countries, deviation from the Group standards for payment of variable compensation to Identified Staff is possible this is the case </w:t>
      </w:r>
      <w:r w:rsidR="006F2310">
        <w:t>i</w:t>
      </w:r>
      <w:r>
        <w:t>n Czech Republic, Croatia.</w:t>
      </w:r>
    </w:p>
    <w:p w14:paraId="7657AC5F" w14:textId="77777777" w:rsidR="005507C5" w:rsidRDefault="00000000">
      <w:r>
        <w:t>The target variable compensation does not exceed in any case the mandatory legal or regulatory thresholds</w:t>
      </w:r>
      <w:r w:rsidR="005507C5">
        <w:t>.</w:t>
      </w:r>
    </w:p>
    <w:p w14:paraId="19C62851" w14:textId="1C7C9EB7" w:rsidR="00B0464C" w:rsidRDefault="005507C5">
      <w:r>
        <w:t>S</w:t>
      </w:r>
      <w:r w:rsidR="00000000">
        <w:t>hall be fully in compliance with any provisions on the maximum permissible amount of the total variable compensation component and the allocation and payment of variable compensation to Identified Staff is made in compliance with the bonus cap.</w:t>
      </w:r>
    </w:p>
    <w:p w14:paraId="62057B86" w14:textId="77777777" w:rsidR="00B0464C" w:rsidRDefault="00000000">
      <w:r>
        <w:t>The RBI Group remuneration rules establish that the variable component of Identified Staff remuneration shall in principle not exceed 100 per cent of the bonus relevant fixed component of the total remuneration for each individual.</w:t>
      </w:r>
    </w:p>
    <w:p w14:paraId="0760A431" w14:textId="77777777" w:rsidR="00B0464C" w:rsidRDefault="00000000">
      <w:r>
        <w:t>A profit sharing approach for example, employee receives a percentage of incomeprofitcash collectedmoney recovered, etc.</w:t>
      </w:r>
    </w:p>
    <w:p w14:paraId="2C47193F" w14:textId="47CCA7BC" w:rsidR="00B0464C" w:rsidRDefault="00000000">
      <w:r>
        <w:t>The pay mix proportion of variable compensation to base pay is balanced and reflects the impact on risk taking and compliance behavior of the employees how much risk is an employee exposing the company to</w:t>
      </w:r>
      <w:r w:rsidR="00F903C4">
        <w:t xml:space="preserve"> i</w:t>
      </w:r>
      <w:r>
        <w:t xml:space="preserve">t varies depending on the employees position and role </w:t>
      </w:r>
      <w:r w:rsidR="00635BFA">
        <w:lastRenderedPageBreak/>
        <w:t>s</w:t>
      </w:r>
      <w:r>
        <w:t>ales functions or functions higher in the hierarchy may have a higher variable to fixed ratio than service or support functions or functions lower in the hierarchy.</w:t>
      </w:r>
    </w:p>
    <w:p w14:paraId="3EA04B1F" w14:textId="77777777" w:rsidR="00B0464C" w:rsidRDefault="00000000">
      <w:r>
        <w:t>Control functions such as Risk Management and Compliance are involved in the process of establishing the appropriate measurements for variable compensation.</w:t>
      </w:r>
    </w:p>
    <w:p w14:paraId="266EB7CF" w14:textId="77777777" w:rsidR="00B0464C" w:rsidRDefault="00000000">
      <w:r>
        <w:t>Criteria for allocation of the amounts of severance payments to Identified Staff are defined by each relevant NWU in line with the provisions of remuneration policy, in compliance with the special remuneration provisions for Identified Staff based on EU and local legal provisions.</w:t>
      </w:r>
    </w:p>
    <w:p w14:paraId="008E47FC" w14:textId="77777777" w:rsidR="00B0464C" w:rsidRDefault="00000000">
      <w:r>
        <w:t>Each employees objectives are derived from the organizational strategic priorities and from the relevant business line, department, and team goals.</w:t>
      </w:r>
    </w:p>
    <w:p w14:paraId="6D6C4278" w14:textId="77777777" w:rsidR="00B0464C" w:rsidRDefault="00000000">
      <w:r>
        <w:t>For this employee category the relevant ROE and CIR strategic goals have been defined on both Group as well as local company level.</w:t>
      </w:r>
    </w:p>
    <w:p w14:paraId="6D3EF113" w14:textId="77777777" w:rsidR="00B0464C" w:rsidRDefault="00000000">
      <w:r>
        <w:t>Control functions The performance measures for control functions, such as risk, audit and compliance functions reflect specific requirements for these functions.</w:t>
      </w:r>
    </w:p>
    <w:p w14:paraId="22B35878" w14:textId="77777777" w:rsidR="00B0464C" w:rsidRDefault="00000000">
      <w:r>
        <w:t>Employees engaged in control functions are compensated independently of the business unit they supervise, have appropriate authority and their remuneration is determined on the basis of achievement of their organizational objectives linked to their functions, regardless of the results of the business activities they monitor.</w:t>
      </w:r>
    </w:p>
    <w:p w14:paraId="5555C317" w14:textId="77777777" w:rsidR="00B0464C" w:rsidRDefault="00000000">
      <w:r>
        <w:t>Guaranteed variable remuneration Guaranteed variable remuneration is not consistent with sound risk management or the pay-for-performance principle and is not a part of prospective remuneration plans.</w:t>
      </w:r>
    </w:p>
    <w:p w14:paraId="562A3ED8" w14:textId="77777777" w:rsidR="00B0464C" w:rsidRDefault="00000000">
      <w:r>
        <w:t>For other categories of employees having a less material impact on the companys risk profile, appropriate remuneration principles and risk alignment mechanisms have been implemented.</w:t>
      </w:r>
    </w:p>
    <w:p w14:paraId="2DB9B71E" w14:textId="77777777" w:rsidR="00B0464C" w:rsidRDefault="00000000">
      <w:r>
        <w:t xml:space="preserve">Clawback is applied in the case of, </w:t>
      </w:r>
      <w:r>
        <w:t xml:space="preserve"> Fraud, criminal offense or misleading information provided by the employee with high negative impact on the banks credibility and profitability or </w:t>
      </w:r>
      <w:r>
        <w:t> Allocation or payment of variable compensation in willful violation of the remuneration principles provided for in the internal RBI Group remuneration principles or in willful violation of mandatory banking law provisions.</w:t>
      </w:r>
    </w:p>
    <w:p w14:paraId="48B2BAC9" w14:textId="77777777" w:rsidR="00B0464C" w:rsidRDefault="00000000">
      <w:r>
        <w:t>Each year every NWU conducts a Malus and Clawback check in compliance with the RBI Group Malus &amp; Clawback instructions and other applicable Group standardsinstructions and each NWU shall ensure enforceability of the defined Malus and Clawback events under local labor law.</w:t>
      </w:r>
    </w:p>
    <w:p w14:paraId="0BB49667" w14:textId="77777777" w:rsidR="00B0464C" w:rsidRDefault="00000000">
      <w:r>
        <w:t>The increase was mainly driven by an increase in Tier 1 capital of € 0,719 million compared to the 2022 year-end figure due to the inclusion of the result for the period and due to a decrease of the overall exposure measure.</w:t>
      </w:r>
    </w:p>
    <w:p w14:paraId="29FA97AE" w14:textId="77777777" w:rsidR="00B0464C" w:rsidRDefault="00000000">
      <w:r>
        <w:lastRenderedPageBreak/>
        <w:t>Additionally, wholesale funding activities and capital generation activities as stable funding sources also affect the development of the NSFR.</w:t>
      </w:r>
    </w:p>
    <w:p w14:paraId="0D99B2C6" w14:textId="77777777" w:rsidR="00B0464C" w:rsidRDefault="00000000">
      <w:r>
        <w:t>Since most of the retail models are developed in the subsidiaries, the independence of the development and validation functions is naturally ensured by reporting to different members of the senior management as well as independently from the risk origination unit.</w:t>
      </w:r>
    </w:p>
    <w:p w14:paraId="5C6C111F" w14:textId="77777777" w:rsidR="00B0464C" w:rsidRDefault="00000000">
      <w:r>
        <w:t>To allow for developing some of the models in RBI head office, a separate unit for methodologies and model developments was formed, which reports to a different member of the senior management.</w:t>
      </w:r>
    </w:p>
    <w:p w14:paraId="38D9BF22" w14:textId="77777777" w:rsidR="00B0464C" w:rsidRDefault="00000000">
      <w:r>
        <w:t xml:space="preserve">The domains of the validation include the following areas, </w:t>
      </w:r>
      <w:r>
        <w:t xml:space="preserve"> Assessment of the models performance stability, discriminatory power, accuracy, and goodness of fit </w:t>
      </w:r>
      <w:r>
        <w:t xml:space="preserve"> Assessment of the assumptions underlying the rating models model design </w:t>
      </w:r>
      <w:r>
        <w:t xml:space="preserve"> Assessment of the environment of the model data representativeness </w:t>
      </w:r>
      <w:r>
        <w:t xml:space="preserve"> Assessment of the data quality and related processes </w:t>
      </w:r>
      <w:r>
        <w:t> Assessment of the rating processes and the use test Group Internal Audit teams as well as local Internal Audit teams regularly assess the processes as described above model development, validation as well as the compliance of those processes with internal regulations and regulatory requirements.</w:t>
      </w:r>
    </w:p>
    <w:p w14:paraId="14865245" w14:textId="77777777" w:rsidR="00B0464C" w:rsidRDefault="00000000">
      <w:r>
        <w:t>The quality of financial information, the ownership support, and the recent development and forecastprojections are also considered in the final score.</w:t>
      </w:r>
    </w:p>
    <w:p w14:paraId="000EEF85" w14:textId="77777777" w:rsidR="00B0464C" w:rsidRDefault="00000000">
      <w:r>
        <w:t>The quality of financial information, the ownership support, and the recent development and forecastprojections are also considered in the final score.</w:t>
      </w:r>
    </w:p>
    <w:p w14:paraId="58077B9C" w14:textId="77777777" w:rsidR="00B0464C" w:rsidRDefault="00000000">
      <w:r>
        <w:t>Development and objective The SMB rating model was developed by RBI experts using internal data from all units of the Group and state-of-the-art statistical methods as well as expert opinions of rating analysts from RBI Credit Management Retail.</w:t>
      </w:r>
    </w:p>
    <w:p w14:paraId="321DF5A7" w14:textId="77777777" w:rsidR="00B0464C" w:rsidRDefault="00000000">
      <w:r>
        <w:t>The revised rating model received regulatory approval in February 2023 and since May 2023 it is used in all risk management processes.</w:t>
      </w:r>
    </w:p>
    <w:p w14:paraId="4265D0F3" w14:textId="74E6E118" w:rsidR="00B0464C" w:rsidRDefault="00000000">
      <w:r>
        <w:t>Rating model is fully in compliance with regulatory technical standards for Specialized lending.</w:t>
      </w:r>
    </w:p>
    <w:p w14:paraId="570DC67A" w14:textId="77777777" w:rsidR="00B0464C" w:rsidRDefault="00000000">
      <w:r>
        <w:t>Development and objective The PI rating model methodology was developed by RBI AG Retail Risk Management and it is primarily based on empirical-statistical modelling techniques.</w:t>
      </w:r>
    </w:p>
    <w:p w14:paraId="46842C1C" w14:textId="72C6A165" w:rsidR="00B0464C" w:rsidRDefault="00000000">
      <w:r>
        <w:t>For the purpose of credit risk mitigation, liabilities of the following protection providers are taken into account</w:t>
      </w:r>
      <w:r w:rsidR="00A51BD8">
        <w:t xml:space="preserve"> </w:t>
      </w:r>
      <w:r>
        <w:t>Central governments and central banks Regional governments</w:t>
      </w:r>
      <w:r w:rsidR="00A51BD8">
        <w:t xml:space="preserve"> </w:t>
      </w:r>
      <w:r>
        <w:t xml:space="preserve">Multilateral development banks </w:t>
      </w:r>
      <w:r w:rsidR="00A51BD8">
        <w:t>I</w:t>
      </w:r>
      <w:r>
        <w:t>nternational organizations, claims on which are treated with a risk weight of 0 per cent under the Standardized Approach Public sector entities, claims on which are treated as claims on institutions or central governments under the Standardized Approach Institutions 68 Other corporate entities, including parent companies and subsidiaries as well as affiliated companies.</w:t>
      </w:r>
    </w:p>
    <w:p w14:paraId="579CF654" w14:textId="77777777" w:rsidR="00B0464C" w:rsidRDefault="00000000">
      <w:r>
        <w:lastRenderedPageBreak/>
        <w:t>Complementary to the quality assurance in the daily risk management process, an annual validation program is in place to ensure the soundness of the risk figures produced.</w:t>
      </w:r>
    </w:p>
    <w:p w14:paraId="3BA2CB48" w14:textId="77777777" w:rsidR="00B0464C" w:rsidRDefault="00000000">
      <w:r>
        <w:t>Maintaining and keeping this framework up-to-date with respect to any portfolio andor organizational changes is part of the daily market risk management tasks, supported by an automated system of checking procedures.</w:t>
      </w:r>
    </w:p>
    <w:p w14:paraId="6F5D7008" w14:textId="77777777" w:rsidR="00B0464C" w:rsidRDefault="00000000">
      <w:r>
        <w:t>This could refer to working conditions, health and safety, employee relations and diversity, employee training, inclusiveness, equality, community programs.</w:t>
      </w:r>
    </w:p>
    <w:p w14:paraId="6E9FCBCE" w14:textId="77777777" w:rsidR="00B0464C" w:rsidRDefault="00000000">
      <w:r>
        <w:t>Governance risks refer to the governance practices of the institutions counterparties or own invested assets, including the inclusion of ESG factors in policies and procedures under the governance of the counterparties.</w:t>
      </w:r>
    </w:p>
    <w:p w14:paraId="035A8311" w14:textId="77777777" w:rsidR="00B0464C" w:rsidRDefault="00000000">
      <w:r>
        <w:t>RBI views Environmental, Social and Governance risks as cross-dimensional risks that affect all areas of risk management.</w:t>
      </w:r>
    </w:p>
    <w:p w14:paraId="4262E5F0" w14:textId="77777777" w:rsidR="00B0464C" w:rsidRDefault="00000000">
      <w:r>
        <w:t>The largest focus with respect to risk assessmentmeasurement and investment in methodologies for scenario analysis and steering is currently on the environmental factors and in particular on climate change.</w:t>
      </w:r>
    </w:p>
    <w:p w14:paraId="671BFBF5" w14:textId="77777777" w:rsidR="00B0464C" w:rsidRDefault="00000000">
      <w:r>
        <w:t>The climate-related and environmental risk transmitters may affect the credit, market, operational and liquidity risk of a financial institution and as such RBI Group has extended its risk framework to include the climate-related and environmental risk as a potential additional driver of the already existing risk types.</w:t>
      </w:r>
    </w:p>
    <w:p w14:paraId="379DC2B1" w14:textId="77777777" w:rsidR="00B0464C" w:rsidRDefault="00000000">
      <w:r>
        <w:t>In the Pillar 2 framework of the Internal Capital Adequacy Assessment Process , the climate-related risk is captured by scenario analysis stress test.</w:t>
      </w:r>
    </w:p>
    <w:p w14:paraId="3A42CE3A" w14:textId="77777777" w:rsidR="00B0464C" w:rsidRDefault="00000000">
      <w:r>
        <w:t>In the operational risk framework including litigation risk, scenarios have been defined to account for forward looking risk triggered by environmental risks.</w:t>
      </w:r>
    </w:p>
    <w:p w14:paraId="2FEE5D50" w14:textId="77777777" w:rsidR="00B0464C" w:rsidRDefault="00000000">
      <w:r>
        <w:t xml:space="preserve">Significant changes occurred in some areas of disclosure, either in the source, the scope of information being disclosed or approach for the assessment applied, </w:t>
      </w:r>
      <w:r>
        <w:t> Scope 3 financed emissions for following NACE sectors and industries were disclosed as of 2023-Q4, as proposed by the timeline for scope 3 disclosures specified in PCAF standard, B Mining and quarrying, C Manufacturing, F Construction, H Transporting and storage, N81 Services to buildings and landscape activities.</w:t>
      </w:r>
    </w:p>
    <w:p w14:paraId="667EA286" w14:textId="77777777" w:rsidR="00B0464C" w:rsidRDefault="00000000">
      <w:r>
        <w:t>For this purpose, RBI focuses of data sourcing from the largest emitters in our corporate loan portfolio, to capture the most relevant sources of GHG emissions as well as industries referenced as important in the regulatory Framework, Oil &amp; Gas EBA ITS as of 19.</w:t>
      </w:r>
    </w:p>
    <w:p w14:paraId="232DCE11" w14:textId="77777777" w:rsidR="00B0464C" w:rsidRDefault="00000000">
      <w:r>
        <w:t>Risk processes and governance' pg 91-95 in RBI Group's Sustainability Report 2023.</w:t>
      </w:r>
    </w:p>
    <w:p w14:paraId="2F471E6B" w14:textId="7F42B407" w:rsidR="00B0464C" w:rsidRDefault="00000000">
      <w:r>
        <w:t>Alignment of the remuneration policy with institution's environmental risk-related objectives Please refer to 'RBI Group Strategy Map' pg 18, 'IV.</w:t>
      </w:r>
    </w:p>
    <w:p w14:paraId="5666CA35" w14:textId="77777777" w:rsidR="00B0464C" w:rsidRDefault="00000000">
      <w:r>
        <w:lastRenderedPageBreak/>
        <w:t>Risk processes and governance' pg 91- 95 and 'Climate stress testing' pg 89-90 in RBI Group's Sustainability Report 2023.</w:t>
      </w:r>
    </w:p>
    <w:p w14:paraId="40683D34" w14:textId="7D406AAF" w:rsidR="00B0464C" w:rsidRDefault="00000000">
      <w:r>
        <w:t>Definitions, methodologies and international standards on which the environmental risk management framework is based Please refer to 'IV.</w:t>
      </w:r>
    </w:p>
    <w:p w14:paraId="7A00C795" w14:textId="77777777" w:rsidR="00B0464C" w:rsidRDefault="00000000">
      <w:r>
        <w:t>Risk processes and governance' pg 91-95 in RBI Group's Sustainability Report 2023.</w:t>
      </w:r>
    </w:p>
    <w:p w14:paraId="0AF59B37" w14:textId="4348DA69" w:rsidR="00B0464C" w:rsidRDefault="00000000">
      <w:r>
        <w:t>Processes to identify, measure and monitor activities and exposures and collateral where applicable sensitive to environmental risks, covering relevant transmission channels Please refer to 'Assessment of the materiality of climate and environment-related risks' pg 73-77 in RBI Group's Sustainability Report 2023.</w:t>
      </w:r>
    </w:p>
    <w:p w14:paraId="0B5038AB" w14:textId="746AD0A4" w:rsidR="00B0464C" w:rsidRDefault="00000000">
      <w:r>
        <w:t>Activities, commitments and exposures contributing to mitigate environmental risks Please refer to 'IV.</w:t>
      </w:r>
    </w:p>
    <w:p w14:paraId="1F9AA7A1" w14:textId="77777777" w:rsidR="00B0464C" w:rsidRDefault="00000000">
      <w:r>
        <w:t>Identification &amp; definition of ESG risks' pg 72 and 'Climate stress testings' pg 89-90 in RBI Group's Sustainability Report 2023.</w:t>
      </w:r>
    </w:p>
    <w:p w14:paraId="0B1D851D" w14:textId="7CF139C4" w:rsidR="00B0464C" w:rsidRDefault="00000000">
      <w:r>
        <w:t>Data availability, quality and accuracy, and efforts to improve these aspects Please refer to 'Customer data collection' pg 79 in RBI Group's Sustainability Report 2023.</w:t>
      </w:r>
    </w:p>
    <w:p w14:paraId="068850CD" w14:textId="7CC1F82E" w:rsidR="00B0464C" w:rsidRDefault="00000000">
      <w:r>
        <w:t>Description of limits to environmental risks as drivers of prudential risks that are set, and triggering escalation and exclusion in the case of breaching these limits Please refer to 'Climate stress testings' pg 89-90 and 'IV.</w:t>
      </w:r>
    </w:p>
    <w:p w14:paraId="369082D8" w14:textId="77777777" w:rsidR="00B0464C" w:rsidRDefault="00000000">
      <w:r>
        <w:t>Risk processes and governance' pg 91-95 in RBI Group's Sustainability Report 2023.</w:t>
      </w:r>
    </w:p>
    <w:p w14:paraId="60F85F0D" w14:textId="158B8FD9" w:rsidR="00B0464C" w:rsidRDefault="00000000">
      <w:r>
        <w:t>Description of the link transmission channels between environmental risks with credit risk, liquidity and funding risk, market risk, operational risk and reputational risk in the risk management framework Please refer to 'Climate stress testings' pg 89-90 and 'IV.</w:t>
      </w:r>
    </w:p>
    <w:p w14:paraId="3363539C" w14:textId="77777777" w:rsidR="00B0464C" w:rsidRDefault="00000000">
      <w:r>
        <w:t>Risk processes and governance' pg 91-95 in RBI Group's Sustainability Report 2023.</w:t>
      </w:r>
    </w:p>
    <w:p w14:paraId="048B5201" w14:textId="54BA2A58" w:rsidR="00B0464C" w:rsidRDefault="00000000">
      <w:r>
        <w:t>Lines of reporting and frequency of reporting relating to social risk Please refer to 'Code of Conduct' pg 44, 'IV.</w:t>
      </w:r>
    </w:p>
    <w:p w14:paraId="6FD5AB08" w14:textId="77777777" w:rsidR="00B0464C" w:rsidRDefault="00000000">
      <w:r>
        <w:t>Risk processes and governance' pg 91-95 and 'Employee involvement' pg 167 in RBI Group's Sustainability Report 2023.</w:t>
      </w:r>
    </w:p>
    <w:p w14:paraId="730F345C" w14:textId="20C7977B" w:rsidR="00B0464C" w:rsidRDefault="00000000">
      <w:r>
        <w:t>Alignment of the remuneration policy in line with institution's social risk-related objectives Please refer to 'RBI Group Strategy Map' pg 18 in RBI Group's Sustainability Report 2023.</w:t>
      </w:r>
    </w:p>
    <w:p w14:paraId="2958A130" w14:textId="77777777" w:rsidR="00B0464C" w:rsidRDefault="00000000">
      <w:r>
        <w:t>Risk processes and governance' pg 91-95 in RBI Group's Sustainability Report 2023.</w:t>
      </w:r>
    </w:p>
    <w:p w14:paraId="482C7A57" w14:textId="58E60E4B" w:rsidR="00B0464C" w:rsidRDefault="00000000">
      <w:r>
        <w:t>Description of the link transmission channels between environmental risks with credit risk, liquidity and funding risk, market risk, operational risk and reputational risk in the risk management framework Please refer to 'IV.</w:t>
      </w:r>
    </w:p>
    <w:p w14:paraId="6D5E3584" w14:textId="77777777" w:rsidR="00B0464C" w:rsidRDefault="00000000">
      <w:r>
        <w:lastRenderedPageBreak/>
        <w:t>Risk processes and governance' pg 91-95 and 'Assessment of the materiality of climate and environment-related risks' pg 73 in RBI Group's Sustainability Report 2023.</w:t>
      </w:r>
    </w:p>
    <w:sectPr w:rsidR="00B046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709963280">
    <w:abstractNumId w:val="8"/>
  </w:num>
  <w:num w:numId="2" w16cid:durableId="1034845954">
    <w:abstractNumId w:val="6"/>
  </w:num>
  <w:num w:numId="3" w16cid:durableId="1314718296">
    <w:abstractNumId w:val="5"/>
  </w:num>
  <w:num w:numId="4" w16cid:durableId="1399473263">
    <w:abstractNumId w:val="4"/>
  </w:num>
  <w:num w:numId="5" w16cid:durableId="9952">
    <w:abstractNumId w:val="7"/>
  </w:num>
  <w:num w:numId="6" w16cid:durableId="737439944">
    <w:abstractNumId w:val="3"/>
  </w:num>
  <w:num w:numId="7" w16cid:durableId="1466122875">
    <w:abstractNumId w:val="2"/>
  </w:num>
  <w:num w:numId="8" w16cid:durableId="1575628917">
    <w:abstractNumId w:val="1"/>
  </w:num>
  <w:num w:numId="9" w16cid:durableId="1225721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7C5"/>
    <w:rsid w:val="00635BFA"/>
    <w:rsid w:val="00672963"/>
    <w:rsid w:val="006878D8"/>
    <w:rsid w:val="006F2310"/>
    <w:rsid w:val="00A51BD8"/>
    <w:rsid w:val="00AA1D8D"/>
    <w:rsid w:val="00B0464C"/>
    <w:rsid w:val="00B47730"/>
    <w:rsid w:val="00CB0664"/>
    <w:rsid w:val="00F90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61007"/>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2777</Words>
  <Characters>15829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2025-08-02T17:06:00Z</dcterms:modified>
  <cp:category/>
</cp:coreProperties>
</file>