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751C2" w14:textId="4981FE6D" w:rsidR="00EE219E" w:rsidRDefault="00000000">
      <w:r>
        <w:t xml:space="preserve">The policy on diversity </w:t>
      </w:r>
      <w:proofErr w:type="gramStart"/>
      <w:r>
        <w:t>with regard to</w:t>
      </w:r>
      <w:proofErr w:type="gramEnd"/>
      <w:r>
        <w:t xml:space="preserve"> selection of members of the management body, its objectives, and any relevant targets set out in that policy, and the extent to which these objectives and targets have been achieved</w:t>
      </w:r>
      <w:r w:rsidR="007F7672">
        <w:t>.</w:t>
      </w:r>
    </w:p>
    <w:p w14:paraId="13416480" w14:textId="77777777" w:rsidR="00EE219E" w:rsidRDefault="00000000">
      <w:r>
        <w:t xml:space="preserve">Risk management in NLB Group, representing an important element of the Groups overall corporate governance, is implemented in accordance with the set strategic guidelines, established internal policies, and procedures which </w:t>
      </w:r>
      <w:proofErr w:type="gramStart"/>
      <w:r>
        <w:t>take into account</w:t>
      </w:r>
      <w:proofErr w:type="gramEnd"/>
      <w:r>
        <w:t xml:space="preserve"> European banking regulations, the regulations adopted by the Bank of Slovenia, the current EBA guidelines, and the relevant good banking practices.</w:t>
      </w:r>
    </w:p>
    <w:p w14:paraId="4EB942DD" w14:textId="77777777" w:rsidR="00EE219E" w:rsidRDefault="00000000">
      <w:r>
        <w:t>NLB Group uses the three lines of defence framework as an important element of its internal governance, whereby the Risk management function acts as a second line of defence.</w:t>
      </w:r>
    </w:p>
    <w:p w14:paraId="3446F340" w14:textId="77777777" w:rsidR="00EE219E" w:rsidRDefault="00000000">
      <w:r>
        <w:t>The Groups Risk management function has enhanced overall corporate governance, which is reflected in lower SREP requirement in recent years.</w:t>
      </w:r>
    </w:p>
    <w:p w14:paraId="20EEA55C" w14:textId="77777777" w:rsidR="00EE219E" w:rsidRDefault="00000000">
      <w:r>
        <w:t>A robust and comprehensive Risk Management framework is defined and organised with regard to the Groups business and risk profiles, and is based on a forward looking perspective to meet internally set strategic objectives and all external requirements.</w:t>
      </w:r>
    </w:p>
    <w:p w14:paraId="7E4A7C5B" w14:textId="77777777" w:rsidR="00EE219E" w:rsidRDefault="00000000">
      <w:r>
        <w:t>NLB Group is engaged in contributing to sustainable finance by incorporating environmental, social, and governance risks into its business strategies, risk management framework, and internal governance arrangements.</w:t>
      </w:r>
    </w:p>
    <w:p w14:paraId="0A91A945" w14:textId="77777777" w:rsidR="00EE219E" w:rsidRDefault="00000000">
      <w:r>
        <w:t>The goal of this strategic, organisation-wide initiative is to ensure the sustainable financial performance of the Group by considering ESG risks and opportunities in its operations, and to actively contribute to a more balanced and inclusive economic and social system.</w:t>
      </w:r>
    </w:p>
    <w:p w14:paraId="11177970" w14:textId="77777777" w:rsidR="00EE219E" w:rsidRDefault="00000000">
      <w:r>
        <w:t>Additionally, NLB Group established a comprehensive stress-testing framework and other early warning systems in different risk areas with the intention of contributing to setting and pursuing the Groups business strategy, to support decision-making on an ongoing basis, to strengthen the existing internal controls, and to enable a timely response when necessary.</w:t>
      </w:r>
    </w:p>
    <w:p w14:paraId="4C9A6819" w14:textId="77777777" w:rsidR="00EE219E" w:rsidRDefault="00000000">
      <w:r>
        <w:t>The Group integrates and manages ESG risk within the established risk management framework, where the aforementioned risk is one of risk drivers of the existing type of risks, such as credit, liquidity, market, and operational risk.</w:t>
      </w:r>
    </w:p>
    <w:p w14:paraId="5A985994" w14:textId="77777777" w:rsidR="00EE219E" w:rsidRDefault="00000000">
      <w:r>
        <w:t>Based on our environmental and climate risk assessment, the impact of these risks is estimated as low, except for transition risk in the area of credit risk, which is assessed as low to medium.</w:t>
      </w:r>
    </w:p>
    <w:p w14:paraId="21B15C15" w14:textId="77777777" w:rsidR="00EE219E" w:rsidRDefault="00000000">
      <w:r>
        <w:t>In its initial round of NZBA targets, NLB Group has focused on the fossil fuel-based and highly energy-intensive sectors, such as power generation and iron and steel, and other sectors where the Bank has substantial emissions andor exposure and available data.</w:t>
      </w:r>
    </w:p>
    <w:p w14:paraId="2C2658E3" w14:textId="77777777" w:rsidR="00EE219E" w:rsidRDefault="00000000">
      <w:r>
        <w:lastRenderedPageBreak/>
        <w:t>The latter is particularly important as geopolitical tensions, the green transition, and other macro developments could materially impact on specific industry sectors.</w:t>
      </w:r>
    </w:p>
    <w:p w14:paraId="562CCC56" w14:textId="7A0E853D" w:rsidR="00EE219E" w:rsidRDefault="00000000">
      <w:r>
        <w:t>The purpose of this Report is to provide disclosures as required by the global regulatory framework for capital and liquidity, established by the Basel Committee on Banking Supervision</w:t>
      </w:r>
      <w:r w:rsidR="007F7672">
        <w:t>.</w:t>
      </w:r>
    </w:p>
    <w:p w14:paraId="0FA7F136" w14:textId="7B311C64" w:rsidR="00EE219E" w:rsidRDefault="00000000">
      <w:r>
        <w:t>Such an ITS was adopted by the European Commission and published in the Official Journal with the Implementing Regulation 20222453 of 30 November 2022, amending the Implementing Regulation 2021637 as regards the disclosure of environmental, social, and governance risks</w:t>
      </w:r>
      <w:r w:rsidR="007F7672">
        <w:t>.</w:t>
      </w:r>
    </w:p>
    <w:p w14:paraId="38DD62A9" w14:textId="77777777" w:rsidR="00EE219E" w:rsidRDefault="00000000">
      <w:r>
        <w:t>Verifications and source of information The Pillar 3 disclosures are subject to a robust internal control and governance process, presented in the Policy of Disclosures on risk and capital management in NLB Group.</w:t>
      </w:r>
    </w:p>
    <w:p w14:paraId="201EB028" w14:textId="77777777" w:rsidR="00EE219E" w:rsidRDefault="00000000">
      <w:r>
        <w:t>Moreover, the ICAAP process is comprehensively integrated into the Groups overall risk management system to ensure proactive support for informed decision-making.</w:t>
      </w:r>
    </w:p>
    <w:p w14:paraId="5458C24D" w14:textId="77777777" w:rsidR="00EE219E" w:rsidRDefault="00000000">
      <w:r>
        <w:t>The most important goal of the ICAAP is to ensure adequate capital and sustainability at all times.</w:t>
      </w:r>
    </w:p>
    <w:p w14:paraId="6C22E0A8" w14:textId="77777777" w:rsidR="00EE219E" w:rsidRDefault="00000000">
      <w:r>
        <w:t>Within these capital constraints, the Group defines its management buffer above the regulatory and supervisory requirements, including internal capital needs that allow the Group to sustainably follow its business strategy.</w:t>
      </w:r>
    </w:p>
    <w:p w14:paraId="11118153" w14:textId="77777777" w:rsidR="00EE219E" w:rsidRDefault="00000000">
      <w:r>
        <w:t>From a stress perspective, the Groups goal is to maintain its total SREP requirement , increased by the management buffer at all times and also fulfilled during prolonged downturn developments that may imply a serious capital depletion.</w:t>
      </w:r>
    </w:p>
    <w:p w14:paraId="679AFD08" w14:textId="77777777" w:rsidR="00EE219E" w:rsidRDefault="00000000">
      <w:r>
        <w:t>Risk identification is embedded at a very early stage, focusing on the efficient risk management and the mitigation in order to ensure the prudent and economic use of its capital.</w:t>
      </w:r>
    </w:p>
    <w:p w14:paraId="3FE9F85E" w14:textId="77777777" w:rsidR="00EE219E" w:rsidRDefault="00000000">
      <w:r>
        <w:t>The ICAAP outcomes support the Groups proactive risk management through limits in monitoring and reporting, adequate risk assessment, and measurement.</w:t>
      </w:r>
    </w:p>
    <w:p w14:paraId="0DEA0D89" w14:textId="77777777" w:rsidR="00EE219E" w:rsidRDefault="00000000">
      <w:r>
        <w:t>Risk factors Risk factors affecting the business outlook are among others, The economys sensitivity to a potential slowdown in the Euro area or globally Potential liquidity outflows Widening credit spreads Worsened interest rate outlook Persistence of high inflation Energy and commodity price volatility Increasing unemployment Geopolitical uncertainties Potential cyber-attacks Litigation risks Regulatory, other legislative, and tax measures impacting the banks The growth of the euro area economy stagnated in 2024, while other countries in NLB Groups region were growing faster, with household consumption being the main driving factor of growth.</w:t>
      </w:r>
    </w:p>
    <w:p w14:paraId="6715FD03" w14:textId="77777777" w:rsidR="00EE219E" w:rsidRDefault="00000000">
      <w:r>
        <w:lastRenderedPageBreak/>
        <w:t>The latter is particularly important as geopolitical tensions, the green transition, and other macro developments could materially impact specific industry sectors.</w:t>
      </w:r>
    </w:p>
    <w:p w14:paraId="5198376D" w14:textId="77777777" w:rsidR="00EE219E" w:rsidRDefault="00000000">
      <w:r>
        <w:t>Notwithstanding the established procedures in the Groups credit risk management, there can be no certainty that they will be sufficient to ensure the Groups credit portfolio quality or that the corresponding impairments will remain adequate.</w:t>
      </w:r>
    </w:p>
    <w:p w14:paraId="57933A8C" w14:textId="77777777" w:rsidR="00EE219E" w:rsidRDefault="00000000">
      <w:r>
        <w:t>The Group has established internal controls and other measures to facilitate adequate management.</w:t>
      </w:r>
    </w:p>
    <w:p w14:paraId="4639E08E" w14:textId="77777777" w:rsidR="00EE219E" w:rsidRDefault="00000000">
      <w:r>
        <w:t>Labour skill mismatches are addressed through targeted training programs.</w:t>
      </w:r>
    </w:p>
    <w:p w14:paraId="35687D4E" w14:textId="77777777" w:rsidR="00EE219E" w:rsidRDefault="00000000">
      <w:r>
        <w:t>This adverse scenario results in a prolonged global recession, with growth falling well below the levels needed to achieve sustainable development goals in the mid-term.</w:t>
      </w:r>
    </w:p>
    <w:p w14:paraId="049BEB63" w14:textId="77777777" w:rsidR="00EE219E" w:rsidRDefault="00000000">
      <w:r>
        <w:t>General information on risk management, objectives, and policies Articles 435.</w:t>
      </w:r>
    </w:p>
    <w:p w14:paraId="6CA1E478" w14:textId="77777777" w:rsidR="00EE219E" w:rsidRDefault="00000000">
      <w:r>
        <w:t>The Group is committed to developing a culture of client focus, risk awareness, integrity, efficient organisation, sustainable financing, and social responsibility.</w:t>
      </w:r>
    </w:p>
    <w:p w14:paraId="19C6AF94" w14:textId="77777777" w:rsidR="00EE219E" w:rsidRDefault="00000000">
      <w:r>
        <w:t>The latter is particularly important as geopolitical tensions, the green transition, and other macro developments could materially impact on specific industry sectors.</w:t>
      </w:r>
    </w:p>
    <w:p w14:paraId="764A8E77" w14:textId="77777777" w:rsidR="00EE219E" w:rsidRDefault="00000000">
      <w:r>
        <w:t>Risk management in the Group is implemented in accordance with the established internal policies and procedures that follow European banking regulations, the regulations adopted by the Bank of Slovenia, ECB and EBA guidelines, and relevant good banking practice.</w:t>
      </w:r>
    </w:p>
    <w:p w14:paraId="254852EF" w14:textId="77777777" w:rsidR="00EE219E" w:rsidRDefault="00000000">
      <w:r>
        <w:t>The Group is engaged in contributing to sustainable finance by incorporating environmental, social, and governance risks into its business strategies, risk management framework, and internal governance arrangements.</w:t>
      </w:r>
    </w:p>
    <w:p w14:paraId="62A25D49" w14:textId="77777777" w:rsidR="00EE219E" w:rsidRDefault="00000000">
      <w:r>
        <w:t>The goal of this strategic, organisation-wide initiative is to ensure sustainable financial performance of the Group by considering ESG risks and opportunities in its operations, and to actively contribute to a more balanced and inclusive economic and social system.</w:t>
      </w:r>
    </w:p>
    <w:p w14:paraId="09E197C8" w14:textId="77777777" w:rsidR="00EE219E" w:rsidRDefault="00000000">
      <w:r>
        <w:t>The Group integrates and manages ESG risk within the established risk management framework where the aforementioned risk is one of risk drivers of the existing type of risks, such as credit, liquidity, market, and operational risk.</w:t>
      </w:r>
    </w:p>
    <w:p w14:paraId="2E889A77" w14:textId="77777777" w:rsidR="00EE219E" w:rsidRDefault="00000000">
      <w:r>
        <w:t>In addition, internal capital and liquidity consumption are integrated into an overall risk management system to assure proactive support for informed decisionmaking on strategic and operational levels.</w:t>
      </w:r>
    </w:p>
    <w:p w14:paraId="499A93A8" w14:textId="77777777" w:rsidR="00EE219E" w:rsidRDefault="00000000">
      <w:r>
        <w:t>Based on the environmental and climate risk assessment, the impact of these risks is estimated as low, except for transition risk in the area of credit risk which is assessed as low to medium.</w:t>
      </w:r>
    </w:p>
    <w:p w14:paraId="4A1F785C" w14:textId="77777777" w:rsidR="00EE219E" w:rsidRDefault="00000000">
      <w:r>
        <w:lastRenderedPageBreak/>
        <w:t>The robust risk management framework is comprehensively integrated into decision-making, steering, and mitigation processes within the Group.</w:t>
      </w:r>
    </w:p>
    <w:p w14:paraId="34594394" w14:textId="77777777" w:rsidR="00EE219E" w:rsidRDefault="00000000">
      <w:r>
        <w:t>Key risk management guidelines of the Group are defined by its Risk Appetite and Risk Strategy in accordance with the Groups business model and based on a forward-looking perspective.</w:t>
      </w:r>
    </w:p>
    <w:p w14:paraId="5F825CA8" w14:textId="77777777" w:rsidR="00EE219E" w:rsidRDefault="00000000">
      <w:r>
        <w:t>A regulatory compliance check represents the next important step and includes verification that a client is adhering to the applicable laws, regulations, and standards.</w:t>
      </w:r>
    </w:p>
    <w:p w14:paraId="27297558" w14:textId="77777777" w:rsidR="00EE219E" w:rsidRDefault="00000000">
      <w:r>
        <w:t>Furthermore, key risk indicators, serving as an early warning system for the broader field of operational risks, are established with the aim to further improve the existing internal controls and to respond in a timely manner.</w:t>
      </w:r>
    </w:p>
    <w:p w14:paraId="7C87826A" w14:textId="77777777" w:rsidR="00EE219E" w:rsidRDefault="00000000">
      <w:r>
        <w:t>Risk reporting is carried out in the form of standardised reports, pursuant to risk management policies based on common methodologies for measuring and harmonising exposure to risks, uniform databases structure within Data Warehouse , comprehensive data quality assurance, and automated report preparation, which ensures the quality of reports and reduces the possibility of errors.</w:t>
      </w:r>
    </w:p>
    <w:p w14:paraId="75A3075A" w14:textId="77777777" w:rsidR="00EE219E" w:rsidRDefault="00000000">
      <w:r>
        <w:t>The Group has established a strong and robust data governance programme that aligns with the goals and objectives of the Groups risk management function.</w:t>
      </w:r>
    </w:p>
    <w:p w14:paraId="0A5E08A7" w14:textId="77777777" w:rsidR="00EE219E" w:rsidRDefault="00000000">
      <w:r>
        <w:t>In addition, they are accountable for identifying and managing the risks that occur while conducting their activities with clients within risk appetite framework or other risk management limits.</w:t>
      </w:r>
    </w:p>
    <w:p w14:paraId="547E9302" w14:textId="77777777" w:rsidR="00EE219E" w:rsidRDefault="00000000">
      <w:r>
        <w:t>They also ensure that adequate internal controls are in place for risk mitigation.</w:t>
      </w:r>
    </w:p>
    <w:p w14:paraId="16DA913D" w14:textId="77777777" w:rsidR="00EE219E" w:rsidRDefault="00000000">
      <w:r>
        <w:t>Risk Management and Compliance comprise the second line of defence.</w:t>
      </w:r>
    </w:p>
    <w:p w14:paraId="5A029F02" w14:textId="77777777" w:rsidR="00EE219E" w:rsidRDefault="00000000">
      <w:r>
        <w:t>Its mandate is to provide an increased focus on holistic risk management and cross-risk oversight to further enhance risk steering and mitigation within the whole Group.</w:t>
      </w:r>
    </w:p>
    <w:p w14:paraId="319B055D" w14:textId="77777777" w:rsidR="00EE219E" w:rsidRDefault="00000000">
      <w:r>
        <w:t>Beyond monitoring the fulfilment of legal and regulatory requirements, Compliance, representing the second line of defence, is also concerned with the ethics and integrity within the whole Group.</w:t>
      </w:r>
    </w:p>
    <w:p w14:paraId="2329A15F" w14:textId="77777777" w:rsidR="00EE219E" w:rsidRDefault="00000000">
      <w:r>
        <w:t>During 2024, there were no material changes in functions presenting the second and third line of defence of the internal control framework Global Risk, Compliance, and Internal Audit in the Bank.</w:t>
      </w:r>
    </w:p>
    <w:p w14:paraId="0F207229" w14:textId="77777777" w:rsidR="00EE219E" w:rsidRDefault="00000000">
      <w:r>
        <w:t>NLB Operational Risk Committee is responsible for monitoring, guiding, and supervising operational risk management in the Bank and transferring this methodology to the Group members.</w:t>
      </w:r>
    </w:p>
    <w:p w14:paraId="6AC84EA8" w14:textId="77777777" w:rsidR="00EE219E" w:rsidRDefault="00000000">
      <w:r>
        <w:lastRenderedPageBreak/>
        <w:t>Change the Bank Committee is responsible for adopting decisions related to the development portfolio to transform the Bank and decisions associated with adopting the development guidelines.</w:t>
      </w:r>
    </w:p>
    <w:p w14:paraId="217E72FA" w14:textId="77777777" w:rsidR="00EE219E" w:rsidRDefault="00000000">
      <w:r>
        <w:t>Operations and IT Committee monitors and prepares draft resolutions for the Supervisory Board on implementation of the strategy for the IT, Information Security, and Operations area.</w:t>
      </w:r>
    </w:p>
    <w:p w14:paraId="0B0DA289" w14:textId="77777777" w:rsidR="00EE219E" w:rsidRDefault="00000000">
      <w:r>
        <w:t>The centralised monitoring of risks aims to establish standardised and systemic approaches to risk management, and therefore, a comprehensive overview of the Groups and of each members statement of financial position.</w:t>
      </w:r>
    </w:p>
    <w:p w14:paraId="252120B6" w14:textId="77777777" w:rsidR="00EE219E" w:rsidRDefault="00000000">
      <w:r>
        <w:t>Compliance and Integrity in the Group and the Bank Compliance and Integrity in the Group, in its role as an internal control function, performs control activities with respect to the main following areas, anti-money laundering, counter-terrorist financing, and restrictive measures sanctions separately for the Bank and the Group level.</w:t>
      </w:r>
    </w:p>
    <w:p w14:paraId="02F0AFC7" w14:textId="77777777" w:rsidR="00EE219E" w:rsidRDefault="00000000">
      <w:r>
        <w:t>In close cooperation with different organisational units, Compliance and Integrity helps in assessing and managing compliance risks in different areas at operations in the Bank and the Group.</w:t>
      </w:r>
    </w:p>
    <w:p w14:paraId="6694079C" w14:textId="77777777" w:rsidR="00EE219E" w:rsidRDefault="00000000">
      <w:r>
        <w:t>The main activities of the Compliance and Integrity Department are, Taking care of the design, adoption, and implementation of basic compliance relevant policies.</w:t>
      </w:r>
    </w:p>
    <w:p w14:paraId="57F4CCDB" w14:textId="77777777" w:rsidR="00EE219E" w:rsidRDefault="00000000">
      <w:r>
        <w:t>For managing regulatory risk, the Bank has in place a regulatory compliance management system for handling and managing changes in the legal environment.</w:t>
      </w:r>
    </w:p>
    <w:p w14:paraId="6563CE97" w14:textId="77777777" w:rsidR="00EE219E" w:rsidRDefault="00000000">
      <w:r>
        <w:t>This system is managed centrally by the Compliance and Integrity Department, while implementation processes are decentralised.</w:t>
      </w:r>
    </w:p>
    <w:p w14:paraId="40F95950" w14:textId="77777777" w:rsidR="00EE219E" w:rsidRDefault="00000000">
      <w:r>
        <w:t>This means that organisational units responsible for certain areas affected by a change in applicable regulations prepare action plans and lead implementation processes, thus ensuring compliance.</w:t>
      </w:r>
    </w:p>
    <w:p w14:paraId="38E41F77" w14:textId="77777777" w:rsidR="00EE219E" w:rsidRDefault="00000000">
      <w:r>
        <w:t>Conducting compliance checks in areas at compliance risk, through compliance reviews, identification of shortcomings in this regard, issuing of compliance recommendations, and monitoring of their implementation.</w:t>
      </w:r>
    </w:p>
    <w:p w14:paraId="2297E40F" w14:textId="77777777" w:rsidR="00EE219E" w:rsidRDefault="00000000">
      <w:r>
        <w:t>Identifying and assessing risks associated with compliance and integrity that occur in the daily operations of the Bank, in particular processes for the development of new products and services, projects IT and other projects, organisational and HR changes, and other changes which can have a significant impact on the Banks operations.</w:t>
      </w:r>
    </w:p>
    <w:p w14:paraId="3814E665" w14:textId="77777777" w:rsidR="00EE219E" w:rsidRDefault="00000000">
      <w:r>
        <w:t>Managing the system for the reporting of suspected harmful practices directing the system for reporting on violations through different channels, including anonymous whistleblowing and conducting internal investigations of the reported cases.</w:t>
      </w:r>
    </w:p>
    <w:p w14:paraId="14D78D75" w14:textId="77777777" w:rsidR="00EE219E" w:rsidRDefault="00000000">
      <w:r>
        <w:lastRenderedPageBreak/>
        <w:t>Conducting regular annual comprehensive assessment of the risks for compliance and integrity at the Bank and the Group levels within the ECRA process Enterprise compliance and integrity risk assessment.</w:t>
      </w:r>
    </w:p>
    <w:p w14:paraId="2C5A7009" w14:textId="77777777" w:rsidR="00EE219E" w:rsidRDefault="00000000">
      <w:r>
        <w:t>Providing compliance communication, training, workshops, and targeted surveys for employees and the implementation of activities for strengthening the culture of assuming and managing the risks of compliance and integrity in the Bank and the Group.</w:t>
      </w:r>
    </w:p>
    <w:p w14:paraId="2488DB65" w14:textId="77777777" w:rsidR="00EE219E" w:rsidRDefault="00000000">
      <w:r>
        <w:t>At the level of the Group, binding standards in the field of compliance and integrity are defined, which regulate the policies, rules, and procedures for each member of the Group, that must be implemented in the individual member in the field of compliance and of integrity.</w:t>
      </w:r>
    </w:p>
    <w:p w14:paraId="3155682A" w14:textId="77777777" w:rsidR="00EE219E" w:rsidRDefault="00000000">
      <w:r>
        <w:t>The compliance functions of other Group members are thus organised and are functioning basically in the same way, and with the same tasks and responsibilities as the Compliance and Integrity Department of the Bank of course taking into consideration all local regulatory, business, and risk specifics of individual Group members, as well as their business line reporting to the Compliance and Integrity Department of the Bank.</w:t>
      </w:r>
    </w:p>
    <w:p w14:paraId="3489EF1F" w14:textId="77777777" w:rsidR="00EE219E" w:rsidRDefault="00000000">
      <w:r>
        <w:t>By providing assurances and advice, and with a deep understanding of operations, Internal Audit helps to accomplish the Bank's objectives by bringing a systematic, disciplined approach to evaluate and improve the effectiveness of governance, risk management, and control processes.</w:t>
      </w:r>
    </w:p>
    <w:p w14:paraId="2AA74644" w14:textId="77777777" w:rsidR="00EE219E" w:rsidRDefault="00000000">
      <w:r>
        <w:t>The best practice examples and international guidelines established by the Committee of Sponsoring Organisations of the Treadway Commission COSO and Control Objectives for Information Technologies COBIT used at the IT audit are the criteria Internal Audit uses to cover all control objectives and risk management.</w:t>
      </w:r>
    </w:p>
    <w:p w14:paraId="6E3F558C" w14:textId="77777777" w:rsidR="00EE219E" w:rsidRDefault="00000000">
      <w:r>
        <w:t>Internal Audits serve as an advisory tool for the systematic and professional assessment of the success of the Groups risk management procedures, control system, and governance of the Group operations.</w:t>
      </w:r>
    </w:p>
    <w:p w14:paraId="0EC1DA91" w14:textId="77777777" w:rsidR="00EE219E" w:rsidRDefault="00000000">
      <w:r>
        <w:t>On that basis, the Internal Audit serves as an impartial guide to the Management and Supervisory Boards regarding those areas at the Bank and of the Group with the highest risk in order to help ensure such risks are managed appropriately.</w:t>
      </w:r>
    </w:p>
    <w:p w14:paraId="3DEAA625" w14:textId="77777777" w:rsidR="00EE219E" w:rsidRDefault="00000000">
      <w:r>
        <w:t>The Internal Audit dedicates significant resources to verifying whether audit recommendations have been fulfilled, providing training and consultancy to the management, and promoting the assurance of high-quality and professional operations of the internal audit function.</w:t>
      </w:r>
    </w:p>
    <w:p w14:paraId="6DF4BF7E" w14:textId="77777777" w:rsidR="00EE219E" w:rsidRDefault="00000000">
      <w:r>
        <w:t>The Internal Audit introduces the uniform rules of operation as part of the internal audit function and supervising compliance with these rules across the entire Group.</w:t>
      </w:r>
    </w:p>
    <w:p w14:paraId="61632DBF" w14:textId="77777777" w:rsidR="00EE219E" w:rsidRDefault="00000000">
      <w:r>
        <w:lastRenderedPageBreak/>
        <w:t>The policy on diversity with regard to selection of members of the management body, its objectives, and any relevant targets set out in that policy, and the extent to which these objectives and targets have been achieved Article 435.</w:t>
      </w:r>
    </w:p>
    <w:p w14:paraId="34DEE4A9" w14:textId="77777777" w:rsidR="00EE219E" w:rsidRDefault="00000000">
      <w:r>
        <w:t>The diversity policy is also published publicly on the website.</w:t>
      </w:r>
    </w:p>
    <w:p w14:paraId="65F6ECED" w14:textId="77777777" w:rsidR="00EE219E" w:rsidRDefault="00000000">
      <w:r>
        <w:t>In 2024, amendments to the Companies Act ZGD-1M entered into force, which introduces novelties mainly from the point of view of reporting, transparency, and the introduction of gender balance, and thus transposes into the Slovenian legal order, among others the Directive in the area of ensuring balanced gender representation among the companys directors.</w:t>
      </w:r>
    </w:p>
    <w:p w14:paraId="4CEC2F84" w14:textId="77777777" w:rsidR="00EE219E" w:rsidRDefault="00000000">
      <w:r>
        <w:t>On this basis, the bank will amend the current Diversity Policy and align it with the new legal provisions.</w:t>
      </w:r>
    </w:p>
    <w:p w14:paraId="1BE7B89E" w14:textId="77777777" w:rsidR="00EE219E" w:rsidRDefault="00000000">
      <w:r>
        <w:t>Considering the size of the Bank and the Group, and their regional presence and business strategy, the following aspects are important to ensure diversity, Goals Description Gender structure The Bank promotes the achievement of diversity in terms of adequate representation of both sexes in such a way that all stakeholders in the HR process strive to create an appropriate pool of candidates in the recruitment process that takes into account the adequate representation of the underrepresented gender, to ensure that adequate representation of both sexes is taken into account during selection with the objectives of this policy.</w:t>
      </w:r>
    </w:p>
    <w:p w14:paraId="23A23AD3" w14:textId="77777777" w:rsidR="00EE219E" w:rsidRDefault="00000000">
      <w:r>
        <w:t>The Bank respects and follows the initiative 40332026 Association of Supervisors of Slovenia for voluntary achievement of the goal of sexual diversity by the end of 2026, there will be 40% of members of supervisory boards and a total of 33% of the members of supervisory boards and management boards of the underrepresented sex in public joint stock companies and state-owned companies.</w:t>
      </w:r>
    </w:p>
    <w:p w14:paraId="21B777B0" w14:textId="77777777" w:rsidR="00EE219E" w:rsidRDefault="00000000">
      <w:r>
        <w:t>Credit risk management strategies and policies The Groups lending strategy focuses on its core markets of retail, SME, and selected corporate business activities within the region and EU.</w:t>
      </w:r>
    </w:p>
    <w:p w14:paraId="167755E9" w14:textId="77777777" w:rsidR="00EE219E" w:rsidRDefault="00000000">
      <w:r>
        <w:t>Credit Risk appetite With the aim of maintaining the medium-term and long-term sustainability of operations, the Group strives to maintain the adequate quality of the credit portfolio, and increase profitability based on a concept of optimising the ratio between the return and the assumed risks.</w:t>
      </w:r>
    </w:p>
    <w:p w14:paraId="7B277D3E" w14:textId="77777777" w:rsidR="00EE219E" w:rsidRDefault="00000000">
      <w:r>
        <w:t>While maintaining a balanced overall risk profile, the Bank continues to foster the development of small companies to support their evolution into a robust backbone of target market economies.</w:t>
      </w:r>
    </w:p>
    <w:p w14:paraId="34FCBD2B" w14:textId="77777777" w:rsidR="00EE219E" w:rsidRDefault="00000000">
      <w:r>
        <w:t>As part of the Groups corporate governance, regular reviews of the business practices and the credit portfolios of Group members are performed.</w:t>
      </w:r>
    </w:p>
    <w:p w14:paraId="5EF1E805" w14:textId="77777777" w:rsidR="00EE219E" w:rsidRDefault="00000000">
      <w:r>
        <w:lastRenderedPageBreak/>
        <w:t>Additionally, from an ESG view the Group analyses and monitors its credit portfolio by using heat maps and setting Net Zero targets for selected industries.</w:t>
      </w:r>
    </w:p>
    <w:p w14:paraId="015EFA03" w14:textId="77777777" w:rsidR="00EE219E" w:rsidRDefault="00000000">
      <w:r>
        <w:t>The Group is constantly developing a wide range of advanced approaches, supported by mathematical and statistical models in the area of credit risk assessment in line with best banking practises to further enhance existing risk management tools.</w:t>
      </w:r>
    </w:p>
    <w:p w14:paraId="33A9F1AC" w14:textId="77777777" w:rsidR="00EE219E" w:rsidRDefault="00000000">
      <w:r>
        <w:t>The head of the risk management function thus ensures that all major risks in the Bank and the Group are identified and reported.</w:t>
      </w:r>
    </w:p>
    <w:p w14:paraId="19A93040" w14:textId="77777777" w:rsidR="00EE219E" w:rsidRDefault="00000000">
      <w:r>
        <w:t>Internal control assessment in the credit risk function The Internal Audit regularly monitors and reviews the area of credit risk management, based on identified and assessed risks in the process of planning audits and regulatory required reviews.</w:t>
      </w:r>
    </w:p>
    <w:p w14:paraId="0AACC149" w14:textId="77777777" w:rsidR="00EE219E" w:rsidRDefault="00000000">
      <w:r>
        <w:t>In 2024, the Internal Audit performed several reviews in the area of credit risk management and mitigation.</w:t>
      </w:r>
    </w:p>
    <w:p w14:paraId="207FC7EE" w14:textId="77777777" w:rsidR="00EE219E" w:rsidRDefault="00000000">
      <w:r>
        <w:t>As main strengths, the Internal Audit identified an enhanced automation, implemented further efficient key controls in the credit processes, and invested in process optimisation activities.</w:t>
      </w:r>
    </w:p>
    <w:p w14:paraId="6125AC58" w14:textId="77777777" w:rsidR="00EE219E" w:rsidRDefault="00000000">
      <w:r>
        <w:t>Transactions are material and complex, therefore all stakeholders must pursue responsible and reliable behaviour.</w:t>
      </w:r>
    </w:p>
    <w:p w14:paraId="7D519AF9" w14:textId="77777777" w:rsidR="00EE219E" w:rsidRDefault="00000000">
      <w:r>
        <w:t>The Internal Audit also identified certain possibilities for improvements in the credit risk management process.</w:t>
      </w:r>
    </w:p>
    <w:p w14:paraId="3EB33360" w14:textId="77777777" w:rsidR="00EE219E" w:rsidRDefault="00000000">
      <w:r>
        <w:t>The identified shortcomings were addressed with adequate audit recommendations to responsible organisation units.</w:t>
      </w:r>
    </w:p>
    <w:p w14:paraId="7BC6B985" w14:textId="77777777" w:rsidR="00EE219E" w:rsidRDefault="00000000">
      <w:r>
        <w:t>Compliance in credit risk function The NLB Group Code of Conduct obliges all employees within the Bank and other Group members to follow internal rules and procedures, as well as to comply with relevant regulatory requirements, inter alia also in the area of managing credit risk.</w:t>
      </w:r>
    </w:p>
    <w:p w14:paraId="4683116D" w14:textId="794A66D1" w:rsidR="00EE219E" w:rsidRDefault="00000000">
      <w:r>
        <w:t>The same approach to manage credit risks, compliance risks, and other types of risks is followed when assessing risks related to new or existing products that the Bank offers to its clients</w:t>
      </w:r>
      <w:r w:rsidR="007F7672">
        <w:t xml:space="preserve"> b</w:t>
      </w:r>
      <w:r>
        <w:t>efore introducing a new product or when regularly assessing the existing products and services of the Bank.</w:t>
      </w:r>
    </w:p>
    <w:p w14:paraId="2D406A99" w14:textId="77777777" w:rsidR="00EE219E" w:rsidRDefault="00000000">
      <w:r>
        <w:t>Furthermore, as part of fraud prevention and management, Compliance and Integrity monitors all information communicated in relation to any deviations from standard procedures, and is actively involved in the conduct of investigations, corrective actions, and issuing recommendations to eliminate any irregularities detected and possible damage in cases with suspicious of fraudulent or other types of harmful behaviour.</w:t>
      </w:r>
    </w:p>
    <w:p w14:paraId="1B464DEB" w14:textId="77777777" w:rsidR="00EE219E" w:rsidRDefault="00000000">
      <w:r>
        <w:lastRenderedPageBreak/>
        <w:t>This approach was also used in 2024 as a standard procedure for compliance functions in the Group.</w:t>
      </w:r>
    </w:p>
    <w:p w14:paraId="7327FE25" w14:textId="77777777" w:rsidR="00EE219E" w:rsidRDefault="00000000">
      <w:r>
        <w:t>The Policy represents the basic principles that the Groups employees must consider when signing, evaluating, monitoring, and reporting collateral, with the aim of reducing credit risk.</w:t>
      </w:r>
    </w:p>
    <w:p w14:paraId="604DC01C" w14:textId="77777777" w:rsidR="00EE219E" w:rsidRDefault="00000000">
      <w:r>
        <w:t>The aim of the Groups adaptation is to establish such collateral and monitoring in the application support in order to be able to fully exploit the regulatory opportunities to realise capital savings.</w:t>
      </w:r>
    </w:p>
    <w:p w14:paraId="21CFD6F4" w14:textId="77777777" w:rsidR="00EE219E" w:rsidRDefault="00000000">
      <w:r>
        <w:t>The processes for valuing collateral In compliance with relevant regulations, the Group has established a system for monitoring and reporting collateral at fair market value.</w:t>
      </w:r>
    </w:p>
    <w:p w14:paraId="3D760DE1" w14:textId="77777777" w:rsidR="00EE219E" w:rsidRDefault="00000000">
      <w:r>
        <w:t>Goals and Principles of Counterparty Credit Risk Management Article 435.</w:t>
      </w:r>
    </w:p>
    <w:p w14:paraId="74FF5643" w14:textId="77777777" w:rsidR="00EE219E" w:rsidRDefault="00000000">
      <w:r>
        <w:t>The standardised approach is used to determine the regulatory capital charge for the settlement risk.</w:t>
      </w:r>
    </w:p>
    <w:p w14:paraId="029D4D44" w14:textId="77777777" w:rsidR="00EE219E" w:rsidRDefault="00000000">
      <w:r>
        <w:t>For the calculation of regulatory capital for counterparty credit risk, the Group uses a standardised approach for the derivatives.</w:t>
      </w:r>
    </w:p>
    <w:p w14:paraId="67A9E605" w14:textId="77777777" w:rsidR="00EE219E" w:rsidRDefault="00000000">
      <w:r>
        <w:t>The Group uses the standardised approach to calculate the regulatory capital requirement for CVA.</w:t>
      </w:r>
    </w:p>
    <w:p w14:paraId="7BEA301F" w14:textId="77777777" w:rsidR="00EE219E" w:rsidRDefault="00000000">
      <w:r>
        <w:t>Wrong-way risk management Article 439 c of CRR In accordance with risk mitigation techniques in place real-time monitoring, framework agreements, collateral agreements, daily margining process, CVADVA calculation, etc.</w:t>
      </w:r>
    </w:p>
    <w:p w14:paraId="62451217" w14:textId="77777777" w:rsidR="00EE219E" w:rsidRDefault="00000000">
      <w:r>
        <w:t>Goals and principles of market risk management Article 435.</w:t>
      </w:r>
    </w:p>
    <w:p w14:paraId="0ED3EDBA" w14:textId="77777777" w:rsidR="00EE219E" w:rsidRDefault="00000000">
      <w:r>
        <w:t>Market Risk Management aims to accurately measure all types of market risks by a comprehensive set of risk metrics reflecting economic and regulatory requirements.</w:t>
      </w:r>
    </w:p>
    <w:p w14:paraId="7353A53A" w14:textId="77777777" w:rsidR="00EE219E" w:rsidRDefault="00000000">
      <w:r>
        <w:t>To achieve this objective, market risk management works closely with business lines and other control and support groups.</w:t>
      </w:r>
    </w:p>
    <w:p w14:paraId="6AF685CC" w14:textId="77777777" w:rsidR="00EE219E" w:rsidRDefault="00000000">
      <w:r>
        <w:t>Control and Evaluation is responsible for monitoring trading activities and its compliance, designing stop-loss limits, controlling credit counterparty exposures, and evaluating the financial instruments and additional valuation adjustments for managerial P&amp;L.</w:t>
      </w:r>
    </w:p>
    <w:p w14:paraId="0E77DA53" w14:textId="77777777" w:rsidR="00EE219E" w:rsidRDefault="00000000">
      <w:r>
        <w:t>The department ensures compliance of the market risk management with applicable laws and regulations.</w:t>
      </w:r>
    </w:p>
    <w:p w14:paraId="26FF5555" w14:textId="77777777" w:rsidR="00EE219E" w:rsidRDefault="00000000">
      <w:r>
        <w:t>The existing organisational structure assures a functional capability of governance, alignment, and monitoring market risk activities at an integrated portfolio level with dedicated and specialised risk managers, and so contributes to bring management processes in line with the best international practices.</w:t>
      </w:r>
    </w:p>
    <w:p w14:paraId="2C7953AE" w14:textId="77777777" w:rsidR="00EE219E" w:rsidRDefault="00000000">
      <w:r>
        <w:lastRenderedPageBreak/>
        <w:t>It is engaged in monitoring and analysing the developments in the global markets, changes, and trends associated with the risk profile, balance sheet structure, financial statements of the Group, and formulating conclusions and guidance to achieve the target balance sheet structure.</w:t>
      </w:r>
    </w:p>
    <w:p w14:paraId="458BFDB9" w14:textId="77777777" w:rsidR="00EE219E" w:rsidRDefault="00000000">
      <w:r>
        <w:t>Compliance with the Article 104 of CRR regarding Inclusion in the Trading Book Compliance with an Article 104 of the CRR is ensured by appropriate policies and is regularly reviewed.</w:t>
      </w:r>
    </w:p>
    <w:p w14:paraId="26916EEF" w14:textId="77777777" w:rsidR="00EE219E" w:rsidRDefault="00000000">
      <w:r>
        <w:t>Exposure to interest rate risk in the Group is measured and monitored within a framework of interest rate risk management policy that establishes consistent methodologies, limit systems, and behavioural and modelling assumptions.</w:t>
      </w:r>
    </w:p>
    <w:p w14:paraId="3459A0AA" w14:textId="77777777" w:rsidR="00EE219E" w:rsidRDefault="00000000">
      <w:r>
        <w:t>The primary role of liquidity risk management is to assess the need for funds to meet obligations and ensure the availability of cash or collateral to fulfil those needs on time by coordinating the various sources of funds available to the Group under normal and stressed conditions.</w:t>
      </w:r>
    </w:p>
    <w:p w14:paraId="6D756B6D" w14:textId="77777777" w:rsidR="00EE219E" w:rsidRDefault="00000000">
      <w:r>
        <w:t>The Group has active strategies and clearly defined measurable tolerances to manage liquidity and funding risk, which were established through the Liquidity risk management policy of NLB Group.</w:t>
      </w:r>
    </w:p>
    <w:p w14:paraId="4CA7345A" w14:textId="77777777" w:rsidR="00EE219E" w:rsidRDefault="00000000">
      <w:r>
        <w:t>Structure and organisation of the liquidity risk management function Liquidity governance is established in a way that enables a reliable process for identifying, measuring, monitoring, and controlling liquidity risk.</w:t>
      </w:r>
    </w:p>
    <w:p w14:paraId="45902EFF" w14:textId="77777777" w:rsidR="00EE219E" w:rsidRDefault="00000000">
      <w:r>
        <w:t>The committee responsible for liquidity risk management of the Group is the Group ALCO Committee.</w:t>
      </w:r>
    </w:p>
    <w:p w14:paraId="4767BF5C" w14:textId="77777777" w:rsidR="00EE219E" w:rsidRDefault="00000000">
      <w:r>
        <w:t>The Group measures and manages its liquidity in three stages, current exposure and compliance, forward-looking and stress-testing, and liquidity in exceptional circumstances.</w:t>
      </w:r>
    </w:p>
    <w:p w14:paraId="7224F446" w14:textId="77777777" w:rsidR="00EE219E" w:rsidRDefault="00000000">
      <w:r>
        <w:t>Therefore, the goal of the funding strategy is to ensure a sufficient, stable, and well-diversified funding base in the long term, as well as compliance with relevant regulatory frameworks.</w:t>
      </w:r>
    </w:p>
    <w:p w14:paraId="0EBC290E" w14:textId="77777777" w:rsidR="00EE219E" w:rsidRDefault="00000000">
      <w:r>
        <w:t>In alignment with Liquidity Risk Management Policy, the unencumbered liquidity reserves include a liquidity buffer and other liquid assets, like non-LCR eligible marketable debt securities bought for the Banks own name and account, and credit claims eligible for CB-secured funding operations.</w:t>
      </w:r>
    </w:p>
    <w:p w14:paraId="637FA8B8" w14:textId="77777777" w:rsidR="00EE219E" w:rsidRDefault="00000000">
      <w:r>
        <w:t>The warning and critical limit of loss events are also defined, which in case of exceeding require escalation procedures and acceptance of possible additional risk management measures.</w:t>
      </w:r>
    </w:p>
    <w:p w14:paraId="3378823F" w14:textId="77777777" w:rsidR="00EE219E" w:rsidRDefault="00000000">
      <w:r>
        <w:t>In banking members, these documents are in line with the development of operational risk management and are regularly updated.</w:t>
      </w:r>
    </w:p>
    <w:p w14:paraId="312977D7" w14:textId="77777777" w:rsidR="00EE219E" w:rsidRDefault="00000000">
      <w:r>
        <w:lastRenderedPageBreak/>
        <w:t>Additional attention is paid to the reporting of potential loss events in order to improve the internal controls, and thus minimise those and similar events.</w:t>
      </w:r>
    </w:p>
    <w:p w14:paraId="1EE73B7D" w14:textId="77777777" w:rsidR="00EE219E" w:rsidRDefault="00000000">
      <w:r>
        <w:t>Introduction The Groups medium-term strategy encompasses strategic ambitions related to sustainability, including environmental, social, and governance risks.</w:t>
      </w:r>
    </w:p>
    <w:p w14:paraId="27E1EFB8" w14:textId="77777777" w:rsidR="00EE219E" w:rsidRDefault="00000000">
      <w:r>
        <w:t>Requirements and recommendations of the European Bank for Reconstruction and Development , which impose on the Group contractual obligations related to the implementation of sustainability requirements in line with EBRDs Environmental and Social Policy.</w:t>
      </w:r>
    </w:p>
    <w:p w14:paraId="21B6405C" w14:textId="77777777" w:rsidR="00EE219E" w:rsidRDefault="00000000">
      <w:r>
        <w:t>The policy promotes environmentally sound and sustainable development and sets out performance requirements to which joining banks should adhere to.</w:t>
      </w:r>
    </w:p>
    <w:p w14:paraId="67CFCD14" w14:textId="77777777" w:rsidR="00EE219E" w:rsidRDefault="00000000">
      <w:r>
        <w:t>Through the Principles, the Bank, and its Group members take decisive action to align its core strategy, decision-making, lending, and investment with the UN Sustainable Development Goals.</w:t>
      </w:r>
    </w:p>
    <w:p w14:paraId="29FB794B" w14:textId="77777777" w:rsidR="00EE219E" w:rsidRDefault="00000000">
      <w:r>
        <w:t>In 2020, the Group also performed an impact analysis in accordance with UN PRB framework, which resulted in setting out three key impact areas, , Climate,, Resource efficiency and security, and, Inclusive and healthy economies, as well as objectives and targets against these areas.</w:t>
      </w:r>
    </w:p>
    <w:p w14:paraId="2F6903D8" w14:textId="77777777" w:rsidR="00EE219E" w:rsidRDefault="00000000">
      <w:r>
        <w:t>In subsequent years, additional frameworks like Pillar III, EU Taxonomy, UNEP FI Principle for Responsible Banking, Net Zero Banking Alliance and Taskforce for Climate Related Financial Disclosures, were included in reporting.</w:t>
      </w:r>
    </w:p>
    <w:p w14:paraId="6AC547E3" w14:textId="77777777" w:rsidR="00EE219E" w:rsidRDefault="00000000">
      <w:r>
        <w:t>The statement aims to provide stakeholders with information on the Groups material impacts on people and the environment, and the effect of sustainability matters on the Groups development, performance, and position.</w:t>
      </w:r>
    </w:p>
    <w:p w14:paraId="2D63C82D" w14:textId="77777777" w:rsidR="00EE219E" w:rsidRDefault="00000000">
      <w:r>
        <w:t>Policies Based on the aforementioned frameworks, the Group has developed a comprehensive internal governance and documentary framework policies which encompasses internal policies, manuals, and other internal acts addressing sustainability-related impacts, risks, and opportunities.</w:t>
      </w:r>
    </w:p>
    <w:p w14:paraId="680331CC" w14:textId="77777777" w:rsidR="00EE219E" w:rsidRDefault="00000000">
      <w:r>
        <w:t>The sustainability governance is stipulated in the Sustainability Policy, and Standard Rulebook on sustainability management, which are mandatory for all the Group core financial members.</w:t>
      </w:r>
    </w:p>
    <w:p w14:paraId="5D9A5BF0" w14:textId="77777777" w:rsidR="00EE219E" w:rsidRDefault="00000000">
      <w:r>
        <w:t>Both documents demonstrate a clear top-down and bottom-up process for sustainability governance, including climate change aspects, that extends from individual business units and countries to the management bodies.</w:t>
      </w:r>
    </w:p>
    <w:p w14:paraId="05C5F78F" w14:textId="77777777" w:rsidR="00EE219E" w:rsidRDefault="00000000">
      <w:r>
        <w:t>These developments are monitored regularly by the Sustainability Unit, Compliance and Integrity, as well as within specific business areas, and are promptly implemented in the internal governance framework.</w:t>
      </w:r>
    </w:p>
    <w:p w14:paraId="16B6D59C" w14:textId="77777777" w:rsidR="00EE219E" w:rsidRDefault="00000000">
      <w:r>
        <w:lastRenderedPageBreak/>
        <w:t>Together with the rulebook, the sustainability policy also establishes overarching and forward-looking sustainability-related principles and objectives, as well as governance and management rules and procedures to integrate sustainability and ESG factors in the Groups business model and processes.</w:t>
      </w:r>
    </w:p>
    <w:p w14:paraId="7F2D7F09" w14:textId="77777777" w:rsidR="00EE219E" w:rsidRDefault="00000000">
      <w:r>
        <w:t>In addition to presented general objectives, the Group is focused on raising awareness about ESG considerations addressed in all three sustainability pillars among employees, clients, suppliers, business partners, and other key stakeholders.</w:t>
      </w:r>
    </w:p>
    <w:p w14:paraId="0F6F7369" w14:textId="77777777" w:rsidR="00EE219E" w:rsidRDefault="00000000">
      <w:r>
        <w:t>Moreover, the Group will further develop processes and policies in order to assess, address, and manage relevant ESG risks that emerge from both environmental and social changes, and will continue to embed them in the business model, strategy, governance, and financial planning.</w:t>
      </w:r>
    </w:p>
    <w:p w14:paraId="41AB2F47" w14:textId="77777777" w:rsidR="00EE219E" w:rsidRDefault="00000000">
      <w:r>
        <w:t>ESG Risk Rating The Groups efforts and progress on its sustainability journey have been recognised by Morningstar Sustainalytics, one of the worlds leading independent ESG research, ratings and data firms, which has comprehensively assessed the financial materiality of risks stemming from the Groups environmental, social, and governance issues.</w:t>
      </w:r>
    </w:p>
    <w:p w14:paraId="5F41901B" w14:textId="77777777" w:rsidR="00EE219E" w:rsidRDefault="00000000">
      <w:r>
        <w:t>Further insights, For details on sustainability approach, progress, and the management of impacts, risks, and opportunities please refer to the 2024 NLB Group Sustainability Statement as a part of integrated NLB Group Annual Report.</w:t>
      </w:r>
    </w:p>
    <w:p w14:paraId="7142496D" w14:textId="77777777" w:rsidR="00EE219E" w:rsidRDefault="00000000">
      <w:r>
        <w:t>An institutions business strategy to integrate environmental factors and risks, taking into account the impact of environmental factors and risks on institutions business environment, business model, strategy, and financial planning The Group considers environmental factors and risks as those related to climate change and environmental degradation such as waste disposal, air and water pollution, and nature conservation, including biodiversity loss.</w:t>
      </w:r>
    </w:p>
    <w:p w14:paraId="1707D0D6" w14:textId="77777777" w:rsidR="00EE219E" w:rsidRDefault="00000000">
      <w:r>
        <w:t>Environmental factors and risks are included in the Groups business strategy New Horizon 2030 and implemented through the Group Sustainability Policy and its established sustainability pillars.</w:t>
      </w:r>
    </w:p>
    <w:p w14:paraId="21E36D59" w14:textId="77777777" w:rsidR="00EE219E" w:rsidRDefault="00000000">
      <w:r>
        <w:t>The general objectives that the Group pursue withing each sustainability pillar are outlined in the remaining part of this chapter.</w:t>
      </w:r>
    </w:p>
    <w:p w14:paraId="2CE6AD60" w14:textId="77777777" w:rsidR="00EE219E" w:rsidRDefault="00000000">
      <w:r>
        <w:t>Contribution to society, to ensure that some of CSR activities contributes to at least one environmentally-related UN Sustainable Development Goals.</w:t>
      </w:r>
    </w:p>
    <w:p w14:paraId="2895FEA3" w14:textId="77777777" w:rsidR="00EE219E" w:rsidRDefault="00000000">
      <w:r>
        <w:t>Objectives, targets, and limits to assess and address environmental risk in the short, medium, and long terms, and performance assessment against these objectives, targets, and limits, including forward-looking information in the design of business strategy and processes The Group has consistently taken proactive measures to address environmental risks and to minimise the environmental impact of its portfolio and operations.</w:t>
      </w:r>
    </w:p>
    <w:p w14:paraId="1D5686FD" w14:textId="77777777" w:rsidR="00EE219E" w:rsidRDefault="00000000">
      <w:r>
        <w:lastRenderedPageBreak/>
        <w:t>In 2024, the Group continued with the development and integration of the comprehensive Net-Zero Climate Strategy which and established that the Climate Change Committee would steer the implementation of the strategy.</w:t>
      </w:r>
    </w:p>
    <w:p w14:paraId="1B854E3C" w14:textId="77777777" w:rsidR="00EE219E" w:rsidRDefault="00000000">
      <w:r>
        <w:t>This strategic approach outlined in the Groups comprehensive Net-Zero Climate Strategy focuses on two core levers, Net-Zero Portfolio Strategy Aligning financing activities with Net-Zero objectives by setting science-based targets for priority sectors, steering capital towards sustainable activities, and engaging with clients on their transition pathways.</w:t>
      </w:r>
    </w:p>
    <w:p w14:paraId="641721B8" w14:textId="77777777" w:rsidR="00EE219E" w:rsidRDefault="00000000">
      <w:r>
        <w:t>Operational Emissions Net-Zero strategy Reducing the Groups direct and indirect emissions mainly through energy efficiency measures, zero-emission electricity procurement, and operational optimisations.</w:t>
      </w:r>
    </w:p>
    <w:p w14:paraId="66758C73" w14:textId="77777777" w:rsidR="00EE219E" w:rsidRDefault="00000000">
      <w:r>
        <w:t>Within the NZBA commitment to reduce financed emissions in the Groups lending and investing portfolio, the Group has published its first Net Zero Disclosure report in December 2023.</w:t>
      </w:r>
    </w:p>
    <w:p w14:paraId="4699F43D" w14:textId="77777777" w:rsidR="00EE219E" w:rsidRDefault="00000000">
      <w:r>
        <w:t>In the report, the Group has set and publicly disclosed 2030 intermediate targets for reducing emissions associated with financing activities for four key sectors, power generation, iron and steel, commercial real estate, residential real-estate.</w:t>
      </w:r>
    </w:p>
    <w:p w14:paraId="1B3BA78C" w14:textId="77777777" w:rsidR="00EE219E" w:rsidRDefault="00000000">
      <w:r>
        <w:t>The targets are set in line with the Guidelines for Climate Target Setting for Bank and based on widely accepted science-based decarbonization scenarios.</w:t>
      </w:r>
    </w:p>
    <w:p w14:paraId="5A97621A" w14:textId="77777777" w:rsidR="00EE219E" w:rsidRDefault="00000000">
      <w:r>
        <w:t>The targets cover the Groups financed emissions, Scope 3 category 15, and apply to the Groups lending activities for clients Scope 1 and Scope 2.</w:t>
      </w:r>
    </w:p>
    <w:p w14:paraId="7C9B5AC8" w14:textId="77777777" w:rsidR="00EE219E" w:rsidRDefault="00000000">
      <w:r>
        <w:t>The Group will also publish annual progress reports on these targets in its sustainability reports and continue to enhance its internal capabilities for target tracking and monitoring.</w:t>
      </w:r>
    </w:p>
    <w:p w14:paraId="6EF6949A" w14:textId="77777777" w:rsidR="00EE219E" w:rsidRDefault="00000000">
      <w:r>
        <w:t>These metrics are aligned with the Group's overarching sustainability objectives, including the reduction of emissions in its financing activities and the mobilisation of capital for sustainable finance.</w:t>
      </w:r>
    </w:p>
    <w:p w14:paraId="04AFD202" w14:textId="77777777" w:rsidR="00EE219E" w:rsidRDefault="00000000">
      <w:r>
        <w:t>The financial targets set by the Group reflect its commitment to advance its transition plans strategic ambition, with a focus on key sectors such as renewable energy, green buildings, energy efficiency, and sustainable transportation.</w:t>
      </w:r>
    </w:p>
    <w:p w14:paraId="68184627" w14:textId="77777777" w:rsidR="00EE219E" w:rsidRDefault="00000000">
      <w:r>
        <w:t>The Group can finance or refinance existing or future projects in the fields of renewable energy, energy efficiency, green buildings, clean transport, the sustainable management of water and wastewater, and pollution prevention and control.</w:t>
      </w:r>
    </w:p>
    <w:p w14:paraId="0648458D" w14:textId="77777777" w:rsidR="00EE219E" w:rsidRDefault="00000000">
      <w:r>
        <w:t>The eligibility criteria as outlined in the use of proceeds section of NLB Green Bond Framework consider the EU Taxonomy Regulation and the EU Taxonomy Climate Delegated Act with the intention to apply them on a best-efforts basis.</w:t>
      </w:r>
    </w:p>
    <w:p w14:paraId="1DA0DD9C" w14:textId="77777777" w:rsidR="00EE219E" w:rsidRDefault="00000000">
      <w:r>
        <w:lastRenderedPageBreak/>
        <w:t>To ensure that credit decisions of the Group banking members adhere to sustainable financing criteria, the Group established the Environmental and Social Credit Policy Framework, which is binding for front offices and employees in credit risk management defined in the Environmental and Social Credit Policy Framework.</w:t>
      </w:r>
    </w:p>
    <w:p w14:paraId="3F6263AB" w14:textId="77777777" w:rsidR="00EE219E" w:rsidRDefault="00000000">
      <w:r>
        <w:t>To contribute to a sustainable transition and to decarbonize the credit portfolio by 2050, the Group has committed to strict limitation of the new financing of certain activities.</w:t>
      </w:r>
    </w:p>
    <w:p w14:paraId="3C96613A" w14:textId="77777777" w:rsidR="00EE219E" w:rsidRDefault="00000000">
      <w:r>
        <w:t>Further insights, This report, sections l, m, and n where ESMS and other processes, activities, and tools to mitigate and reduce environmental risks are presented.</w:t>
      </w:r>
    </w:p>
    <w:p w14:paraId="701CBA32" w14:textId="77777777" w:rsidR="00EE219E" w:rsidRDefault="00000000">
      <w:r>
        <w:t>In 2024, management bodies addressed discussed andor made resolutions at their sessions several ESG-related topics including climate and other environmental, within their respective area of responsibility, whether stand-alone or in connection with broader strategic topics.</w:t>
      </w:r>
    </w:p>
    <w:p w14:paraId="191FFEFC" w14:textId="77777777" w:rsidR="00EE219E" w:rsidRDefault="00000000">
      <w:r>
        <w:t>Key topics included but not limited to the Groups net-zero disclosure 101 report and business strategy, operational carbon footprint measurement and related measures to reduce environmental impact and further improve energy efficiency.</w:t>
      </w:r>
    </w:p>
    <w:p w14:paraId="7B85D5E5" w14:textId="77777777" w:rsidR="00EE219E" w:rsidRDefault="00000000">
      <w:r>
        <w:t>Apart from the Management and the Supervisory Boards and their bodies, competence lines in the Group business lines, organisational units tackle sustainability in their respective area of work and responsibilities, including climaterelated, other environmental and social risks, and other ESG considerations.</w:t>
      </w:r>
    </w:p>
    <w:p w14:paraId="586BB5EA" w14:textId="77777777" w:rsidR="00EE219E" w:rsidRDefault="00000000">
      <w:r>
        <w:t>Internal controls are established at all levels of the Banks organisational structure, especially at the levels of commercial, control, and support functions, and all financial services of the Bank.</w:t>
      </w:r>
    </w:p>
    <w:p w14:paraId="372EB849" w14:textId="77777777" w:rsidR="00EE219E" w:rsidRDefault="00000000">
      <w:r>
        <w:t>The internal control system is designed to ensure that a process or other measure is in place for each key risk to effectively reduce or manage that risk, and that the process or measure is effective for this purpose.</w:t>
      </w:r>
    </w:p>
    <w:p w14:paraId="1660A00A" w14:textId="77777777" w:rsidR="00EE219E" w:rsidRDefault="00000000">
      <w:r>
        <w:t>All business and non-business units represent the first line of defence, having primary responsibility for day-to-day risk management in climate-related and other ESG matters.</w:t>
      </w:r>
    </w:p>
    <w:p w14:paraId="13E8591B" w14:textId="77777777" w:rsidR="00EE219E" w:rsidRDefault="00000000">
      <w:r>
        <w:t>Second line of defence Second-level controls are divided between two internal control functions, risk management and business compliance.</w:t>
      </w:r>
    </w:p>
    <w:p w14:paraId="53AF207F" w14:textId="77777777" w:rsidR="00EE219E" w:rsidRDefault="00000000">
      <w:r>
        <w:t>The compliance function sees to the supervision of the correct implementation and ensuring compliance line controls with the regulatory framework, its consistent interpretation at the Group level, as well as to identifying, assessing, preventing, and monitoring overall risks to compliance and integrity in the Bank.</w:t>
      </w:r>
    </w:p>
    <w:p w14:paraId="007E911E" w14:textId="77777777" w:rsidR="00EE219E" w:rsidRDefault="00000000">
      <w:r>
        <w:t>Sustainability and ESG matters are part of the Audit Universe, which is a comprehensive overview of all activities subject to internal audit.</w:t>
      </w:r>
    </w:p>
    <w:p w14:paraId="1291CB5F" w14:textId="77777777" w:rsidR="00EE219E" w:rsidRDefault="00000000">
      <w:r>
        <w:lastRenderedPageBreak/>
        <w:t>Committees support the Management Body in fulfilling the responsibilities of managing respective areas, including sustainability.</w:t>
      </w:r>
    </w:p>
    <w:p w14:paraId="7E33BA13" w14:textId="77777777" w:rsidR="00EE219E" w:rsidRDefault="00000000">
      <w:r>
        <w:t>The committee has full authority and responsibility over the development and implementation of NLB Group Net Zero Strategy to streamline decisionmaking and enhance accountability related to set decarbonization targets.</w:t>
      </w:r>
    </w:p>
    <w:p w14:paraId="217669F2" w14:textId="77777777" w:rsidR="00EE219E" w:rsidRDefault="00000000">
      <w:r>
        <w:t>In case environmental risks are identified that could affect the Groups business model, operations or performance, such case is escalated according to internal rules and procedures.</w:t>
      </w:r>
    </w:p>
    <w:p w14:paraId="56CB2E85" w14:textId="77777777" w:rsidR="00EE219E" w:rsidRDefault="00000000">
      <w:r>
        <w:t>Based on the group guidelines the principles of the remuneration policy were also implemented in the Group members.</w:t>
      </w:r>
    </w:p>
    <w:p w14:paraId="4BC49AB4" w14:textId="77777777" w:rsidR="00EE219E" w:rsidRDefault="00000000">
      <w:r>
        <w:t>Both remuneration policies provide clear guidelines for prudent remuneration to have responsible, fair and transparent remuneration mechanisms, forming the basis for developing business with the objective of creating and protecting value for all stakeholders.</w:t>
      </w:r>
    </w:p>
    <w:p w14:paraId="506FC4EE" w14:textId="77777777" w:rsidR="00EE219E" w:rsidRDefault="00000000">
      <w:r>
        <w:t>While studies and scenarios mainly project temperature and climate change until the year 2100, and that climate change is a slow and gradual process, the Group has defined the time horizons for assessment of climate risks as follows, Short term, until 2030.</w:t>
      </w:r>
    </w:p>
    <w:p w14:paraId="6AE2BA9F" w14:textId="77777777" w:rsidR="00EE219E" w:rsidRDefault="00000000">
      <w:r>
        <w:t>Transition risk arises already in the short-term period due to determination of EU the Fit for 55 regulatory framework to reduce the carbon emissions according to its ambitious net zero strategy by 2050.</w:t>
      </w:r>
    </w:p>
    <w:p w14:paraId="171E4FA3" w14:textId="77777777" w:rsidR="00EE219E" w:rsidRDefault="00000000">
      <w:r>
        <w:t>With implementation of the Net zero strategy of NLB Group, it is expected that its impacts will gradually diminish in the long run.</w:t>
      </w:r>
    </w:p>
    <w:p w14:paraId="00E1ED05" w14:textId="77777777" w:rsidR="00EE219E" w:rsidRDefault="00000000">
      <w:r>
        <w:t>Short-term exposure to other environmental risk is not material, however, it is expected to gradually increase and will reach its peak in the mid-term horizon.</w:t>
      </w:r>
    </w:p>
    <w:p w14:paraId="764E9342" w14:textId="77777777" w:rsidR="00EE219E" w:rsidRDefault="00000000">
      <w:r>
        <w:t>The Group integrates and manages them within the established risk management framework in the areas of credit, liquidity, market, and operational risk.</w:t>
      </w:r>
    </w:p>
    <w:p w14:paraId="3F743EE4" w14:textId="77777777" w:rsidR="00EE219E" w:rsidRDefault="00000000">
      <w:r>
        <w:t>Materiality assessment The Group performs materiality assessment in the following steps, In the first step, the climate and other environmental risk drivers relevant to Slovenia and other countries where the Group is present are identified.</w:t>
      </w:r>
    </w:p>
    <w:p w14:paraId="699D960E" w14:textId="77777777" w:rsidR="00EE219E" w:rsidRDefault="00000000">
      <w:r>
        <w:t>The Group also performed the materiality assessment of other environmental risk as at 31 December 2024.</w:t>
      </w:r>
    </w:p>
    <w:p w14:paraId="5D928022" w14:textId="77777777" w:rsidR="00EE219E" w:rsidRDefault="00000000">
      <w:r>
        <w:t>A comprehensive risk assessment and monitoring mechanism in the Group is the ESMS, whose main objectives are to identify and manage the Groups exposure to the ESG risks of its clients and to promote their good environmental and social business practices.</w:t>
      </w:r>
    </w:p>
    <w:p w14:paraId="584A8B84" w14:textId="77777777" w:rsidR="00EE219E" w:rsidRDefault="00000000">
      <w:r>
        <w:t xml:space="preserve">For transactions identified as having high environmental or social risk, an enhanced risk assessment is carried out, during the annual review of the client, provided the exposure and </w:t>
      </w:r>
      <w:r>
        <w:lastRenderedPageBreak/>
        <w:t>ESG risk level thresholds are met, and when a new transaction proposal is made, under the following conditions, new loans are related to project finance with a total project value exceeding EUR 10 million, financing applications pertain to secondary market transactions or syndicated loans where the banks participation is below 25% of the total loan value, a new loan exceeds EUR 3 million, has a maturity of at least 36 months, and the client meets the ESG review threshold at the annual review.</w:t>
      </w:r>
    </w:p>
    <w:p w14:paraId="3ED727C3" w14:textId="77777777" w:rsidR="00EE219E" w:rsidRDefault="00000000">
      <w:r>
        <w:t>This may involve exiting the investment or implementing measures to mitigate the risk of noncompliance.</w:t>
      </w:r>
    </w:p>
    <w:p w14:paraId="5F1D3164" w14:textId="77777777" w:rsidR="00EE219E" w:rsidRDefault="00000000">
      <w:r>
        <w:t>The Groups ESG risk management within the collateral evaluation process focuses on real estate climate transition risk, physical risks and also environmental aspects.</w:t>
      </w:r>
    </w:p>
    <w:p w14:paraId="7DFCA317" w14:textId="77777777" w:rsidR="00EE219E" w:rsidRDefault="00000000">
      <w:r>
        <w:t>The identification and materiality of specific ESG risks for real estate in collateral are assessed using the Methodology for assessment of Environmental Risks in NLB Group.</w:t>
      </w:r>
    </w:p>
    <w:p w14:paraId="60099A6C" w14:textId="77777777" w:rsidR="00EE219E" w:rsidRDefault="00000000">
      <w:r>
        <w:t>ESG risk management in the 2024 NLB Group Sustainability Statement as a part of integrated NLB Group Annual Report.</w:t>
      </w:r>
    </w:p>
    <w:p w14:paraId="6B75FED1" w14:textId="77777777" w:rsidR="00EE219E" w:rsidRDefault="00000000">
      <w:r>
        <w:t>The Group is committed to driving the transition to a Net-Zero economy by 2050, reducing emissions from its own operations and supporting clients in high-impact sectors through its Net-Zero portfolio strategy.</w:t>
      </w:r>
    </w:p>
    <w:p w14:paraId="28BD931C" w14:textId="77777777" w:rsidR="00EE219E" w:rsidRDefault="00000000">
      <w:r>
        <w:t>Organisations are considered to have reached a state of net zero when they reduce their GHG emissions following scienced-based pathways, with any remaining GHG emissions attributable to that organisation being fully neutralised, either within the value chain or through purchase of valid offset credits.</w:t>
      </w:r>
    </w:p>
    <w:p w14:paraId="0BC16454" w14:textId="77777777" w:rsidR="00EE219E" w:rsidRDefault="00000000">
      <w:r>
        <w:t>Reducing these emissions through targeted measures, client engagement, and climate-positive financing is essential to achieving net-zero commitments and management of the impact of transitioning to a low-carbon and climate-resilient economy.</w:t>
      </w:r>
    </w:p>
    <w:p w14:paraId="1532A51D" w14:textId="77777777" w:rsidR="00EE219E" w:rsidRDefault="00000000">
      <w:r>
        <w:t>Similar to Net-Zero portfolio strategy, Operational emissions Net-Zero strategy focuses on the Groups own emissions, which result from the operational activities of the Group.</w:t>
      </w:r>
    </w:p>
    <w:p w14:paraId="52F4FEA9" w14:textId="77777777" w:rsidR="00EE219E" w:rsidRDefault="00000000">
      <w:r>
        <w:t>As the first part of its Net-Zero Portfolio Strategy, the Group has set emissions intensity targets for high-emitting sectors, specifically power generation and iron &amp; steel, while focusing on financing commitments and tracking portfolio intensity progress for residential and commercial real estate, in line with its NZBA commitment to mitigate climate risks.</w:t>
      </w:r>
    </w:p>
    <w:p w14:paraId="1BDA6AEB" w14:textId="77777777" w:rsidR="00EE219E" w:rsidRDefault="00000000">
      <w:r>
        <w:t>The Banks approach is iterative, reflecting the dynamic nature of sectoral decarbonization, data availability, and market developments.</w:t>
      </w:r>
    </w:p>
    <w:p w14:paraId="254484D3" w14:textId="77777777" w:rsidR="00EE219E" w:rsidRDefault="00000000">
      <w:r>
        <w:t>To achieve its 2030 NZBA sector targets, the Bank does not rely on offsets but instead focuses on sector-specific decarbonization levers, including client engagement, portfolio alignment with credible net-zero pathways, and financing solutions that drive low-carbon transitions.</w:t>
      </w:r>
    </w:p>
    <w:p w14:paraId="50A8691E" w14:textId="77777777" w:rsidR="00EE219E" w:rsidRDefault="00000000">
      <w:r>
        <w:lastRenderedPageBreak/>
        <w:t>Target development follows a structured governance framework with executive oversight and cross-functional collaboration.</w:t>
      </w:r>
    </w:p>
    <w:p w14:paraId="67D59543" w14:textId="77777777" w:rsidR="00EE219E" w:rsidRDefault="00000000">
      <w:r>
        <w:t>Targets are reviewed at least every five years to ensure ongoing alignment with evolving climate science, regulatory developments, and international commitments.</w:t>
      </w:r>
    </w:p>
    <w:p w14:paraId="07CC24BA" w14:textId="77777777" w:rsidR="00EE219E" w:rsidRDefault="00000000">
      <w:r>
        <w:t>Annual disclosures will track progress, while continuous enhancements in data quality, internal monitoring systems, and client engagement strategies will support the Groups climate transition efforts.</w:t>
      </w:r>
    </w:p>
    <w:p w14:paraId="3DA9B0F0" w14:textId="77777777" w:rsidR="00EE219E" w:rsidRDefault="00000000">
      <w:r>
        <w:t>For the initial Net- Zero targets, the Group has set objectives for four priority sectors Iron &amp; Steel, Power Generation, Residential Real Estate, and Commercial Real Estate which together contribute around 50% of financed emissions.</w:t>
      </w:r>
    </w:p>
    <w:p w14:paraId="31F5B7F6" w14:textId="77777777" w:rsidR="00EE219E" w:rsidRDefault="00000000">
      <w:r>
        <w:t>The Bank is committed to engaging clients in these sectors to implement decarbonization plans, including expanding renewable energy capacity, adopting low-emission technologies, and financing energy-efficient real estate projects.</w:t>
      </w:r>
    </w:p>
    <w:p w14:paraId="3A9F2ADD" w14:textId="77777777" w:rsidR="00EE219E" w:rsidRDefault="00000000">
      <w:r>
        <w:t>The Groups capital allocation strategy supports sector-specific decarbonization objectives and integrates policies such as coal exclusions.</w:t>
      </w:r>
    </w:p>
    <w:p w14:paraId="073C399A" w14:textId="77777777" w:rsidR="00EE219E" w:rsidRDefault="00000000">
      <w:r>
        <w:t>Clients must take steps towards decarbonization, and governments need to establish frameworks and policies to guide the transition.</w:t>
      </w:r>
    </w:p>
    <w:p w14:paraId="2C7A9034" w14:textId="77777777" w:rsidR="00EE219E" w:rsidRDefault="00000000">
      <w:r>
        <w:t>Additionally, homeowner engagement in energy efficiency measures, such as retrofitting and energy-saving investments, is critical.</w:t>
      </w:r>
    </w:p>
    <w:p w14:paraId="74FAEAC3" w14:textId="77777777" w:rsidR="00EE219E" w:rsidRDefault="00000000">
      <w:r>
        <w:t>Ultimately, joint efforts from all stakeholders are needed for meaningful progress.</w:t>
      </w:r>
    </w:p>
    <w:p w14:paraId="590D2CCE" w14:textId="77777777" w:rsidR="00EE219E" w:rsidRDefault="00000000">
      <w:r>
        <w:t>Results and outcome of the risk tools implemented and the estimated impact of environmental risk on capital and liquidity risk profile The Group established its own ESG stress-testing concept to identify the most relevant financial vulnerabilities stemming from climate risk, which is constantly further enhanced by considering available ESG-related data.</w:t>
      </w:r>
    </w:p>
    <w:p w14:paraId="697CBF50" w14:textId="77777777" w:rsidR="00EE219E" w:rsidRDefault="00000000">
      <w:r>
        <w:t>This entails a permanent impact from transition risk and projected one-time events of physical and other environmental risks.</w:t>
      </w:r>
    </w:p>
    <w:p w14:paraId="71C45027" w14:textId="77777777" w:rsidR="00EE219E" w:rsidRDefault="00000000">
      <w:r>
        <w:t>Physical risk encompasses financial impact of a changing climate, including more frequent extreme weather events, gradual climate changes, and environmental degradation.</w:t>
      </w:r>
    </w:p>
    <w:p w14:paraId="1343DE2F" w14:textId="77777777" w:rsidR="00EE219E" w:rsidRDefault="00000000">
      <w:r>
        <w:t>Further insights in the chapter, General information on risk management, objectives, and policies, sub-chapter Stresstesting are in this report 2024 Pillar III Disclosures.</w:t>
      </w:r>
    </w:p>
    <w:p w14:paraId="2DAF67D9" w14:textId="77777777" w:rsidR="00EE219E" w:rsidRDefault="00000000">
      <w:r>
        <w:t>A description of limits to environmental risks as drivers of prudential risks that are set and triggering escalation and exclusion in the case of breaching these limits To contribute to a sustainable transition and to decarbonize the credit portfolio by 2050, the Group has committed to limitations or even phase out of new financing of certain activities.</w:t>
      </w:r>
    </w:p>
    <w:p w14:paraId="3D2FC134" w14:textId="77777777" w:rsidR="00EE219E" w:rsidRDefault="00000000">
      <w:r>
        <w:lastRenderedPageBreak/>
        <w:t>As part of its commitment to Net Zero Banking Alliance , the Group has also set targets for Power generation.</w:t>
      </w:r>
    </w:p>
    <w:p w14:paraId="6C13CBC5" w14:textId="77777777" w:rsidR="00EE219E" w:rsidRDefault="00000000">
      <w:r>
        <w:t>This process involves identifying environmental risk factors, relevant transmission channels, and assessing their materiality and impact on the Groups financial performance over the short, medium, and long term.</w:t>
      </w:r>
    </w:p>
    <w:p w14:paraId="4E7D2346" w14:textId="77777777" w:rsidR="00EE219E" w:rsidRDefault="00000000">
      <w:r>
        <w:t>The link between environmental risks and credit risk, liquidity and funding risk, market risk, operational risk, and reputational risk is analysed through the transmission channel framework.</w:t>
      </w:r>
    </w:p>
    <w:p w14:paraId="31BF250C" w14:textId="77777777" w:rsidR="00EE219E" w:rsidRDefault="00000000">
      <w:r>
        <w:t>The Group adopts this approach, mapping environmental risks to credit risk, market risk, liquidity risk, operational risk, and reputational risk.</w:t>
      </w:r>
    </w:p>
    <w:p w14:paraId="0CFD176D" w14:textId="77777777" w:rsidR="00EE219E" w:rsidRDefault="00000000">
      <w:r>
        <w:t>Microeconomic transmission channels allow environmental risk drivers to impact banks financial risks either directly or indirectly for example, through their counterparties or financial assets.</w:t>
      </w:r>
    </w:p>
    <w:p w14:paraId="647870CF" w14:textId="77777777" w:rsidR="00EE219E" w:rsidRDefault="00000000">
      <w:r>
        <w:t>The Bank has analysed various potential impacts of environmental risk drivers on its performance, including how these drivers affect clients, which segments are impacted, the effects at both micro and macro levels, key financial indicators for affected clients, and the financial risk categories where impacts are expected.</w:t>
      </w:r>
    </w:p>
    <w:p w14:paraId="7B8CA896" w14:textId="77777777" w:rsidR="00EE219E" w:rsidRDefault="00000000">
      <w:r>
        <w:t>Environmental risks can influence the revenues and expenses of clients and impact the market value of collateral and other client assets.</w:t>
      </w:r>
    </w:p>
    <w:p w14:paraId="5E2C7834" w14:textId="77777777" w:rsidR="00EE219E" w:rsidRDefault="00000000">
      <w:r>
        <w:t>Adjustment of the institutions business strategy to integrate social factors and risks taking into account the impact of social risk on the institutions business environment, business model, strategy, and financial planning The Group considers as social risks those related to the rights, well-being, and interests of people and communities.</w:t>
      </w:r>
    </w:p>
    <w:p w14:paraId="6B0C4A84" w14:textId="77777777" w:rsidR="00EE219E" w:rsidRDefault="00000000">
      <w:r>
        <w:t>Social factors and risks are included in the Groups business strategy and implemented through the NLB Group Sustainability Policy and its established sustainability pillars.</w:t>
      </w:r>
    </w:p>
    <w:p w14:paraId="51938BCF" w14:textId="77777777" w:rsidR="00EE219E" w:rsidRDefault="00000000">
      <w:r>
        <w:t>The general objectives that the Group pursues withing each sustainability pillar are outlined in the remaining of this chapter.</w:t>
      </w:r>
    </w:p>
    <w:p w14:paraId="24676695" w14:textId="77777777" w:rsidR="00EE219E" w:rsidRDefault="00000000">
      <w:r>
        <w:t>Sustainable operations, to ensure positive social impacts and to minimise adverse impacts of the Groups own non-financial operations on key stakeholders, including, to ensure sustainable employee relations, such as, capabilities development, talent retention, and development, DEI diversity, equity, and inclusion, reducing gender pay gap, ensuring health and safety, work environment, and well-being and work-life balance.</w:t>
      </w:r>
    </w:p>
    <w:p w14:paraId="2DD72890" w14:textId="77777777" w:rsidR="00EE219E" w:rsidRDefault="00000000">
      <w:r>
        <w:t>Sustainable finance, to integrate social factors into the Groups business and investment decisions, to ensure a positive impact by developing and offering social financing, to identify and mitigate social risks in relation to the Groups lending or investments, to ensure responsible asset management by integrating social factors into the investment policy.</w:t>
      </w:r>
    </w:p>
    <w:p w14:paraId="323BEC43" w14:textId="77777777" w:rsidR="00EE219E" w:rsidRDefault="00000000">
      <w:r>
        <w:lastRenderedPageBreak/>
        <w:t>Contribution to society, to ensure that each CSR activity contributes to socially-related UN Sustainable Development Goals, to create added value by focusing on genuine societal needs and actively responding to these societal needs by managing appropriate initiatives, sponsorships, donations, and other partnerships, including those related to education, financial literacy and mentoring, sustainable and inclusive entrepreneurship, supporting youth, female and disabled sports, and philanthropy.</w:t>
      </w:r>
    </w:p>
    <w:p w14:paraId="3FE398E9" w14:textId="77777777" w:rsidR="00EE219E" w:rsidRDefault="00000000">
      <w:r>
        <w:t>In 2024, the Group reaffirmed its commitment to financial literacy and inclusion by enhancing target setting and further developing relevant initiatives.</w:t>
      </w:r>
    </w:p>
    <w:p w14:paraId="196E02EE" w14:textId="77777777" w:rsidR="00EE219E" w:rsidRDefault="00000000">
      <w:r>
        <w:t>In line with UNEP FI methodology the Bank as the parent bank defined the baseline and set two concrete goals to be achieved by 2030 for the impact area Financial health &amp; Inclusion, which focuses on savings and investment plans as key priority area, By year 2030, the Bank will increase the percentage of young clients 1827 years with products related to long-term savings andor investment plans by 15 %.</w:t>
      </w:r>
    </w:p>
    <w:p w14:paraId="2C732799" w14:textId="77777777" w:rsidR="00EE219E" w:rsidRDefault="00000000">
      <w:r>
        <w:t>Also, the Group will gradually develop additional specific and meaningful targets for key financial health and inclusion initiatives.</w:t>
      </w:r>
    </w:p>
    <w:p w14:paraId="58C2E8D4" w14:textId="77777777" w:rsidR="00EE219E" w:rsidRDefault="00000000">
      <w:r>
        <w:t>Thus, the Group will additionally create a social impact and contribute to a more inclusive and just society in the region of its operation.</w:t>
      </w:r>
    </w:p>
    <w:p w14:paraId="486AFB76" w14:textId="77777777" w:rsidR="00EE219E" w:rsidRDefault="00000000">
      <w:r>
        <w:t>In alignment with this policy, clients strategies for mitigating socially harmful activities and other social risks are incorporated into the screening due diligence process within the Groups ESMS.</w:t>
      </w:r>
    </w:p>
    <w:p w14:paraId="4B3DADAA" w14:textId="77777777" w:rsidR="00EE219E" w:rsidRDefault="00000000">
      <w:r>
        <w:t>Additional restrictions apply to industries posing high environmental and social risks, including thermal coal mining, large-scale fur production, and hazardous fishing practices.</w:t>
      </w:r>
    </w:p>
    <w:p w14:paraId="183C3DC2" w14:textId="77777777" w:rsidR="00EE219E" w:rsidRDefault="00000000">
      <w:r>
        <w:t>Through this framework, the Group strengthens its commitment to responsible banking by integrating environmental and social considerations into its decision-making processes.</w:t>
      </w:r>
    </w:p>
    <w:p w14:paraId="5A19FDA3" w14:textId="77777777" w:rsidR="00EE219E" w:rsidRDefault="00000000">
      <w:r>
        <w:t>The Group regularly monitors fulfilment of non-financing activities that are not supported by the Group exclusion list due to negative social impact.</w:t>
      </w:r>
    </w:p>
    <w:p w14:paraId="32243EF7" w14:textId="77777777" w:rsidR="00EE219E" w:rsidRDefault="00000000">
      <w:r>
        <w:t>To mitigate social risk, ESMS system includes Regulatory Compliance Check, by which the client is checked for legal compliance and a contractual clause is included in the loan agreements that specify that the client operates and complies with all applicable Slovenian and EU regulations applicable to the client borrower and its business, including social regulations in addition to environmental.</w:t>
      </w:r>
    </w:p>
    <w:p w14:paraId="33906106" w14:textId="77777777" w:rsidR="00EE219E" w:rsidRDefault="00000000">
      <w:r>
        <w:t>Data for assessing social risk management are collected via a questionnaire developed in cooperation with the Bank Association of Slovenia.</w:t>
      </w:r>
    </w:p>
    <w:p w14:paraId="44E6EE1C" w14:textId="77777777" w:rsidR="00EE219E" w:rsidRDefault="00000000">
      <w:r>
        <w:t>Questions refer to but are not limited to following areas, impact on communitysociety, employee relationships, customer protection and product responsibility, human rights.</w:t>
      </w:r>
    </w:p>
    <w:p w14:paraId="6A497439" w14:textId="77777777" w:rsidR="00EE219E" w:rsidRDefault="00000000">
      <w:r>
        <w:lastRenderedPageBreak/>
        <w:t>To this end, the governance bodies discussed and adopted several policies which refer to different areas of social risk management, including activities towards the community and society, employee relationships and labour standards, customer protection and product responsibility, human rights, and the supply chain.</w:t>
      </w:r>
    </w:p>
    <w:p w14:paraId="1EFC968F" w14:textId="77777777" w:rsidR="00EE219E" w:rsidRDefault="00000000">
      <w:r>
        <w:t>As a parent bank, the Bank has established an internal policy which defines key areas of social and environmental responsibility of the Bank and the Groups members in terms of their contribution to society.</w:t>
      </w:r>
    </w:p>
    <w:p w14:paraId="5B28BC59" w14:textId="77777777" w:rsidR="00EE219E" w:rsidRDefault="00000000">
      <w:r>
        <w:t>In addition to taking care of the Groups employees, the key pillars of the Groups socially responsible behaviour are promoting entrepreneurship, financial literacy, and mentoring, support for world-class and youth sports, humanitarianism, and the protection of cultural heritage.</w:t>
      </w:r>
    </w:p>
    <w:p w14:paraId="44CE785A" w14:textId="77777777" w:rsidR="00EE219E" w:rsidRDefault="00000000">
      <w:r>
        <w:t>Employee relations and labour standards The Group continuously embeds sustainability matters and ESG factors into human resource management and organisation.</w:t>
      </w:r>
    </w:p>
    <w:p w14:paraId="3FEBDC41" w14:textId="77777777" w:rsidR="00EE219E" w:rsidRDefault="00000000">
      <w:r>
        <w:t>In recent years, we have established respective internal HR documents, rules and procedures, initiatives, and practices to assess HRrelated risks and opportunities, manage human resources, and ensure human capital development.</w:t>
      </w:r>
    </w:p>
    <w:p w14:paraId="566D6EFF" w14:textId="77777777" w:rsidR="00EE219E" w:rsidRDefault="00000000">
      <w:r>
        <w:t>The key internal document is the Human Resources Development and Organisation Strategy, which defines the basic areas and activities of activities within the Group, in the field of human resources, education, and organisation.</w:t>
      </w:r>
    </w:p>
    <w:p w14:paraId="3F480E1E" w14:textId="77777777" w:rsidR="00EE219E" w:rsidRDefault="00000000">
      <w:r>
        <w:t>In addition to this overarching policy, the Group has established several domain-specific policies which tackle key human resources risks and opportunities in specific domains, such as talent management and retention, training and development, prevention of mobbing and harassment, diversity, family-friendly measures, remuneration, and others.</w:t>
      </w:r>
    </w:p>
    <w:p w14:paraId="4A527ACD" w14:textId="77777777" w:rsidR="00EE219E" w:rsidRDefault="00000000">
      <w:r>
        <w:t>Customer protection and product responsibility The Group members review new products and marketing policies before offering them to ensure that clients can have full confidence in the Groups products and services.</w:t>
      </w:r>
    </w:p>
    <w:p w14:paraId="593DE582" w14:textId="77777777" w:rsidR="00EE219E" w:rsidRDefault="00000000">
      <w:r>
        <w:t>The review process applies to all new and existing products and services, and involves key control functions, including Compliance and Integrity, to ensure that the products and services are compliant with all applicable laws, regulations, as well as ethical standards.</w:t>
      </w:r>
    </w:p>
    <w:p w14:paraId="369AA0AB" w14:textId="77777777" w:rsidR="00EE219E" w:rsidRDefault="00000000">
      <w:r>
        <w:t>Human rights The Group has established the Policy for Respecting Human Rights.</w:t>
      </w:r>
    </w:p>
    <w:p w14:paraId="65127DEF" w14:textId="77777777" w:rsidR="00EE219E" w:rsidRDefault="00000000">
      <w:r>
        <w:t>The policy aims to systematically monitor respect for human rights in all business areas, prevent human rights abuses in the context of banking business, and mitigate risks in this respect.</w:t>
      </w:r>
    </w:p>
    <w:p w14:paraId="11763469" w14:textId="77777777" w:rsidR="00EE219E" w:rsidRDefault="00000000">
      <w:r>
        <w:t>The policy contributes to a common understanding among employees of respecting human rights in relations with all Group stakeholders internally employees and externally customers, suppliers, and other stakeholders.</w:t>
      </w:r>
    </w:p>
    <w:p w14:paraId="7EC559E9" w14:textId="77777777" w:rsidR="00EE219E" w:rsidRDefault="00000000">
      <w:r>
        <w:lastRenderedPageBreak/>
        <w:t>Supply chain Additionally, social risk screening in the supply chain is part of the Groups supplier selection and regular assessment process as stipulated in the Standard Procurement in the members of the Group, the purpose of which is to ensure a uniform and transparent procurement procedure including performing the business activities in line with standards of conduct required by the NLB Group Code of Conduct, and the minimum principles of ethical, social, and environmental conduct that the Group expects from all its suppliers.</w:t>
      </w:r>
    </w:p>
    <w:p w14:paraId="74174191" w14:textId="77777777" w:rsidR="00EE219E" w:rsidRDefault="00000000">
      <w:r>
        <w:t>Moreover, social risks are monitored through the Groups internal control system on three levels, the first level all business units, second risk management and compliance, and third level controls internal audit.</w:t>
      </w:r>
    </w:p>
    <w:p w14:paraId="3B3B5688" w14:textId="77777777" w:rsidR="00EE219E" w:rsidRDefault="00000000">
      <w:r>
        <w:t>Remuneration policy in this report 2024 Basel Pillar III Disclosures 14.</w:t>
      </w:r>
    </w:p>
    <w:p w14:paraId="6E7366CF" w14:textId="77777777" w:rsidR="00EE219E" w:rsidRDefault="00000000">
      <w:r>
        <w:t>The cornerstone for addressing social factors and risks is the Policy on the Respect for Human Rights.</w:t>
      </w:r>
    </w:p>
    <w:p w14:paraId="5C3C175F" w14:textId="77777777" w:rsidR="00EE219E" w:rsidRDefault="00000000">
      <w:r>
        <w:t>The policy contains the commitment of the Bank and the Group to respect human rights in accordance with all the highest international standards, including but not limited to the Universal Declaration of Human Rights, the International Covenant on Civil and Political Rights, the International Covenant on Economic, Social, and Cultural Rights, the ILO Declaration on Fundamental Principles and Rights at Work, the UN Guidelines, Performance Standards 2 Labour and Working Conditions, 4 Health, Safety and Security, and 9 Financial Intermediaries as per EBRD Environmental and Social Policy and the OECD Guidelines.</w:t>
      </w:r>
    </w:p>
    <w:p w14:paraId="6CBFBFF3" w14:textId="77777777" w:rsidR="00EE219E" w:rsidRDefault="00000000">
      <w:r>
        <w:t>The Group regularly monitors fulfilment of non-financing activities that are not supported by the Group exclusion list due to negative social impact.</w:t>
      </w:r>
    </w:p>
    <w:p w14:paraId="1333AF5D" w14:textId="77777777" w:rsidR="00EE219E" w:rsidRDefault="00000000">
      <w:r>
        <w:t>To mitigate social risk, the ESMS system includes a Regulatory Compliance Check, by which the client is checked for legal compliance and a contractual clause is included in the loan agreements that specify that the client operates and complies with all applicable Slovenian and EU regulations applicable to the client borrower and its business, including social regulations in addition to environmental.</w:t>
      </w:r>
    </w:p>
    <w:p w14:paraId="40DB2D6B" w14:textId="77777777" w:rsidR="00EE219E" w:rsidRDefault="00000000">
      <w:r>
        <w:t>Borrowers engaged in socially controversial practices or industries may face financial instability due to regulatory fines, litigation, or loss of public support.</w:t>
      </w:r>
    </w:p>
    <w:p w14:paraId="336A4946" w14:textId="77777777" w:rsidR="00EE219E" w:rsidRDefault="00000000">
      <w:r>
        <w:t>Securities or equities linked to socially controversial activities may experience significant market declines due to investor concerns or regulatory changes.</w:t>
      </w:r>
    </w:p>
    <w:p w14:paraId="0F89CF62" w14:textId="77777777" w:rsidR="00EE219E" w:rsidRDefault="00000000">
      <w:r>
        <w:t>Perceived involvement in socially harmful activities can lead to deposit outflows or reduced investor confidence, affecting liquidity positions.</w:t>
      </w:r>
    </w:p>
    <w:p w14:paraId="34E5AAFC" w14:textId="77777777" w:rsidR="00EE219E" w:rsidRDefault="00000000">
      <w:r>
        <w:t>Issues such as labour disputes, a lack of diversity, or inadequate workplace policies can affect employee satisfaction, productivity, or retention, while unethical practices by vendors or partners can expose the bank to compliance risks or operational disruptions.</w:t>
      </w:r>
    </w:p>
    <w:p w14:paraId="69DD4ADA" w14:textId="77777777" w:rsidR="00EE219E" w:rsidRDefault="00000000">
      <w:r>
        <w:lastRenderedPageBreak/>
        <w:t>Association with socially harmful activities may lead to public criticism, reduced customer loyalty, or loss of market share.</w:t>
      </w:r>
    </w:p>
    <w:p w14:paraId="698D8E12" w14:textId="77777777" w:rsidR="00EE219E" w:rsidRDefault="00000000">
      <w:r>
        <w:t>Strict Exclusion Policy, In addition to environmental considerations, the Group does not finance activities related to forced evictions, exploitative or harmful child labour or forced labour defined among prohibited lending activities, including also other activities such as gambling, production of or trade in weapons, etc.</w:t>
      </w:r>
    </w:p>
    <w:p w14:paraId="7690328F" w14:textId="77777777" w:rsidR="00EE219E" w:rsidRDefault="00000000">
      <w:r>
        <w:t>Part of the ESMS system are questions to collect information on various social aspects of the financed entity human rights, local community relations, own workforce including labour rights and health and safety, and value chain to understand social risks, The due diligence process assesses the acceptability of the financed entitys practices, and also takes place periodically throughout the collaboration period.</w:t>
      </w:r>
    </w:p>
    <w:p w14:paraId="14F098FB" w14:textId="77777777" w:rsidR="00EE219E" w:rsidRDefault="00000000">
      <w:r>
        <w:t>The collected information is used to mitigate risks and improve the risk management framework.</w:t>
      </w:r>
    </w:p>
    <w:p w14:paraId="6D29806A" w14:textId="77777777" w:rsidR="00EE219E" w:rsidRDefault="00000000">
      <w:r>
        <w:t>Social risk, arising from the Groups sustainable finance activities and other operations, is important though not financially material.</w:t>
      </w:r>
    </w:p>
    <w:p w14:paraId="6C305B4A" w14:textId="77777777" w:rsidR="00EE219E" w:rsidRDefault="00000000">
      <w:r>
        <w:t>The Group assesses social risks arising from clients operations and its corresponding impacts and promotes good social risk management practices in the clients operations.</w:t>
      </w:r>
    </w:p>
    <w:p w14:paraId="162B1E98" w14:textId="77777777" w:rsidR="00EE219E" w:rsidRDefault="00000000">
      <w:r>
        <w:t>Our efforts are based on key policies such as the Policy on respect for Human Rights Policy, NLB Group Code of Conduct, Prevention of Harassment and Mobbing at Work policy, the Supplier Standard at NLB Group, and other relevant regulations.</w:t>
      </w:r>
    </w:p>
    <w:p w14:paraId="0F4178AD" w14:textId="77777777" w:rsidR="00EE219E" w:rsidRDefault="00000000">
      <w:r>
        <w:t>This may include, but it is not limited to, the Management Bodys remuneration, diversity and structure, shareholder rights, bribery and corruption, compliance, ethical standards, fair tax strategy, and the inclusion of ESG policies.</w:t>
      </w:r>
    </w:p>
    <w:p w14:paraId="5DBF34F3" w14:textId="77777777" w:rsidR="00EE219E" w:rsidRDefault="00000000">
      <w:r>
        <w:t>Governance factors and risks are included in the Groups business strategy and implemented through the NLB Group Sustainability Policy and its established sustainability pillars.</w:t>
      </w:r>
    </w:p>
    <w:p w14:paraId="0B5F3FA6" w14:textId="77777777" w:rsidR="00EE219E" w:rsidRDefault="00000000">
      <w:r>
        <w:t>The general objectives that the Group pursues withing each sustainability pillar are outlined in the remaining part of this chapter.</w:t>
      </w:r>
    </w:p>
    <w:p w14:paraId="60196FF6" w14:textId="77777777" w:rsidR="00EE219E" w:rsidRDefault="00000000">
      <w:r>
        <w:t>Sustainable operations, to manage the Groups direct environmental and social impacts while ensuring responsible business, conduct, compliance, and ethical and efficient operations, to mitigate governance risks in the Groups operations in relations with its stakeholders.</w:t>
      </w:r>
    </w:p>
    <w:p w14:paraId="4AE91419" w14:textId="77777777" w:rsidR="00EE219E" w:rsidRDefault="00000000">
      <w:r>
        <w:t>Contribution to society, to manage initiatives, sponsorships, donations and other partnerships in line with the highest governance standards.</w:t>
      </w:r>
    </w:p>
    <w:p w14:paraId="6AB4D3DA" w14:textId="77777777" w:rsidR="00EE219E" w:rsidRDefault="00000000">
      <w:r>
        <w:t xml:space="preserve">The institutions integration in their governance arrangements governance performance of the counterparty, including committees of the highest governance body, committees </w:t>
      </w:r>
      <w:r>
        <w:lastRenderedPageBreak/>
        <w:t>responsible for decision-making on economic, environmental, and social topics The Group has implemented a comprehensive sustainability governance framework top-down and bottom-up.</w:t>
      </w:r>
    </w:p>
    <w:p w14:paraId="36304B0E" w14:textId="77777777" w:rsidR="00EE219E" w:rsidRDefault="00000000">
      <w:r>
        <w:t>Key governance topics addressed were related to compliance, integrity, KPIs and plans, reporting, remuneration, and performance assessment, and DEI diversity, equity, and inclusion, and the gender pay gap.</w:t>
      </w:r>
    </w:p>
    <w:p w14:paraId="75BC3166" w14:textId="77777777" w:rsidR="00EE219E" w:rsidRDefault="00000000">
      <w:r>
        <w:t>Respective organisational units, which are responsible for specific governance area, are responsible for setting out a governance risks framework, risks identification, measurement, and monitoring, organising trainings, and establishing a mechanism to address violations.</w:t>
      </w:r>
    </w:p>
    <w:p w14:paraId="4FC003AD" w14:textId="77777777" w:rsidR="00EE219E" w:rsidRDefault="00000000">
      <w:r>
        <w:t>In addition, governance risks are monitored through the Groups internal control system on three levels, the first level all business units, the second risk management and compliance, and the third level controls internal audit.</w:t>
      </w:r>
    </w:p>
    <w:p w14:paraId="1459D3CD" w14:textId="77777777" w:rsidR="00EE219E" w:rsidRDefault="00000000">
      <w:r>
        <w:t>The institutions accounting of the counterpartys highest governance bodys role in non-financial reporting Activities to engage and monitor clients management on governance risks in addition to environmental and social risks are set out in the Environmental and Social Transaction Policy Framework in NLB and NLB Group.</w:t>
      </w:r>
    </w:p>
    <w:p w14:paraId="551F0BAE" w14:textId="77777777" w:rsidR="00EE219E" w:rsidRDefault="00000000">
      <w:r>
        <w:t>The activities include the assessment of, whether the commitment to managing sustainabilityESG is relevant to the business, presence of effective systems to manage sustainabilityESG, including accountability, past record of regulatory breaches, fines, lawsuits, negative media, or stakeholder protestscomplaints that demonstrate how well the client has been managing sustainabilityESG, past track record through an online search of publicly available information such as media reports, social media, and nongovernmental organisation websites.</w:t>
      </w:r>
    </w:p>
    <w:p w14:paraId="230FF27F" w14:textId="77777777" w:rsidR="00EE219E" w:rsidRDefault="00000000">
      <w:r>
        <w:t>In terms of risk management, clients strategies to mitigate governance risks and governance performance are included in the screening due diligence process within the Groups ESMS.</w:t>
      </w:r>
    </w:p>
    <w:p w14:paraId="35D6B546" w14:textId="77777777" w:rsidR="00EE219E" w:rsidRDefault="00000000">
      <w:r>
        <w:t>In particular, to monitor clients governance performance, the Bank uses a questionnaire developed in cooperation with the Bank Association of Slovenia.</w:t>
      </w:r>
    </w:p>
    <w:p w14:paraId="08F50EAE" w14:textId="77777777" w:rsidR="00EE219E" w:rsidRDefault="00000000">
      <w:r>
        <w:t>Energy performance certificates provide relevant information to banks on energy efficiency of buildings in collateral and exposure to climate transition risk, so EPC data collection initiative is in action.</w:t>
      </w:r>
    </w:p>
    <w:p w14:paraId="3C40F14B" w14:textId="77777777" w:rsidR="00EE219E" w:rsidRDefault="00000000">
      <w:r>
        <w:t>However, limited exposure arising from acute physical risk is assigned to moderately high-risk bucket which the Bank still considers as exposures sensitive to impact from acute climate change events.</w:t>
      </w:r>
    </w:p>
    <w:p w14:paraId="22759A0C" w14:textId="77777777" w:rsidR="00EE219E" w:rsidRDefault="00000000">
      <w:r>
        <w:t>For all collaterals in our portfolio, flood risk high, moderate high, moderate, moderate low, low was determined, as exposures sensitive to impact from acute climate change events collateral in the High and Moderately high flood risk bucket was included.</w:t>
      </w:r>
    </w:p>
    <w:p w14:paraId="14A382FF" w14:textId="77777777" w:rsidR="00EE219E" w:rsidRDefault="00000000">
      <w:r>
        <w:lastRenderedPageBreak/>
        <w:t>The Group has not identified any exposure sensitive to impact of chronic climate change events.</w:t>
      </w:r>
    </w:p>
    <w:p w14:paraId="5FE532CC" w14:textId="77777777" w:rsidR="00EE219E" w:rsidRDefault="00000000">
      <w:r>
        <w:t>This ratio serves as a metric for stakeholders to assess the extent to which a banks portfolio supports environmental sustainability objectives.</w:t>
      </w:r>
    </w:p>
    <w:p w14:paraId="76DAA4DB" w14:textId="77777777" w:rsidR="00EE219E" w:rsidRDefault="00000000">
      <w:r>
        <w:t>Banks are required to report their Green Asset Ratio as part of sustainability reporting obligations, providing transparency and accountability in their sustainability efforts.</w:t>
      </w:r>
    </w:p>
    <w:p w14:paraId="3CF36337" w14:textId="77777777" w:rsidR="00EE219E" w:rsidRDefault="00000000">
      <w:r>
        <w:t>However, while the Green Asset Ratio is a step towards improving transparency, it will not tell the whole story of banks transition efforts.</w:t>
      </w:r>
    </w:p>
    <w:p w14:paraId="6031FFFB" w14:textId="77777777" w:rsidR="00EE219E" w:rsidRDefault="00000000">
      <w:r>
        <w:t>Similarly, a comparable constraint is evident regarding Taxonomy eligibility concerning the four new environmental objectives, with both financial and nonfinancial counterparties obligated to disclose official information on Taxonomy eligibility starting in 2025 for the 2024 financial year.</w:t>
      </w:r>
    </w:p>
    <w:p w14:paraId="79363990" w14:textId="77777777" w:rsidR="00EE219E" w:rsidRDefault="00000000">
      <w:r>
        <w:t>So, in this report, we are disclosing the green assets ratio for two climate objectives out of six.</w:t>
      </w:r>
    </w:p>
    <w:p w14:paraId="304B5368" w14:textId="77777777" w:rsidR="00EE219E" w:rsidRDefault="00000000">
      <w:r>
        <w:t>Voting on the Remuneration Policy at the General Meeting of Shareholders of the Bank is consultative.</w:t>
      </w:r>
    </w:p>
    <w:p w14:paraId="54CB8DA1" w14:textId="77777777" w:rsidR="00EE219E" w:rsidRDefault="00000000">
      <w:r>
        <w:t>Thus, in 2024, the Bank amended the Remuneration Policy, which was adopted by the Supervisory Board of the Bank on 22 April 2024 and is valid from 1 January 2024 onwards.</w:t>
      </w:r>
    </w:p>
    <w:p w14:paraId="200532F4" w14:textId="77777777" w:rsidR="00EE219E" w:rsidRDefault="00000000">
      <w:r>
        <w:t>An external contractor a legal advisor for corporate law, who is a permanent associate of the Bank, also participates in the formulation, preparation, or implementation of the Remuneration Policy.</w:t>
      </w:r>
    </w:p>
    <w:p w14:paraId="02808FD7" w14:textId="77777777" w:rsidR="00EE219E" w:rsidRDefault="00000000">
      <w:r>
        <w:t>Considering local legislation and other regulations, the remuneration policy is also implemented at the level of all members of the Group through the management and control system of the Group.</w:t>
      </w:r>
    </w:p>
    <w:p w14:paraId="191ACC60" w14:textId="77777777" w:rsidR="00EE219E" w:rsidRDefault="00000000">
      <w:r>
        <w:t>The Bank conducts a self-assessment annually in order to establish the appropriateness of the definition of identified employees.</w:t>
      </w:r>
    </w:p>
    <w:p w14:paraId="341F4B3B" w14:textId="77777777" w:rsidR="00EE219E" w:rsidRDefault="00000000">
      <w:r>
        <w:t>The self-assessment of identified employees as at 31 December 2023 was approved by the Supervisory Board at its meeting on 22 February 2024.</w:t>
      </w:r>
    </w:p>
    <w:p w14:paraId="2F95E46F" w14:textId="77777777" w:rsidR="00EE219E" w:rsidRDefault="00000000">
      <w:r>
        <w:t>Design and structure of the remuneration system for identified staff The Remuneration Policies shall be consistent with the strategic goals of the Bank and the Group, its organisational culture and values, its long-term interests, the ESG factors, measures to prevent conflicts of interest, and its risk strategy appetite.</w:t>
      </w:r>
    </w:p>
    <w:p w14:paraId="24695389" w14:textId="77777777" w:rsidR="00EE219E" w:rsidRDefault="00000000">
      <w:r>
        <w:t>The Variable Remuneration is based on the achievement of the goals of the Group and the Bank and the goals of each individual, and is awarded and paid in the form of money andor Instruments.</w:t>
      </w:r>
    </w:p>
    <w:p w14:paraId="77B6871B" w14:textId="77777777" w:rsidR="00EE219E" w:rsidRDefault="00000000">
      <w:r>
        <w:lastRenderedPageBreak/>
        <w:t>The Group contributes to sustainable financing by factoring in ESG risk considerations in its business strategies, the risk management framework and internal governance.</w:t>
      </w:r>
    </w:p>
    <w:p w14:paraId="306A1CEE" w14:textId="77777777" w:rsidR="00EE219E" w:rsidRDefault="00000000">
      <w:r>
        <w:t>The Bank the Group is committed to improving the sustainability of its operations and measures, manages and reports on its performance in accordance with the applicable EU regulations and the UN Convened NZBA commitments signed by the Bank.</w:t>
      </w:r>
    </w:p>
    <w:p w14:paraId="71E4B58B" w14:textId="77777777" w:rsidR="00EE219E" w:rsidRDefault="00000000">
      <w:r>
        <w:t>The following stakeholders are involved in the decision-making process on the formulation, changes, and amendments to the remuneration policy, The competent specialised departments prepare and coordinate proposals, check the compliance of the policy with regulations, policies, risk-taking, and perform a central review of compliance with regulations, policies, procedures, internal acts, etc.</w:t>
      </w:r>
    </w:p>
    <w:p w14:paraId="6E158297" w14:textId="77777777" w:rsidR="00EE219E" w:rsidRDefault="00000000">
      <w:r>
        <w:t>In accordance with the EBA guidelines, the Bank's Supervisory Board is responsible for adopting 142 and maintaining the remuneration policy and for overseeing its implementation, thereby ensuring its full implementation at both the Bank and Group levels.</w:t>
      </w:r>
    </w:p>
    <w:p w14:paraId="4A3FC6AD" w14:textId="77777777" w:rsidR="00EE219E" w:rsidRDefault="00000000">
      <w:r>
        <w:t>The vote on the remuneration policy at the General Meeting of Shareholders of the Bank is consultative.</w:t>
      </w:r>
    </w:p>
    <w:p w14:paraId="0BB5C360" w14:textId="77777777" w:rsidR="00EE219E" w:rsidRDefault="00000000">
      <w:r>
        <w:t>Changes to the Remuneration Policies in 2024 The remuneration policy is reviewed and coordinated annually, following the requirements of binding regulations and guidelines.</w:t>
      </w:r>
    </w:p>
    <w:p w14:paraId="5714FC43" w14:textId="77777777" w:rsidR="00EE219E" w:rsidRDefault="00000000">
      <w:r>
        <w:t>The Remuneration Policy is valid from 1 January 2024 onwards.</w:t>
      </w:r>
    </w:p>
    <w:p w14:paraId="5B1E6DA1" w14:textId="77777777" w:rsidR="00EE219E" w:rsidRDefault="00000000">
      <w:r>
        <w:t>The significant changes of the fourth version compared to the third version of the Remuneration Policy are, clearer wording and definitions was introduced in the definitions and elsewhere in the Remuneration Policy.</w:t>
      </w:r>
    </w:p>
    <w:p w14:paraId="3960AAC8" w14:textId="77777777" w:rsidR="00EE219E" w:rsidRDefault="00000000">
      <w:r>
        <w:t>At the meeting on 7 November 2024, the Supervisory Board of the Bank adopted the second version of the Remuneration policy, and it was sent to the NLB Group member in order to be adopted by its relevant bodies.</w:t>
      </w:r>
    </w:p>
    <w:p w14:paraId="4C8486B5" w14:textId="77777777" w:rsidR="00EE219E" w:rsidRDefault="00000000">
      <w:r>
        <w:t>Also, an explicit restriction is added that the sum of the variable remuneration of an individual identified employee, which, in accordance with this policy, is considered when calculating the ratio between variable and fixed remuneration for an individual business year, may not exceed 100% of the sum fixed remuneration of this identified employee for this financial year.</w:t>
      </w:r>
    </w:p>
    <w:p w14:paraId="1330B59C" w14:textId="77777777" w:rsidR="00EE219E" w:rsidRDefault="00000000">
      <w:r>
        <w:t>The remuneration policy stipulates that the employment contract may specify a guaranteed variable remuneration for an identified employee only for the first year of employment, in accordance with the long-term interests of the bank.</w:t>
      </w:r>
    </w:p>
    <w:p w14:paraId="4EB3CBB5" w14:textId="77777777" w:rsidR="00EE219E" w:rsidRDefault="00000000">
      <w:r>
        <w:t xml:space="preserve">When a guaranteed variable remuneration is awarded upon employment of a new employee before the start of the first performance period, this guaranteed variable </w:t>
      </w:r>
      <w:r>
        <w:lastRenderedPageBreak/>
        <w:t>remuneration is not included in the calculation of the ratio between fixed and variable components of the total remuneration for the first performance period.</w:t>
      </w:r>
    </w:p>
    <w:p w14:paraId="629AB4C5" w14:textId="77777777" w:rsidR="00EE219E" w:rsidRDefault="00000000">
      <w:r>
        <w:t>The provisions of the remuneration policy on malus, retention, and clawback of the variable part of the salary do not apply to the guaranteed variable remuneration.</w:t>
      </w:r>
    </w:p>
    <w:p w14:paraId="6415D77C" w14:textId="77777777" w:rsidR="00EE219E" w:rsidRDefault="00000000">
      <w:r>
        <w:t>The ways in which current and future risks are considered in the remuneration processes Before awarding and payment of variable remuneration including deferred part, the Bank considers adjustment criteria resulting from risk management through the performance monitoring system based on KPI &amp; KRI goals at the level of the Group.</w:t>
      </w:r>
    </w:p>
    <w:p w14:paraId="34F89BCB" w14:textId="77777777" w:rsidR="00EE219E" w:rsidRDefault="00000000">
      <w:r>
        <w:t>If the soundness of the Banksthe Groups capital base could be at risk due to allocating and paying the variable remuneration, the Bank shall take the following measures within the required scope, reduce the bonus pool for the previous business year, even down to zero, and appropriately consider such a reduction when awarding the variable remuneration for the previous business year.</w:t>
      </w:r>
    </w:p>
    <w:p w14:paraId="407D9C3A" w14:textId="77777777" w:rsidR="00EE219E" w:rsidRDefault="00000000">
      <w:r>
        <w:t>The ratio between the variable and fixed part of the salary for identified employees differs depending on the category of identified employee, as defined in the Remuneration Policy, where identified employees are entitled to from a minimum of three to a maximum of six salaries.</w:t>
      </w:r>
    </w:p>
    <w:p w14:paraId="2DDF42F9" w14:textId="77777777" w:rsidR="00EE219E" w:rsidRDefault="00000000">
      <w:r>
        <w:t>The concrete targets which derive from the targets of the Bank andor the goals of the Group of the organisational unit where the identified employee assumes risk are defined by their direct superior officer for each business year and include the following areas, business goals of the organisational unit, project goals, cross-functional goals, which are cascaded on the top bottom principle.</w:t>
      </w:r>
    </w:p>
    <w:p w14:paraId="6919257E" w14:textId="77777777" w:rsidR="00EE219E" w:rsidRDefault="00000000">
      <w:r>
        <w:t>The following goals apply in the following ratio to determining the performance of an individual identified employee, Bank the Group goals OU goals Personal goals Identified employees 50% 30% 20% Identified employees in control supervisory function* 20% 60% 20% *Performance measures for control or supervisory functions are designed based on the objectives of their function and responsibilities.</w:t>
      </w:r>
    </w:p>
    <w:p w14:paraId="04C04737" w14:textId="77777777" w:rsidR="00EE219E" w:rsidRDefault="00000000">
      <w:r>
        <w:t>Variable remuneration is awarded or paid to them based on the achievement of objectives related to their functions, and these must be independent of the performance of the organisational parts they supervise.</w:t>
      </w:r>
    </w:p>
    <w:p w14:paraId="5F78C6CB" w14:textId="77777777" w:rsidR="00EE219E" w:rsidRDefault="00000000">
      <w:r>
        <w:t>The same identified employee who does not achieve personal goals is not entitled to the annual variable part of the salary, regardless of whether the goals of the Bank and the goals of the organisational unit have been achieved.</w:t>
      </w:r>
    </w:p>
    <w:p w14:paraId="376F5454" w14:textId="77777777" w:rsidR="00EE219E" w:rsidRDefault="00000000">
      <w:r>
        <w:t>Likewise, prior to the awarding of the variable part of the salary to the identified employees, the adjustment of this variable part of the salary to performance and risks is carried out, considering the performance criteria and adjustment criteria specified in the relevant Remuneration Policy.</w:t>
      </w:r>
    </w:p>
    <w:p w14:paraId="4502FAA6" w14:textId="77777777" w:rsidR="00EE219E" w:rsidRDefault="00000000">
      <w:r>
        <w:lastRenderedPageBreak/>
        <w:t>An interview regarding the achievement of results for the previous year and the agreement on goals for the next year is conducted with identified employees, based on the Groups strategy, the Banks goals, and the Banks development and project goals.</w:t>
      </w:r>
    </w:p>
    <w:p w14:paraId="1E568DDF" w14:textId="77777777" w:rsidR="00EE219E" w:rsidRDefault="00000000">
      <w:r>
        <w:t>During the year, the achievement of goals is also checked, especially those related to strategic projects on individual level with individual identified employees as on a collective level, on the Banks committees, and on the Supervisory Board.</w:t>
      </w:r>
    </w:p>
    <w:p w14:paraId="798D5623" w14:textId="77777777" w:rsidR="00EE219E" w:rsidRDefault="00000000">
      <w:r>
        <w:t>If personal goals are not achieved, the Board member is not entitled to the STI or LTI.</w:t>
      </w:r>
    </w:p>
    <w:p w14:paraId="3E2E6A69" w14:textId="77777777" w:rsidR="00EE219E" w:rsidRDefault="00000000">
      <w:r>
        <w:t>If part of the Variable Remuneration of a certain identified employee consists of ordinary or preference shares of the Bank, or instruments related to shares or equal non-cash instruments, the Variable Remuneration shall be set according to the criteria whereby the Bank ensures compatibility with a prudent and efficient risk management.</w:t>
      </w:r>
    </w:p>
    <w:p w14:paraId="15B514FD" w14:textId="77777777" w:rsidR="00EE219E" w:rsidRDefault="00000000">
      <w:r>
        <w:t>Unless another type of Instrument is determined pursuant to the preceding paragraph, the part of the Variable Remuneration of an identified employee consisting of Instruments shall be awarded and paid, under the terms and conditions of the Remuneration Policy, in Instruments with the following properties, The value of the Instrument is linked to the value of the NLBs share.</w:t>
      </w:r>
    </w:p>
    <w:p w14:paraId="5EF2F564" w14:textId="77777777" w:rsidR="00EE219E" w:rsidRDefault="00000000">
      <w:r>
        <w:t>Awarding of the variable part of the salary Prior to awarding variable remuneration to an identified employee, the Bank shall make an adjustment of such variable remuneration to performance and risks, considering the adjustment criteria based on the KPI and KRI goals, and the criteria listed in the table below.</w:t>
      </w:r>
    </w:p>
    <w:p w14:paraId="29BCE21C" w14:textId="77777777" w:rsidR="00EE219E" w:rsidRDefault="00000000">
      <w:r>
        <w:t>It shall be paid under the terms and conditions of this Policy, in fifths, as follows, the first fifth of the deferred part of the variable remuneration shall be paid no later than three months after one year has passed from the payment of the non-deferred part of the variable remuneration, provided the following conditions have been cumulatively met before the first fifth of the deferred part of the variable remuneration is paid, , one year has lapsed after the payment of non-deferred part of the variable remuneration.</w:t>
      </w:r>
    </w:p>
    <w:p w14:paraId="4E3B0B69" w14:textId="77777777" w:rsidR="00EE219E" w:rsidRDefault="00000000">
      <w:r>
        <w:t>If the case of a circumstance from item 7, 12, 15, or 16 of the table from the Policy occurs or is revealed and the nondeferred or deferred part of the variable remuneration has already been paid, the Bank has the right to demand, within a period of three years from the payment of the part of the variable remuneration from identified employee to return such part of variable remuneration, partially or in full, with mutatis mutandis application rules from Remuneration Policy.</w:t>
      </w:r>
    </w:p>
    <w:p w14:paraId="4A31A0AC" w14:textId="77777777" w:rsidR="00EE219E" w:rsidRDefault="00000000">
      <w:r>
        <w:t>Furthermore, the Bank has the right to demand, within a period of three years from the payment of the part of the variable remuneration from identified employee to return such a part of the variable remuneration, partially or in full, if it is established after the payment that identified employee significantly contributed to poor or negative financial performance of the Bank or used fraud or taken any other intentional action or caused, through gross negligence, great losses to the Bank.</w:t>
      </w:r>
    </w:p>
    <w:p w14:paraId="6CEDC50B" w14:textId="77777777" w:rsidR="00EE219E" w:rsidRDefault="00000000">
      <w:r>
        <w:lastRenderedPageBreak/>
        <w:t>Main parameters and rationale for any variable components scheme and any other non-cash benefit in accordance with point, of Article 450, CRR The variable part of the remuneration refers to the payment, which depends on the achieved results, and which are directly related to the achievement of the goals of the Group, the Bank, and individual goals and is allocated and paid out in the form of cash andor instruments.</w:t>
      </w:r>
    </w:p>
    <w:p w14:paraId="78AD19AC" w14:textId="77777777" w:rsidR="00EE219E" w:rsidRDefault="00000000">
      <w:r>
        <w:t>These objectives are aimed at achieving long-term value creation and sustainable results and combine financial objectives with environmental, social, and governance objectives.</w:t>
      </w:r>
    </w:p>
    <w:p w14:paraId="6D4671F0" w14:textId="3650BC49" w:rsidR="00EE219E" w:rsidRDefault="00000000">
      <w:r>
        <w:t>Our goal of improving sustainability is achieved by measuring, managing, and reporting in accordance with relevant EU regulations and UN principles.</w:t>
      </w:r>
    </w:p>
    <w:sectPr w:rsidR="00EE21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417164018">
    <w:abstractNumId w:val="8"/>
  </w:num>
  <w:num w:numId="2" w16cid:durableId="764109263">
    <w:abstractNumId w:val="6"/>
  </w:num>
  <w:num w:numId="3" w16cid:durableId="666784263">
    <w:abstractNumId w:val="5"/>
  </w:num>
  <w:num w:numId="4" w16cid:durableId="1627657490">
    <w:abstractNumId w:val="4"/>
  </w:num>
  <w:num w:numId="5" w16cid:durableId="866527624">
    <w:abstractNumId w:val="7"/>
  </w:num>
  <w:num w:numId="6" w16cid:durableId="2068645714">
    <w:abstractNumId w:val="3"/>
  </w:num>
  <w:num w:numId="7" w16cid:durableId="1408571550">
    <w:abstractNumId w:val="2"/>
  </w:num>
  <w:num w:numId="8" w16cid:durableId="275908717">
    <w:abstractNumId w:val="1"/>
  </w:num>
  <w:num w:numId="9" w16cid:durableId="173015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680"/>
    <w:rsid w:val="0029639D"/>
    <w:rsid w:val="00326F90"/>
    <w:rsid w:val="00460491"/>
    <w:rsid w:val="007F7672"/>
    <w:rsid w:val="00AA1D8D"/>
    <w:rsid w:val="00B47730"/>
    <w:rsid w:val="00CB0664"/>
    <w:rsid w:val="00EA08D1"/>
    <w:rsid w:val="00EE21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D39A5"/>
  <w14:defaultImageDpi w14:val="300"/>
  <w15:docId w15:val="{A149D812-4114-E24A-97AB-8C542F42A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28</Pages>
  <Words>10713</Words>
  <Characters>61069</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2025-08-01T17:00:00Z</dcterms:modified>
  <cp:category/>
</cp:coreProperties>
</file>