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1733" w14:textId="77777777" w:rsidR="00CA4EA7" w:rsidRDefault="00000000">
      <w:r>
        <w:t>Pillar III promotes market discipline through the development of a series of disclosure requirements that allow different agents to evaluate the Entity's risk exposure, risk assessment, management and control processes, the Group's capital adequacy and internal governance.</w:t>
      </w:r>
    </w:p>
    <w:p w14:paraId="0466DBD8" w14:textId="77777777" w:rsidR="00CA4EA7" w:rsidRDefault="00000000">
      <w:r>
        <w:t>This report contains the information required by the current regulations in force, The regulatory framework, governance bodies, perimeter for the purposes of capital requirements, information disclosure policy and risk management policies and objectives.</w:t>
      </w:r>
    </w:p>
    <w:p w14:paraId="790CAF8D" w14:textId="77777777" w:rsidR="00CA4EA7" w:rsidRDefault="00000000">
      <w:r>
        <w:t>Leverage, unencumbered assets, ESG risks and remuneration policy.</w:t>
      </w:r>
    </w:p>
    <w:p w14:paraId="76B7BC5D" w14:textId="77777777" w:rsidR="00CA4EA7" w:rsidRDefault="00000000">
      <w:r>
        <w:t>In accordance with part eight of chapter one of the CRR and article 85 of Law 10/2014, institutions must periodically publish relevant information for a proper understanding of their business profile, their exposure to different risks, the composition of their capital base and their risk management policies and objectives.</w:t>
      </w:r>
    </w:p>
    <w:p w14:paraId="01C23DA4" w14:textId="77777777" w:rsidR="00CA4EA7" w:rsidRDefault="00000000">
      <w:r>
        <w:t>The areas responsible for the preparation of the Prudential Relevance Report and their functions are defined below, a General Accounting, responsible for coordination, compliance with current regulations and comparison with the Group's various sources of information.</w:t>
      </w:r>
    </w:p>
    <w:p w14:paraId="13C367D1" w14:textId="77777777" w:rsidR="00CA4EA7" w:rsidRDefault="00000000">
      <w:r>
        <w:t>The conclusions of this review are presented to the Audit and Compliance Commission.</w:t>
      </w:r>
    </w:p>
    <w:p w14:paraId="4A7268FC" w14:textId="77777777" w:rsidR="00CA4EA7" w:rsidRDefault="00000000">
      <w:r>
        <w:t>In accordance with this policy, this report has been prepared by General Accounting, reviewed by the Audit and Compliance Commission and approved by the Board of Directors.</w:t>
      </w:r>
    </w:p>
    <w:p w14:paraId="223274E6" w14:textId="1DF55395" w:rsidR="00CA4EA7" w:rsidRDefault="00000000">
      <w:r>
        <w:t xml:space="preserve">Thus, in compliance with the requirements established in Part Eight of </w:t>
      </w:r>
      <w:r w:rsidR="003D06AC">
        <w:t>Regulation.</w:t>
      </w:r>
    </w:p>
    <w:p w14:paraId="04BB5DDF" w14:textId="77777777" w:rsidR="00CA4EA7" w:rsidRDefault="00000000">
      <w:r>
        <w:t>All material risks have an adequate or high control environment in terms of risk governance, management, control and audit.</w:t>
      </w:r>
    </w:p>
    <w:p w14:paraId="230CDDF9" w14:textId="77777777" w:rsidR="00CA4EA7" w:rsidRDefault="00000000">
      <w:r>
        <w:t>It has achieved key milestones in integrating ESG factors into risk management and business operations.</w:t>
      </w:r>
    </w:p>
    <w:p w14:paraId="3FAC6882" w14:textId="77777777" w:rsidR="00CA4EA7" w:rsidRDefault="00000000">
      <w:r>
        <w:t>Thus, the Entity has made progress in many aspects, measuring and managing climate and environmental risks, implementing the sustainable business strategy, defining the ESG data model, and developing policies and governance frameworks for ESG risk governance.</w:t>
      </w:r>
    </w:p>
    <w:p w14:paraId="54320EE7" w14:textId="05C30A18" w:rsidR="00CA4EA7" w:rsidRDefault="00000000">
      <w:r>
        <w:t>Also, the financed emissions footprint has been calculated, and intermediate decarbonization goals have been established in three sectors to comply with the Net Zero Banking Alliance</w:t>
      </w:r>
      <w:r w:rsidR="003D06AC">
        <w:t xml:space="preserve">, </w:t>
      </w:r>
      <w:r>
        <w:t xml:space="preserve">of which </w:t>
      </w:r>
      <w:proofErr w:type="spellStart"/>
      <w:r>
        <w:t>Ibercaja</w:t>
      </w:r>
      <w:proofErr w:type="spellEnd"/>
      <w:r>
        <w:t xml:space="preserve"> has been a founding member since 2021.</w:t>
      </w:r>
    </w:p>
    <w:p w14:paraId="1F729F4B" w14:textId="56F4D884" w:rsidR="00CA4EA7" w:rsidRDefault="00000000">
      <w:r>
        <w:t xml:space="preserve">On a general note, it is expected that starting on 1st January 2025, the proposals of CRR/CRD will be gradually incorporated starting from </w:t>
      </w:r>
      <w:proofErr w:type="gramStart"/>
      <w:r>
        <w:t>The</w:t>
      </w:r>
      <w:proofErr w:type="gramEnd"/>
      <w:r>
        <w:t xml:space="preserve"> banking package is divided into three </w:t>
      </w:r>
      <w:proofErr w:type="gramStart"/>
      <w:r>
        <w:t>sections,</w:t>
      </w:r>
      <w:r w:rsidR="003D06AC">
        <w:t>,</w:t>
      </w:r>
      <w:proofErr w:type="gramEnd"/>
      <w:r w:rsidR="003D06AC">
        <w:t xml:space="preserve"> </w:t>
      </w:r>
      <w:r>
        <w:t xml:space="preserve">Implementing Basel </w:t>
      </w:r>
      <w:proofErr w:type="gramStart"/>
      <w:r>
        <w:t>III,,</w:t>
      </w:r>
      <w:proofErr w:type="gramEnd"/>
      <w:r>
        <w:t xml:space="preserve"> contribution to the green transition and to the sustainability, </w:t>
      </w:r>
      <w:proofErr w:type="gramStart"/>
      <w:r>
        <w:t>and,</w:t>
      </w:r>
      <w:proofErr w:type="gramEnd"/>
      <w:r>
        <w:t xml:space="preserve"> stronger supervision to ensure sound management of EU banks </w:t>
      </w:r>
      <w:proofErr w:type="gramStart"/>
      <w:r>
        <w:t>in order to</w:t>
      </w:r>
      <w:proofErr w:type="gramEnd"/>
      <w:r>
        <w:t xml:space="preserve"> protect financial stability.</w:t>
      </w:r>
    </w:p>
    <w:p w14:paraId="0B55BEE4" w14:textId="77777777" w:rsidR="00CA4EA7" w:rsidRDefault="00000000">
      <w:r>
        <w:lastRenderedPageBreak/>
        <w:t>The Basel Committee's regulatory framework is based on three pillars, Pillar I establishes the minimum capital requirement and includes the possibility of using internal ratings and models for the calculation of risk-weighted exposure amounts.</w:t>
      </w:r>
    </w:p>
    <w:p w14:paraId="7388DE9B" w14:textId="77777777" w:rsidR="00CA4EA7" w:rsidRDefault="00000000">
      <w:r>
        <w:t>Pillar II establishes a system of supervisory review of capital adequacy based on risk profile and internal risk management.</w:t>
      </w:r>
    </w:p>
    <w:p w14:paraId="64D0DFD6" w14:textId="77777777" w:rsidR="00CA4EA7" w:rsidRDefault="00000000">
      <w:r>
        <w:t>In this regard, in June 2019, the regulatory framework applicable in the European Union was amended.</w:t>
      </w:r>
    </w:p>
    <w:p w14:paraId="3C27F46D" w14:textId="77777777" w:rsidR="00CA4EA7" w:rsidRDefault="00000000">
      <w:r>
        <w:t>These requirements improve the transparency of regulatory funding requirements, reinforce the principles for the proper management and supervision of liquidity risk, strengthen market discipline and reduce uncertainty in the markets when applying the NSFR.</w:t>
      </w:r>
    </w:p>
    <w:p w14:paraId="63D8D1B6" w14:textId="77777777" w:rsidR="00CA4EA7" w:rsidRDefault="00000000">
      <w:r>
        <w:t>The progressive adaptation of these regulations to the European framework places eligible capital and capital buffer requirements above the minimum regulatory levels, and therefore regulates the levels of capital and the composition of own funds that institutions must hold.</w:t>
      </w:r>
    </w:p>
    <w:p w14:paraId="0FF22456" w14:textId="77777777" w:rsidR="00CA4EA7" w:rsidRDefault="00000000">
      <w:r>
        <w:t>It is worth noting the final Pilar 3 disclosure framework, defined by the EBA, and approved in 2022, which includes obligations for the banking sector of any member state in terms of disclosure on climate risks physical and transition, whose implementation will be gradual.</w:t>
      </w:r>
    </w:p>
    <w:p w14:paraId="5768BC53" w14:textId="77777777" w:rsidR="00CA4EA7" w:rsidRDefault="00000000">
      <w:r>
        <w:t>It also includes disclosures on institutions support actions for their counterparts in the transition to a zero-carbon footprint economy.</w:t>
      </w:r>
    </w:p>
    <w:p w14:paraId="680DA81F" w14:textId="77777777" w:rsidR="00CA4EA7" w:rsidRDefault="00000000">
      <w:r>
        <w:t>Later, the Basel Committee on Banking Supervision issued a consultation on the framework for disclosing financial risks related to climate in 2023.</w:t>
      </w:r>
    </w:p>
    <w:p w14:paraId="6EF7A3A5" w14:textId="77777777" w:rsidR="00CA4EA7" w:rsidRDefault="00000000">
      <w:r>
        <w:t>This work is part of the Committee's holistic approach to addressing financial risks related to climate for the global banking system.</w:t>
      </w:r>
    </w:p>
    <w:p w14:paraId="2D4DF0D8" w14:textId="77777777" w:rsidR="00CA4EA7" w:rsidRDefault="00000000">
      <w:r>
        <w:t>In this project, the Committee examines how a Pillar 3 disclosure framework for financial risks related to climate would further its mandate to strengthen banks' regulation, supervision, and practices.</w:t>
      </w:r>
    </w:p>
    <w:p w14:paraId="221D6AB5" w14:textId="77777777" w:rsidR="00CA4EA7" w:rsidRDefault="00000000">
      <w:r>
        <w:t>In particular, digitalisation and its risks are once again among the European Central Bank's supervisory priorities and the regulator has continued in 2023 to develop regulatory initiatives in this regard.</w:t>
      </w:r>
    </w:p>
    <w:p w14:paraId="5D936C3B" w14:textId="77777777" w:rsidR="00CA4EA7" w:rsidRDefault="00000000">
      <w:r>
        <w:t>This has been done in order to establish a stable regulatory and supervisory framework that provides legal certainty and protects investors in relation to the provision of crypto asset services.</w:t>
      </w:r>
    </w:p>
    <w:p w14:paraId="7BAC0266" w14:textId="77777777" w:rsidR="00CA4EA7" w:rsidRDefault="00000000">
      <w:r>
        <w:t>Proposal for a Regulation on Digital Operational Resilience, known as the DORA Regulation, which seeks to introduce a global regulatory framework at EU level by including rules on digital operational resilience aimed at financial institutions.</w:t>
      </w:r>
    </w:p>
    <w:p w14:paraId="10E503A3" w14:textId="77777777" w:rsidR="00CA4EA7" w:rsidRDefault="00000000">
      <w:r>
        <w:lastRenderedPageBreak/>
        <w:t>Regarding transparency, in June 2022, the EBA published EBA/GL/2022/06, a Final report on Guidelines on the benchmarking exercises on remuneration practices, the gender pay gap and approved higher ratios under Directive 2013/3, which regulates, among other things, in remuneration matters, the presentation of qualitative disclosure templates to be included in the Pillar 3 Report.</w:t>
      </w:r>
    </w:p>
    <w:p w14:paraId="62811A47" w14:textId="03230DF6" w:rsidR="00CA4EA7" w:rsidRDefault="00000000" w:rsidP="005D28F8">
      <w:r>
        <w:t>In addition, the main governing bodies are detailed below, as well as the policies that ensure the suitability and diversity of the members of the Board of Directors</w:t>
      </w:r>
      <w:r w:rsidR="005D28F8">
        <w:t>.</w:t>
      </w:r>
    </w:p>
    <w:p w14:paraId="0DDA03F1" w14:textId="77777777" w:rsidR="00CA4EA7" w:rsidRDefault="00000000">
      <w:r>
        <w:t>During the 2023 financial year, the Committee reported on the central and independent evaluation of the general remuneration policy, the degree of compliance with the variable remuneration objectives corresponding to the 2022 financial year and the establishment of the remuneration objectives for the 2023 financial year, the review of the general remuneration policy, of the review of the composition of the identified group.</w:t>
      </w:r>
    </w:p>
    <w:p w14:paraId="7FD5E879" w14:textId="77777777" w:rsidR="00CA4EA7" w:rsidRDefault="00000000">
      <w:r>
        <w:t>It shall be composed of a minimum of three and a maximum of five directors, who do not perform executive functions and who possess the knowledge, ability and experience to understand and control the strategy and risk appetite of the Entity.</w:t>
      </w:r>
    </w:p>
    <w:p w14:paraId="4C446570" w14:textId="77777777" w:rsidR="00CA4EA7" w:rsidRDefault="00000000">
      <w:r>
        <w:t>During 2023, the Commission reported to the Board of Directors on the evolution of the Bank's various financial and non-financial risk indicators, the review of the Risk Appetite Framework and its monitoring, the review and monitoring of the Capital and Liquidity Self- Assessment Reports, the review of the Bank's Recovery Plan, the review of the various aspects of Resolution, as well as other matters relating to the review of the strategic plan for divestment of non-performing assets and its monitoring, and the proposal for new debt issues.</w:t>
      </w:r>
    </w:p>
    <w:p w14:paraId="182F1CF5" w14:textId="77777777" w:rsidR="00CA4EA7" w:rsidRDefault="00000000">
      <w:r>
        <w:t>During the 2023 financial year, the Entity has approved the following policies within the framework of the suitability of the members of the Board of Directors, Succession Policy with an annexed competency matrix document.</w:t>
      </w:r>
    </w:p>
    <w:p w14:paraId="627699A0" w14:textId="77777777" w:rsidR="00CA4EA7" w:rsidRDefault="00000000">
      <w:r>
        <w:t>Manual for the development of the Suitability and diversity Policy for members of the board of directors.</w:t>
      </w:r>
    </w:p>
    <w:p w14:paraId="7AF078EC" w14:textId="77777777" w:rsidR="00CA4EA7" w:rsidRDefault="00000000">
      <w:r>
        <w:t>Manual for the development of the Suitability Policy for holders of key functions.</w:t>
      </w:r>
    </w:p>
    <w:p w14:paraId="765BE1DA" w14:textId="77777777" w:rsidR="00CA4EA7" w:rsidRDefault="00000000">
      <w:r>
        <w:t>These policies define the criteria that the Entity will apply to evaluate the suitability of the members of the Board of Directors, general directors or similar, responsible for internal control functions and other relevant positions in the development of the Entity's activity, as well as such as diversity criteria.</w:t>
      </w:r>
    </w:p>
    <w:p w14:paraId="3DF46C98" w14:textId="77777777" w:rsidR="00CA4EA7" w:rsidRDefault="00000000">
      <w:r>
        <w:t xml:space="preserve">In accordance with these Policies, which include the regulations in force at all times on these particulars, specifically, on the assessment of the suitability of the people who are going to be part of the Board of Directors, this assessment must take into account the commercial and professional honourability of the proposed director, his knowledge and experience, as well as his willingness to good governance of the Entity, with express </w:t>
      </w:r>
      <w:r>
        <w:lastRenderedPageBreak/>
        <w:t>mention of the necessary concurrence of the principle of independence of criteria independence of ideas to be assessed in the evaluation process.</w:t>
      </w:r>
    </w:p>
    <w:p w14:paraId="64F6DB8F" w14:textId="77777777" w:rsidR="00CA4EA7" w:rsidRDefault="00000000">
      <w:r>
        <w:t>They also aim to ensure diversity in terms of age, gender and experience within the board.</w:t>
      </w:r>
    </w:p>
    <w:p w14:paraId="6D51DCB5" w14:textId="77777777" w:rsidR="00CA4EA7" w:rsidRDefault="00000000">
      <w:r>
        <w:t>Percentage also included in the succession policy of the members of the Board of Directors, including its president and CEO.</w:t>
      </w:r>
    </w:p>
    <w:p w14:paraId="788CEAD6" w14:textId="77777777" w:rsidR="00CA4EA7" w:rsidRDefault="00000000">
      <w:r>
        <w:t>When selecting candidates to be part of the Board of Directors, the following principles are taken into account to promote the diversity of its members, The candidate selection process will start from a prior analysis of the Entity's needs.</w:t>
      </w:r>
    </w:p>
    <w:p w14:paraId="511A00E9" w14:textId="77777777" w:rsidR="00CA4EA7" w:rsidRDefault="00000000">
      <w:r>
        <w:t>In this year, the Board of Directors has approved the succession policy where this analysis is regulated.</w:t>
      </w:r>
    </w:p>
    <w:p w14:paraId="6DA1DD82" w14:textId="77777777" w:rsidR="00CA4EA7" w:rsidRDefault="00000000">
      <w:r>
        <w:t>Care will be taken to ensure that the selection criteria take into account the diversity of knowledge, training, professional experience, age and gender, and that there is no implicit bias that could lead to discrimination in particular on grounds of sex, ethnic origin, age or disability.</w:t>
      </w:r>
    </w:p>
    <w:p w14:paraId="75BBAF85" w14:textId="77777777" w:rsidR="00CA4EA7" w:rsidRDefault="00000000">
      <w:r>
        <w:t>Specifically, the policy includes, Academic and professional profile For these purposes, knowledge in banking and finance, economics, law, accounting, audit, administration, financial regulation, information technology and quantitative methods will generally be considered relevant for the financial services sector.</w:t>
      </w:r>
    </w:p>
    <w:p w14:paraId="3C4985B7" w14:textId="77777777" w:rsidR="00CA4EA7" w:rsidRDefault="00000000">
      <w:r>
        <w:t>In this sense, this Policy aims for the least represented gender to reach, by January 1, 2023, at least thirty-three percent 36% of the total members of the Board of Directors.</w:t>
      </w:r>
    </w:p>
    <w:p w14:paraId="6B9B95D2" w14:textId="72DB474B" w:rsidR="00CA4EA7" w:rsidRDefault="00000000">
      <w:r>
        <w:t>The existence of directors of different ages will be valued, so that the afore mentioned difference can serve to provide a positive variety in the perception and focus of the debate on the issues that must be analysed and agreed upon by the Board of Directors.</w:t>
      </w:r>
    </w:p>
    <w:p w14:paraId="4ACF790C" w14:textId="77777777" w:rsidR="00CA4EA7" w:rsidRDefault="00000000">
      <w:r>
        <w:t>The Entity will ensure that the principle of equal opportunities is respected, that there is no discrimination based on gender, race, skin colour, ethnic or social origin, genetic characteristics, religion or convictions, belonging to a national minority, heritage, birth, disability, age or sexual orientation.</w:t>
      </w:r>
    </w:p>
    <w:p w14:paraId="1463A072" w14:textId="77777777" w:rsidR="00CA4EA7" w:rsidRDefault="00000000">
      <w:r>
        <w:t>In addition to the minimum requirements, it maintains a level in line with the risks inherent in its activity, the economic environment in which it operates, the management and control it carries out of these risks, the governance and internal audit systems it has in place and its strategic business plan.</w:t>
      </w:r>
    </w:p>
    <w:p w14:paraId="4D0EFC25" w14:textId="77777777" w:rsidR="00CA4EA7" w:rsidRDefault="00000000">
      <w:r>
        <w:t>Likewise, the capital strategy, the own funds held, the recurring profits, the corporate and internal governance and the risk management and control systems are appropriate to the activities that the Group carries out and the risks assumed.</w:t>
      </w:r>
    </w:p>
    <w:p w14:paraId="52EC0343" w14:textId="77777777" w:rsidR="00CA4EA7" w:rsidRDefault="00000000">
      <w:r>
        <w:lastRenderedPageBreak/>
        <w:t>Ibercaja Group's risk management is based on the strategic principles detailed below, Maintenance of a medium-low Group risk profile while at the same time achieving profitability, liquidity and solvency objectives.</w:t>
      </w:r>
    </w:p>
    <w:p w14:paraId="434609CA" w14:textId="77777777" w:rsidR="00CA4EA7" w:rsidRDefault="00000000">
      <w:r>
        <w:t>Compliance with regulatory requirements at all times, as well as with self-required capital and liquidity targets.</w:t>
      </w:r>
    </w:p>
    <w:p w14:paraId="70F26C29" w14:textId="77777777" w:rsidR="00CA4EA7" w:rsidRDefault="00000000">
      <w:r>
        <w:t>Ibercaja Group 2 80 Pillar 3 Disclosure 2023 Maintaining and fostering the trust of customers, investors, employees, suppliers and other stakeholders.</w:t>
      </w:r>
    </w:p>
    <w:p w14:paraId="1F2C62AC" w14:textId="77777777" w:rsidR="00CA4EA7" w:rsidRDefault="00000000">
      <w:r>
        <w:t>Ultimately, the proposal to the Global Risk Committee of the action plans necessary to remedy excesses or non-compliance is the responsibility of the Control Area Department and the Risk Control Department, in collaboration with the management of the first risk-taking lines.</w:t>
      </w:r>
    </w:p>
    <w:p w14:paraId="04D22B0B" w14:textId="77777777" w:rsidR="00CA4EA7" w:rsidRDefault="00000000">
      <w:r>
        <w:t>All material risks have an adequate or high control environment in terms of risk governance, management, control and audit.</w:t>
      </w:r>
    </w:p>
    <w:p w14:paraId="0DC9EE36" w14:textId="77777777" w:rsidR="00CA4EA7" w:rsidRDefault="00000000">
      <w:r>
        <w:t>Likewise, the Risk Appetite Framework includes a statement of risk limits, risk tolerance and risk appetite, as well as the roles and responsibilities of the different governance and management bodies that supervise its implementation and are responsible of monitoring it.</w:t>
      </w:r>
    </w:p>
    <w:p w14:paraId="16C43D59" w14:textId="77777777" w:rsidR="00CA4EA7" w:rsidRDefault="00000000">
      <w:r>
        <w:t>The RAF takes a global view of the consolidated Group and considers all the risks that affect the development of the Group's activity and the achievement of its business objectives as described.</w:t>
      </w:r>
    </w:p>
    <w:p w14:paraId="01724DDC" w14:textId="77777777" w:rsidR="00CA4EA7" w:rsidRDefault="00000000">
      <w:r>
        <w:t>The Entity has a robust organisational structure that ensures effective risk management and control.</w:t>
      </w:r>
    </w:p>
    <w:p w14:paraId="1921B230" w14:textId="77777777" w:rsidR="00CA4EA7" w:rsidRDefault="00000000">
      <w:r>
        <w:t>Its powers include proposing the establishment of limits by type of risk and business, reporting the Group's Risk Appetite Framework in a manner consistent with the Entity's other policies and strategic frameworks, assessing risk management in the Group, reviewing the risk control systems, periodically reviewing compliance with the risk appetite and proposing measures to mitigate the impact of the risks identified.</w:t>
      </w:r>
    </w:p>
    <w:p w14:paraId="3CBD96EF" w14:textId="77777777" w:rsidR="00CA4EA7" w:rsidRDefault="00000000">
      <w:r>
        <w:t>The Strategy Commission is mainly responsible for informing the Board of Directors about the Entity's strategic policy, ensuring that there is a precise organisation for its implementation.</w:t>
      </w:r>
    </w:p>
    <w:p w14:paraId="50541658" w14:textId="77777777" w:rsidR="00CA4EA7" w:rsidRDefault="00000000">
      <w:r>
        <w:t>In addition, the following Executive Committees have been set up with the participation of the Bank's Senior Management, The Global Risk Committee is responsible for defining and monitoring the Group's strategies and risk policies.</w:t>
      </w:r>
    </w:p>
    <w:p w14:paraId="44EA0316" w14:textId="77777777" w:rsidR="00CA4EA7" w:rsidRDefault="00000000">
      <w:r>
        <w:t xml:space="preserve">Among the functions of the Audit Committee is to be aware of the annual Operational Plan of the Internal Audit function that is presented to the Audit and Compliance Commission, to be informed periodically of the results of the internal audit reports and to promote the </w:t>
      </w:r>
      <w:r>
        <w:lastRenderedPageBreak/>
        <w:t>implementation of the improvement recommendations proposed to mitigate the weaknesses observed.</w:t>
      </w:r>
    </w:p>
    <w:p w14:paraId="60854A04" w14:textId="77777777" w:rsidR="00CA4EA7" w:rsidRDefault="00000000">
      <w:r>
        <w:t>The organisational structure provides the Entity with a global governance and risk management structure, proportional to the complexity of the Ibercaja Group's business, with three lines of defence, First line of defence, configured by the Group's business and support units, which are the risk takers.</w:t>
      </w:r>
    </w:p>
    <w:p w14:paraId="74757249" w14:textId="77777777" w:rsidR="00CA4EA7" w:rsidRDefault="00000000">
      <w:r>
        <w:t>During 2023, there have been no changes in the risk control, compliance and internal audit functions.</w:t>
      </w:r>
    </w:p>
    <w:p w14:paraId="58AE5DDE" w14:textId="77777777" w:rsidR="00CA4EA7" w:rsidRDefault="00000000">
      <w:r>
        <w:t>The Board of Directors is responsible for authorizing risks that exceed the competence of the operational circuit.</w:t>
      </w:r>
    </w:p>
    <w:p w14:paraId="3453F786" w14:textId="77777777" w:rsidR="00CA4EA7" w:rsidRDefault="00000000">
      <w:r>
        <w:t>The credit risk management structure presents a decentralised operation granting scheme, which is based on a formally established delegation of powers set forth in the risk manuals.</w:t>
      </w:r>
    </w:p>
    <w:p w14:paraId="144B9C69" w14:textId="77777777" w:rsidR="00CA4EA7" w:rsidRDefault="00000000">
      <w:r>
        <w:t>Internal Audit, as part of the controls carried out at the offices, is in charge of ensuring compliance with the established policies and procedures.</w:t>
      </w:r>
    </w:p>
    <w:p w14:paraId="33BC1B9F" w14:textId="77777777" w:rsidR="00CA4EA7" w:rsidRDefault="00000000">
      <w:r>
        <w:t>The second line of defence is located organisationally in the Control Area Department and for the development of this function it has the Risk Control and Regulatory Compliance directorates, and the Customer Service Department is also part of this Department.</w:t>
      </w:r>
    </w:p>
    <w:p w14:paraId="527C746F" w14:textId="77777777" w:rsidR="00CA4EA7" w:rsidRDefault="00000000">
      <w:r>
        <w:t>The Regulatory Compliance function ensures that credit risk operations are carried out in accordance with applicable laws, regulations and internal policies.</w:t>
      </w:r>
    </w:p>
    <w:p w14:paraId="0B8B9FB8" w14:textId="77777777" w:rsidR="00CA4EA7" w:rsidRDefault="00000000">
      <w:r>
        <w:t>Among others, proper compliance with internal procedures respecting the principles of information and transparency towards customers, as well as the prevention of money laundering and financing of terrorism.</w:t>
      </w:r>
    </w:p>
    <w:p w14:paraId="067AFDB6" w14:textId="77777777" w:rsidR="00CA4EA7" w:rsidRDefault="00000000">
      <w:r>
        <w:t>Countries are classified into six groups in accordance with Bank of Spain Circular 4/2017, based on their rating, economic evolution, political situation, regulatory and institutional framework, payment capacity and experience.</w:t>
      </w:r>
    </w:p>
    <w:p w14:paraId="3763D482" w14:textId="77777777" w:rsidR="00CA4EA7" w:rsidRDefault="00000000">
      <w:r>
        <w:t>The scope of application of the operational risk management and assessment model extends to the business and support units of Ibercaja Banco, as well as to the Group's companies.</w:t>
      </w:r>
    </w:p>
    <w:p w14:paraId="0BDC4B35" w14:textId="767B5E59" w:rsidR="00CA4EA7" w:rsidRDefault="00000000">
      <w:r>
        <w:t>The advances in the operational risk management and control processes resulting from the established policies, allow the Entity to calculate, from December 2010, the capital consumption for Operational Risk under the Standard Approach, in accordance with the provisions of Regulation</w:t>
      </w:r>
      <w:r w:rsidR="005D28F8">
        <w:t>.</w:t>
      </w:r>
    </w:p>
    <w:p w14:paraId="1D3DEAC6" w14:textId="77777777" w:rsidR="00CA4EA7" w:rsidRDefault="00000000">
      <w:r>
        <w:t>Liquidity risk management is done centrally with a conglomerate vision, ensuring that each subsidiary complies with its own different regulatory requirements, with its specific requirements, metrics and liquidity limits, consistent with the Entity's risk appetite.</w:t>
      </w:r>
    </w:p>
    <w:p w14:paraId="6B648272" w14:textId="77777777" w:rsidR="00CA4EA7" w:rsidRDefault="00000000">
      <w:r>
        <w:lastRenderedPageBreak/>
        <w:t>Regulatory ratios and internal metrics are periodically reported in accordance with the Entity's Risk Appetite Framework and are contrasted with the approved liquidity risk tolerance thresholds and limits.</w:t>
      </w:r>
    </w:p>
    <w:p w14:paraId="09ED4B6D" w14:textId="77777777" w:rsidR="00CA4EA7" w:rsidRDefault="00000000">
      <w:r>
        <w:t>Liquidity risk management is carried out both in normal market situations and in extraordinary stress scenarios originating from internal causes or from the market situation, calculating its potential impact on the liquidity position so that its results are considered in the establishment and review of policies and limits to liquidity risk.</w:t>
      </w:r>
    </w:p>
    <w:p w14:paraId="6F733963" w14:textId="77777777" w:rsidR="00CA4EA7" w:rsidRDefault="00000000">
      <w:r>
        <w:t>Thus, the Global Risk Committee has at its disposal the adoption of measures in the retail area strengthening the attraction of stable liabilities, slowing down the pace of investments, transfer of off-balance sheet resources funds, insurance, plans.</w:t>
      </w:r>
    </w:p>
    <w:p w14:paraId="326D6BEC" w14:textId="77777777" w:rsidR="00CA4EA7" w:rsidRDefault="00000000">
      <w:r>
        <w:t>With regard to action plans, the Global Risk Committee, after analysing all available information, shall be responsible for taking corrective measures, if necessary, including their escalation to the Governing Bodies, in the event of stress situations.</w:t>
      </w:r>
    </w:p>
    <w:p w14:paraId="2AD21839" w14:textId="77777777" w:rsidR="00CA4EA7" w:rsidRDefault="00000000">
      <w:r>
        <w:t>In addition, the control environment is evaluated in accordance with the SREP methodology, assessing the areas of governance, risk appetite and the internal risk management and control framework.</w:t>
      </w:r>
    </w:p>
    <w:p w14:paraId="58F8143A" w14:textId="77777777" w:rsidR="00CA4EA7" w:rsidRDefault="00000000">
      <w:r>
        <w:t>Ibercaja Banco has traditionally been characterised by adopting a prudent liquidity risk management policy, based on a clear vocation to finance the growth of the lending activity with retail resources, with limited recourse to the wholesale markets.</w:t>
      </w:r>
    </w:p>
    <w:p w14:paraId="402CE6E3" w14:textId="00673601" w:rsidR="00CA4EA7" w:rsidRDefault="00000000">
      <w:r>
        <w:t>ESG risk management helps to identify opportunities and threats that can positively or negatively influence institutions, Environmental risks E are linked to exposures to legal entities that could potentially be affected by, or contribute to, the negative impacts of environmental trends.</w:t>
      </w:r>
    </w:p>
    <w:p w14:paraId="15A268EF" w14:textId="77777777" w:rsidR="00CA4EA7" w:rsidRDefault="00000000">
      <w:r>
        <w:t>This categorisation includes climate risks, understood as those deriving directly or indirectly from the effects of climate change and considered relevant due to their high probability of occurrence and potential severe impact.</w:t>
      </w:r>
    </w:p>
    <w:p w14:paraId="12A063D5" w14:textId="220146CB" w:rsidR="00CA4EA7" w:rsidRDefault="00000000">
      <w:r>
        <w:t>Governance risks G arise from negative financial or reputational impact resulting from weaknesses on the part of commercial counterparties or investees, such as transparency, market conduct, anti-corruption policies, tax compliance or other behaviour considered ethical by stakeholders.</w:t>
      </w:r>
    </w:p>
    <w:p w14:paraId="2E228F0A" w14:textId="77777777" w:rsidR="00CA4EA7" w:rsidRDefault="00000000">
      <w:r>
        <w:t>Ibercaja identifies ESG risks, and especially climate and environmental risks, as risk factors that are likely to impact prudential risks through its counterparties and/or invested assets via certain transmission channels.</w:t>
      </w:r>
    </w:p>
    <w:p w14:paraId="7ED62FFF" w14:textId="77777777" w:rsidR="00CA4EA7" w:rsidRDefault="00000000">
      <w:r>
        <w:t xml:space="preserve">In order to advance in the understanding of climate risks and their transmission channels to prudential risks, the development of the climate risk map is a fundamental pillar because it allows progress in the understanding and comprehension of the characteristics and particularities of climate risks, the identification of the main climate risks affecting the </w:t>
      </w:r>
      <w:r>
        <w:lastRenderedPageBreak/>
        <w:t>Ibercaja Group and progress in the establishment and consolidation of the risk management model based on three lines of defence in the Entity.</w:t>
      </w:r>
    </w:p>
    <w:p w14:paraId="79FC40C5" w14:textId="77777777" w:rsidR="00CA4EA7" w:rsidRDefault="00000000">
      <w:r>
        <w:t>In 2023, Ibercaja has updated the climate risk map, working in coordination with the first lines of prudential risks and the Second Line, using a qualitative methodology with a top-down approach.</w:t>
      </w:r>
    </w:p>
    <w:p w14:paraId="5D4DBE6D" w14:textId="77777777" w:rsidR="00CA4EA7" w:rsidRDefault="00000000">
      <w:r>
        <w:t>Furthermore, aware that other non-climate ESG factors may also be fundamental to maintaining the value capacity of any organisation, Ibercaja has begun to review in 2023 the potential positive or negative impact of environmental, social or governance factors on the financial results or solvency of the Entity.</w:t>
      </w:r>
    </w:p>
    <w:p w14:paraId="0A8F34FE" w14:textId="77777777" w:rsidR="00CA4EA7" w:rsidRDefault="00000000">
      <w:r>
        <w:t>In addition, the Entity continued to develop the operational risk map, analysing, in addition to physical risks in the area of climate and environmental risks, those related to the risk of transition with a Group approach, such as bad greenwashing practices.</w:t>
      </w:r>
    </w:p>
    <w:p w14:paraId="32F09C23" w14:textId="77777777" w:rsidR="00CA4EA7" w:rsidRDefault="00000000">
      <w:r>
        <w:t>Regarding social risks, and in accordance with the United Nations Principles of Responsible Banking, Ibercaja's priority is to attend to the needs of its customers, which is why, at all times and of its own free will, it seeks the best solutions to help them in the most difficult situations.</w:t>
      </w:r>
    </w:p>
    <w:p w14:paraId="53A2B677" w14:textId="325BF923" w:rsidR="00CA4EA7" w:rsidRDefault="00000000">
      <w:r>
        <w:t xml:space="preserve">The scope of application of the operational risk management and assessment model, following a report from the Major Risks and Solvency Commission, documented in the </w:t>
      </w:r>
      <w:proofErr w:type="spellStart"/>
      <w:r>
        <w:t>Ibercaja</w:t>
      </w:r>
      <w:proofErr w:type="spellEnd"/>
      <w:r>
        <w:t xml:space="preserve"> Banco Market Risk Policy and in the Market Risk Control Policy.</w:t>
      </w:r>
    </w:p>
    <w:p w14:paraId="243EE593" w14:textId="77777777" w:rsidR="00CA4EA7" w:rsidRDefault="00000000">
      <w:r>
        <w:t>Within this risk category, the Group manages and assesses the regulatory risk or non-compliance with regulations imposition of sanctions, particularly in the event that they were made public, using controls, processes, and procedures designed to ensure compliance with regulations, whether internal or external, as applicable.</w:t>
      </w:r>
    </w:p>
    <w:p w14:paraId="1BF9F2ED" w14:textId="7F313775" w:rsidR="00CA4EA7" w:rsidRDefault="00000000">
      <w:r>
        <w:t>In addition, and as a key control function, in order to mitigate the risk of suffering possible negative impacts from regulatory breaches, the Group has a regulatory compliance verification function, with supervisory powers in particularly relevant areas such as the prevention of money laundering and the financing of terrorism, investor protection in the marketing of financial instruments and the provision of investment services</w:t>
      </w:r>
      <w:r w:rsidR="003D06AC">
        <w:t xml:space="preserve">, </w:t>
      </w:r>
      <w:r>
        <w:t>rules of conduct in the Securities Markets, regulations on reporting suspicious transactions of market abuse, etc.</w:t>
      </w:r>
    </w:p>
    <w:p w14:paraId="5EE91C40" w14:textId="77777777" w:rsidR="00CA4EA7" w:rsidRDefault="00000000">
      <w:r>
        <w:t>As part of its preventive approach to reputational risk management and control, a series of indicators have been identified as part of the Reputational Scorecard.</w:t>
      </w:r>
    </w:p>
    <w:p w14:paraId="2FEDBF42" w14:textId="77777777" w:rsidR="00CA4EA7" w:rsidRDefault="00000000">
      <w:r>
        <w:t>These indicators measure, among other aspects, the impact and scope of mentions in digital channels, the perception and expectations of the main stakeholders, mentions in the media, the positioning of the brand and the perception of employees, and are reported monthly by the Reputation and Sustainability Division to the Non-Financial Risk Control Unit for monitoring and control.</w:t>
      </w:r>
    </w:p>
    <w:p w14:paraId="4ECF120E" w14:textId="77777777" w:rsidR="00CA4EA7" w:rsidRDefault="00000000">
      <w:r>
        <w:lastRenderedPageBreak/>
        <w:t>For this reason, every six months the Reputation and Sustainability Department presents to the first lines of management and those responsible for monitoring and controlling reputation, the analysis of the evolution of the RepTrak indicator for measuring reputation, identifying and sharing with them the strong points, areas for improvement, possible reputational risk areas and action plans for improving reputation.</w:t>
      </w:r>
    </w:p>
    <w:p w14:paraId="78F47D12" w14:textId="77777777" w:rsidR="00CA4EA7" w:rsidRDefault="00000000">
      <w:r>
        <w:t>The action plans as well as the monitoring of the reputation scorecard are presented to the Reputation and Sustainability Committee for oversight and approval.</w:t>
      </w:r>
    </w:p>
    <w:p w14:paraId="566F2183" w14:textId="77777777" w:rsidR="00CA4EA7" w:rsidRDefault="00000000">
      <w:r>
        <w:t>The Group considers support through awareness-raising and training to be an important factor in the reputational risk management process.</w:t>
      </w:r>
    </w:p>
    <w:p w14:paraId="00656FBE" w14:textId="77777777" w:rsidR="00CA4EA7" w:rsidRDefault="00000000">
      <w:r>
        <w:t>For this reason, specific training has been provided to those responsible for monitoring and controlling reputational risks.</w:t>
      </w:r>
    </w:p>
    <w:p w14:paraId="4E7C74A2" w14:textId="77777777" w:rsidR="00CA4EA7" w:rsidRDefault="00000000">
      <w:r>
        <w:t>In the process of improving reputation, several internal and external levers have been activated in order to, on the one hand, reinforce the corporate culture, the relationship model and essential behaviours of the people who form part of Ibercaja, as they are the main ambassadors of the Institution's reputation and image and, on the other, to reinforce Ibercaja's reputation with its stakeholders, knowing their expectations and needs and disclosing accordingly, with transparency, all the actions and progress of the Entity, in addition to the objectives fulfilled with the commitments voluntarily acquired with the 2030 Agenda, Global Compact, Principles of Responsible Banking, Net Zero Banking Alliance, among others.</w:t>
      </w:r>
    </w:p>
    <w:p w14:paraId="179355EE" w14:textId="77777777" w:rsidR="00CA4EA7" w:rsidRDefault="00000000">
      <w:r>
        <w:t>In addition to measuring, managing and controlling reputational risk, the Group continues making progress in strengthening the image and enhancing the reputation of the Entity by fostering a culture of reputational risk management and through transparent disclosure of its commitment to stakeholders.</w:t>
      </w:r>
    </w:p>
    <w:p w14:paraId="0A543C9E" w14:textId="77777777" w:rsidR="00CA4EA7" w:rsidRDefault="00000000">
      <w:r>
        <w:t>Ensure compliance with regulations on matters within its competence, which may affect the development of the activity of Ibercaja, and non-compliance with which may cause risks of sanction by regulators and reputational risks for the Entity.</w:t>
      </w:r>
    </w:p>
    <w:p w14:paraId="5CA632DE" w14:textId="77777777" w:rsidR="00CA4EA7" w:rsidRDefault="00000000">
      <w:r>
        <w:t>Ibercaja Group 2 103 Pillar 3 Disclosure 2023 Ensure the correct application of the procedures established in the regulations on transparency and customer protection both for banking products and in the field of investment services -customer compliance-.</w:t>
      </w:r>
    </w:p>
    <w:p w14:paraId="6EFA54B3" w14:textId="77777777" w:rsidR="00CA4EA7" w:rsidRDefault="00000000">
      <w:r>
        <w:t>Ensure the proper application of the procedures related to the Customer Care Service in accordance with the provisions of Order ECO/734/2004, of March 11, on customer care departments and services and the customer ombudsman of financial institutions, and Order ECC/2502/2012, of November 16, which regulates the procedure for submitting complaints to the complaint’s services of the Bank of Spain, the National Securities Market Commission and the Directorate General of Insurance and Pension Funds.</w:t>
      </w:r>
    </w:p>
    <w:p w14:paraId="14904001" w14:textId="77777777" w:rsidR="00CA4EA7" w:rsidRDefault="00000000">
      <w:r>
        <w:lastRenderedPageBreak/>
        <w:t>Ensure that the development and updating of the Entity's Policies and Manuals are in line with current regulations, the guidelines and agreements adopted by the Entity's governing bodies, as well as the consistency and absence of inconsistencies between them.</w:t>
      </w:r>
    </w:p>
    <w:p w14:paraId="7CF42C45" w14:textId="77777777" w:rsidR="00CA4EA7" w:rsidRDefault="00000000">
      <w:r>
        <w:t>To verify, in coordination with the various competent Departments and Units, the correct identification and compliance with their legal obligations within the scope of their respective competencies, supervising the effective application of the procedures and controls established for such purpose, particularly in matters of prevention of money laundering, tax matters, protection of personal data, protection of consumers and users, and the provision of services in the area of the securities market.</w:t>
      </w:r>
    </w:p>
    <w:p w14:paraId="3E533EF7" w14:textId="77777777" w:rsidR="00CA4EA7" w:rsidRDefault="00000000">
      <w:r>
        <w:t>Specifically, the Regulatory Compliance area has the following specific functions, Functions referring to Information and Office Services, o Prepare, in coordination with the Regulations Unit, the instructions and guidelines referring to matters within its competence, proposing their publication and ensuring their permanent updating.</w:t>
      </w:r>
    </w:p>
    <w:p w14:paraId="1AA352CA" w14:textId="77777777" w:rsidR="00CA4EA7" w:rsidRDefault="00000000">
      <w:r>
        <w:t>Functions related to Training, o Collaborate with the Personnel Area Management and with the Legal Department in the preparation and definition of contents of training programs for directors and employees in the field of regulatory compliance in the securities market environments, prevention of money laundering and financing of terrorism.</w:t>
      </w:r>
    </w:p>
    <w:p w14:paraId="06ABC6AF" w14:textId="77777777" w:rsidR="00CA4EA7" w:rsidRDefault="00000000">
      <w:r>
        <w:t>Submit to senior management and the governing bodies, through the General Secretary, the corresponding periodic reports within the scope of its competencies, as well as the periodic reports on the degree of monitoring of the Regulatory Compliance Program, assisting them in the establishment of improvement or updating plans when appropriate.</w:t>
      </w:r>
    </w:p>
    <w:p w14:paraId="06F1DD00" w14:textId="77777777" w:rsidR="00CA4EA7" w:rsidRDefault="00000000">
      <w:r>
        <w:t>Relating to the scope of control of regulatory monitoring, the Regulatory Compliance Unit has the following functions, Study and monitor regulatory standards in particular the EBA Guidelines or any other body or authority with competence in banking matters and supervisory standards and criteria in the area of internal governance of the institution, transparency and rules of conduct in the provision of banking and investment services to customers, as well as risk management and control.</w:t>
      </w:r>
    </w:p>
    <w:p w14:paraId="07B81009" w14:textId="77777777" w:rsidR="00CA4EA7" w:rsidRDefault="00000000">
      <w:r>
        <w:t>Ensure that the Regulatory Programmes Unit, which reports to the Directorate of Organisation, together with the various Area Directorates and competent Units, undertake the projects and actions required to adapt to the new provisions in force in the aforementioned areas, based on the impact map and the corresponding GAP analysis that these Directorates have carried out.</w:t>
      </w:r>
    </w:p>
    <w:p w14:paraId="3B4BE43D" w14:textId="77777777" w:rsidR="00CA4EA7" w:rsidRDefault="00000000">
      <w:r>
        <w:t>Among its competencies in relation to risk management and control are the following, Establish and approve the Ibercaja Group's Risk Appetite Framework following a report from the Major Risks and Solvency Commission and review it at least annually or whenever necessary depending on the circumstances.</w:t>
      </w:r>
    </w:p>
    <w:p w14:paraId="697FD020" w14:textId="77777777" w:rsidR="00CA4EA7" w:rsidRDefault="00000000">
      <w:r>
        <w:t xml:space="preserve">In this regard, the Major Risks and Solvency Committee has informed the Board of Directors that the Risk Appetite Framework of the Ibercaja Banco Group and the Risk Appetite </w:t>
      </w:r>
      <w:r>
        <w:lastRenderedPageBreak/>
        <w:t>Statement are consistent with the other policies and strategic frameworks of the Ibercaja Banco Group.</w:t>
      </w:r>
    </w:p>
    <w:p w14:paraId="67603EE7" w14:textId="77777777" w:rsidR="00CA4EA7" w:rsidRDefault="00000000">
      <w:r>
        <w:t>The general functions of the Internal Audit area in the area of risks are as follows, To propose, through the Audit and Compliance Commission, for approval by the Board of Directors, the Internal Audit Charter of the Ibercaja Group, which will establish the position of the Internal Audit Function in the organisation, its responsibilities, the way in which these are to be developed.</w:t>
      </w:r>
    </w:p>
    <w:p w14:paraId="725A179B" w14:textId="77777777" w:rsidR="00CA4EA7" w:rsidRDefault="00000000">
      <w:r>
        <w:t>To plan, coordinate and develop the Strategic Plan and the Annual Operating Plan of the Internal Audit Department.</w:t>
      </w:r>
    </w:p>
    <w:p w14:paraId="05488089" w14:textId="77777777" w:rsidR="00CA4EA7" w:rsidRDefault="00000000">
      <w:r>
        <w:t>To ensure the quality of the methodologies, actions and reports of the Internal Audit functions.</w:t>
      </w:r>
    </w:p>
    <w:p w14:paraId="4977B88C" w14:textId="77777777" w:rsidR="00CA4EA7" w:rsidRDefault="00000000">
      <w:r>
        <w:t>To permanently evaluate the adequacy and proper functioning of the governance framework, internal control information systems and risk management systems inherent to the activities of the Entity or its Group, proposing, with a preventive approach, recommendations for their improvement.</w:t>
      </w:r>
    </w:p>
    <w:p w14:paraId="10EFB638" w14:textId="77777777" w:rsidR="00CA4EA7" w:rsidRDefault="00000000">
      <w:r>
        <w:t>To inform the Chief Executive Officer, Senior Management and the Internal Audit Committee of the main conclusions and recommendations resulting from the internal audits carried out, as well as the degree of implementation of these recommendations.</w:t>
      </w:r>
    </w:p>
    <w:p w14:paraId="572E3046" w14:textId="77777777" w:rsidR="00CA4EA7" w:rsidRDefault="00000000">
      <w:r>
        <w:t>To report periodically to the Board of Directors, through its Audit and Compliance Commission, on the results of the verification work carried out by Internal Audit and the degree of implementation of the recommendations.</w:t>
      </w:r>
    </w:p>
    <w:p w14:paraId="21FED488" w14:textId="77777777" w:rsidR="00CA4EA7" w:rsidRDefault="00000000">
      <w:r>
        <w:t>Collaborate in the supervision and/or execution of those remediation plans determined in the Data Governance framework.</w:t>
      </w:r>
    </w:p>
    <w:p w14:paraId="482C3CD9" w14:textId="77777777" w:rsidR="00CA4EA7" w:rsidRDefault="00000000">
      <w:r>
        <w:t>In this way, each area director is aware of the current situation of the relevant risks and channels this information to the corresponding units and risk takers, thus facilitating the integration of the Risk Appetite Framework into the Entity's risk culture.</w:t>
      </w:r>
    </w:p>
    <w:p w14:paraId="642729B2" w14:textId="77777777" w:rsidR="00CA4EA7" w:rsidRDefault="00000000">
      <w:r>
        <w:t>Operational limits, Risk management and control limits required to ensure compliance with the risk appetite defined by the Group.</w:t>
      </w:r>
    </w:p>
    <w:p w14:paraId="4D777BD6" w14:textId="77777777" w:rsidR="00CA4EA7" w:rsidRDefault="00000000">
      <w:r>
        <w:t>The operating limits are developed in the corresponding risk management policies and procedures manuals.</w:t>
      </w:r>
    </w:p>
    <w:p w14:paraId="7BD6A957" w14:textId="77777777" w:rsidR="00CA4EA7" w:rsidRDefault="00000000">
      <w:r>
        <w:t>The Board of Directors is responsible for authorizing risks that exceed the competence of the operating circuit.</w:t>
      </w:r>
    </w:p>
    <w:p w14:paraId="752B5E52" w14:textId="77777777" w:rsidR="00CA4EA7" w:rsidRDefault="00000000">
      <w:r>
        <w:t xml:space="preserve">As a result of this study, the Group has selected the following portfolios for the development of internal methodologies, Ibercaja Group 2 114 Pillar 3 Disclosure 2023 Home purchase, </w:t>
      </w:r>
      <w:r>
        <w:lastRenderedPageBreak/>
        <w:t>Credit cards, and Corporates The following portfolios are excluded from using internal models, Consumer, Self-employed, Developers.</w:t>
      </w:r>
    </w:p>
    <w:p w14:paraId="1BCE6966" w14:textId="77777777" w:rsidR="00CA4EA7" w:rsidRDefault="00000000">
      <w:r>
        <w:t>Likewise, the Entity complies with the requirements of transparency and reporting to information repositories for derivatives transactions as well as repo, simultaneous and securities lending transactions established in the EMIR and SFTR Regulations, respectively.</w:t>
      </w:r>
    </w:p>
    <w:p w14:paraId="58AE4066" w14:textId="77777777" w:rsidR="00CA4EA7" w:rsidRDefault="00000000">
      <w:r>
        <w:t>The following is a breakdown of counterparty risk exposure information as of December 31, 2023, according to the applicable method and counterparty risk exposures subject to the standardised approach by regulatory exposure categories and risk weightings.</w:t>
      </w:r>
    </w:p>
    <w:p w14:paraId="2FE97ACC" w14:textId="77777777" w:rsidR="00CA4EA7" w:rsidRDefault="00000000">
      <w:r>
        <w:t>Within this framework of action, and with the objective of measuring and controlling the market risk of the Regulatory Trading Portfolio, there are a series of stipulated limits.</w:t>
      </w:r>
    </w:p>
    <w:p w14:paraId="2B18B39C" w14:textId="77777777" w:rsidR="00CA4EA7" w:rsidRDefault="00000000">
      <w:r>
        <w:t>The market risk associated with the Entity's own investment portfolios is managed in the Financial Markets Department through the Financial Risk Management Unit based on the policies and procedures developed in collaboration with the Capital and Strategy unit.</w:t>
      </w:r>
    </w:p>
    <w:p w14:paraId="6DAF36CB" w14:textId="77777777" w:rsidR="00CA4EA7" w:rsidRDefault="00000000">
      <w:r>
        <w:t>Ibercaja Group 2 155 Pillar 3 Disclosure 2023 With the aim of achieving compliance with the risk management objectives, the Entity must, among other aspects, identify its exposures to operational risk and record data on the losses derived from this type of risk, identifying, in addition, the type of loss event in accordance with the categories established by the Regulations.</w:t>
      </w:r>
    </w:p>
    <w:p w14:paraId="75D602C1" w14:textId="77777777" w:rsidR="00CA4EA7" w:rsidRDefault="00000000">
      <w:r>
        <w:t>Within the framework of the Ibercaja Group, the scope of internal audit is total, thus influencing the parent company and its subsidiaries, so that no activity, information system or internal control system is excluded from its scope of action.</w:t>
      </w:r>
    </w:p>
    <w:p w14:paraId="2E348D71" w14:textId="5595F427" w:rsidR="00CA4EA7" w:rsidRDefault="00000000">
      <w:r>
        <w:t>These subcategories include, among others, the following risks, Conduct Risk</w:t>
      </w:r>
      <w:r w:rsidR="005D28F8">
        <w:t>,</w:t>
      </w:r>
      <w:r>
        <w:t xml:space="preserve"> ICT risk</w:t>
      </w:r>
      <w:r w:rsidR="005D28F8">
        <w:t>,</w:t>
      </w:r>
      <w:r>
        <w:t xml:space="preserve"> Model Risk Additionally, and linked to the Entity's scope of application of the ESG Risk Management and Sustainability Policies, those aspects associated with said scope are considered in the field of Operational Risk.</w:t>
      </w:r>
    </w:p>
    <w:p w14:paraId="3122EE1C" w14:textId="77777777" w:rsidR="00CA4EA7" w:rsidRDefault="00000000">
      <w:r>
        <w:t>Below is a chart showing the distribution of the Group's operational loss events during the 2023 financial year by regulatory category, Ibercaja Group 2 157 Pillar 3 Disclosure 2023 Illustration 12, Loss events by risk category as a % The Operational Loss Database has a control or filtering system that, depending on the amount, requires subsequent validation by the corresponding unit or subsidiary, or by the Non-Financial Risk Control Unit, giving greater reliability and integrity to the data and the homogeneous application of criteria.</w:t>
      </w:r>
    </w:p>
    <w:p w14:paraId="24157BA5" w14:textId="77777777" w:rsidR="00CA4EA7" w:rsidRDefault="00000000">
      <w:r>
        <w:t>The objective of this risk management is to contribute to maintaining current and future profitability at optimal levels while preserving the Entity's economic value.</w:t>
      </w:r>
    </w:p>
    <w:p w14:paraId="673529C1" w14:textId="77777777" w:rsidR="00CA4EA7" w:rsidRDefault="00000000">
      <w:r>
        <w:t>Additionally, these measures are contrasted with, The thresholds established in the Risk Appetite Framework approved by the Board of Directors.</w:t>
      </w:r>
    </w:p>
    <w:p w14:paraId="7D8FAF85" w14:textId="7326EBED" w:rsidR="00CA4EA7" w:rsidRDefault="00000000">
      <w:r>
        <w:lastRenderedPageBreak/>
        <w:t>In this regard, the European Banking Authority has developed Guidelines regarding the disclosure of information on encumbered and unencumbered assets in compliance with the mandate set out in the Capital Requirements Regulation</w:t>
      </w:r>
      <w:r w:rsidR="00BB047D">
        <w:t>.</w:t>
      </w:r>
    </w:p>
    <w:p w14:paraId="0C4D7C6D" w14:textId="77777777" w:rsidR="00CA4EA7" w:rsidRDefault="00000000">
      <w:r>
        <w:t>As part of Ibercaja's Risk Appetite Statement of meeting regulatory requirements at all times by incorporating the full range of regulatory ratios, the leverage ratio constitutes a first-level metric within the Entity's Risk Appetite Framework.</w:t>
      </w:r>
    </w:p>
    <w:p w14:paraId="13AB25DC" w14:textId="77777777" w:rsidR="00CA4EA7" w:rsidRDefault="00000000">
      <w:r>
        <w:t>It is periodically monitored and its objective is to ensure that minimum regulatory level required is significantly exceeded by the ratio.</w:t>
      </w:r>
    </w:p>
    <w:p w14:paraId="27D82E9B" w14:textId="10C7AE01" w:rsidR="00CA4EA7" w:rsidRDefault="00000000">
      <w:r>
        <w:t>ESG Risks This section covers the requirements for disclosure of information on environmental, social and governance risks,</w:t>
      </w:r>
      <w:r w:rsidR="00BB047D">
        <w:t xml:space="preserve"> </w:t>
      </w:r>
      <w:r>
        <w:t>Qualitative information on environmental risk.</w:t>
      </w:r>
    </w:p>
    <w:p w14:paraId="2B80C74D" w14:textId="77777777" w:rsidR="00CA4EA7" w:rsidRDefault="00000000">
      <w:r>
        <w:t>Since 2006, Ibercaja has been a signatory of the United Nations Global Compact Principles and is firmly committed to developing its activity in a responsible manner and respecting and promoting human rights as a fundamental part of its strategy.</w:t>
      </w:r>
    </w:p>
    <w:p w14:paraId="066AAA65" w14:textId="77777777" w:rsidR="00CA4EA7" w:rsidRDefault="00000000">
      <w:r>
        <w:t>The defence of human rights is a key principle of action included in both its Sustainability Policy and its Code of Ethics.</w:t>
      </w:r>
    </w:p>
    <w:p w14:paraId="45179ADD" w14:textId="77777777" w:rsidR="00CA4EA7" w:rsidRDefault="00000000">
      <w:r>
        <w:t>With the signing of these Principles and through its Sustainability Policy, Ibercaja maintains its commitment to align its business strategy with long-term objectives, which not only enable economic growth, but also contribute to responding to social and environmental challenges, identifying its greatest potential contribution.</w:t>
      </w:r>
    </w:p>
    <w:p w14:paraId="359CF6A3" w14:textId="77777777" w:rsidR="00CA4EA7" w:rsidRDefault="00000000">
      <w:r>
        <w:t>Within the framework of COP25, in December 2019, it signed the Collective Commitment to Climate Action to measure the carbon footprint of its balance sheets and reduce the climate impact of its financial activity.</w:t>
      </w:r>
    </w:p>
    <w:p w14:paraId="61AEA9B3" w14:textId="77777777" w:rsidR="00CA4EA7" w:rsidRDefault="00000000">
      <w:r>
        <w:t>With this adhesion, it took a step forward in the disclosure, in a clear, consistent and standardised manner, of the impacts of the risks and opportunities of climate change on its business and the implications for Ibercaja's strategy.</w:t>
      </w:r>
    </w:p>
    <w:p w14:paraId="04B113BE" w14:textId="290F4E42" w:rsidR="00CA4EA7" w:rsidRDefault="00000000">
      <w:r>
        <w:t>In addition, in order to contribute to the Group's Net Zero strategy, Ibercaja Gestión and Ibercaja Pensión joined in 2021 the Net Zero Asset Managers</w:t>
      </w:r>
      <w:r w:rsidR="003D06AC">
        <w:t xml:space="preserve">, </w:t>
      </w:r>
      <w:r>
        <w:t>an initiative promoted by the Asia Investor Group on Climate Change</w:t>
      </w:r>
      <w:r w:rsidR="003D06AC">
        <w:t xml:space="preserve">, </w:t>
      </w:r>
      <w:r>
        <w:t>CDP, Ceres, Investor Group on Climate Change</w:t>
      </w:r>
      <w:r w:rsidR="003D06AC">
        <w:t xml:space="preserve">, </w:t>
      </w:r>
      <w:r>
        <w:t>Institutional Investors Group on Climate Change and Principles for Responsible Investment</w:t>
      </w:r>
      <w:r w:rsidR="003D06AC">
        <w:t xml:space="preserve">, </w:t>
      </w:r>
      <w:r>
        <w:t>with the commitment to achieve CO2 neutrality for themselves and their portfolios by 2050 at the latest.</w:t>
      </w:r>
    </w:p>
    <w:p w14:paraId="184F2017" w14:textId="56B544C0" w:rsidR="00CA4EA7" w:rsidRDefault="00000000">
      <w:r>
        <w:t>The issues that were ranked as very high priority are aligned with the Bank's strategic objectives, including the following, Strategic aspects related to the generation of value for customers and shareholders, as well as increased transparency towards all stakeholders.</w:t>
      </w:r>
    </w:p>
    <w:p w14:paraId="2E8ED172" w14:textId="77777777" w:rsidR="00CA4EA7" w:rsidRDefault="00000000">
      <w:r>
        <w:t>Maintaining the Bank's highest standards of ethics, integrity and corporate culture, and the high standards of regulatory compliance and risk management.</w:t>
      </w:r>
    </w:p>
    <w:p w14:paraId="3805DA02" w14:textId="77777777" w:rsidR="00CA4EA7" w:rsidRDefault="00000000">
      <w:r>
        <w:lastRenderedPageBreak/>
        <w:t>Grupo Ibercaja 197 Pillar 3 Disclosure 2023 Digital transformation, transparency, communication and customer service excellence, as well as the total guarantee of data privacy.</w:t>
      </w:r>
    </w:p>
    <w:p w14:paraId="53893F2A" w14:textId="77777777" w:rsidR="00CA4EA7" w:rsidRDefault="00000000">
      <w:r>
        <w:t>The integration into business and risk management of ESG aspects and, in particular, those related to climate change.</w:t>
      </w:r>
    </w:p>
    <w:p w14:paraId="53491030" w14:textId="77777777" w:rsidR="00CA4EA7" w:rsidRDefault="00000000">
      <w:r>
        <w:t>This materiality study is updated with each new strategic cycle to ensure that the business focuses on the most important aspects for stakeholders.</w:t>
      </w:r>
    </w:p>
    <w:p w14:paraId="34FEEACA" w14:textId="77777777" w:rsidR="00CA4EA7" w:rsidRDefault="00000000">
      <w:r>
        <w:t>Assessing the impact of ESG risks on the business environment and business strategy, Ibercaja has prioritised the integration of ESG aspects in business and risk management and, specifically, those related to climate change.</w:t>
      </w:r>
    </w:p>
    <w:p w14:paraId="328209B2" w14:textId="77777777" w:rsidR="00CA4EA7" w:rsidRDefault="00000000">
      <w:r>
        <w:t>To this end, it has made progress in assessing the qualitative materiality of climate, environmental, social and governance risks over traditional prudential risks, evaluating their potential impact on the different risk categories and quantifying, through an assessment of quantitative materiality, the impact of climate and environmental risks in those risk categories where the potential impact is greater than the Entity's risk profile1.</w:t>
      </w:r>
    </w:p>
    <w:p w14:paraId="41BAC1FD" w14:textId="77777777" w:rsidR="00CA4EA7" w:rsidRDefault="00000000">
      <w:r>
        <w:t>As a result of this qualitative materiality analysis and in response to its commitment to align its business strategy with the Principles for Responsible Banking and to comply with the ECB's Expectations on climate and environmental risk management, Ibercaja has updated and enriched the ESG impact analysis exercise to assess how these risks could impact Ibercaja's activity and, specifically, the portfolios in which ESG risks are material.</w:t>
      </w:r>
    </w:p>
    <w:p w14:paraId="34B0D5F6" w14:textId="77777777" w:rsidR="00CA4EA7" w:rsidRDefault="00000000">
      <w:r>
        <w:t>Aware and sensitive to the relationship between environmental factors and financial activity, Ibercaja carries out this impact analysis with the aim of identifying the main risks that could have an impact on its business model, in order to segment the credit portfolio and assess the climate and environmental risks to which Ibercaja is most exposed, as well as to explore potential business opportunities.</w:t>
      </w:r>
    </w:p>
    <w:p w14:paraId="7F0D0A0B" w14:textId="77777777" w:rsidR="00CA4EA7" w:rsidRDefault="00000000">
      <w:r>
        <w:t>Grupo Ibercaja 198 Pillar 3 Disclosure 2023 In this line, physical and transitional climate risks have been analysed, assessing the predisposition of the prioritised segments in Ibercaja's portfolio to be affected by climate events, and the impact of environmental risks has been assessed, identifying those sectors most vulnerable to changes in nature according to the NCFA.</w:t>
      </w:r>
    </w:p>
    <w:p w14:paraId="3247335F" w14:textId="77777777" w:rsidR="00CA4EA7" w:rsidRDefault="00000000">
      <w:r>
        <w:t>Likewise, as part of the impact analysis and as a novelty for 2023, Ibercaja has analysed in depth the main areas of social impact most relevant to its customer portfolio in order to try to minimise the difficulties faced by the most vulnerable groups in understanding or achieving financial stability.</w:t>
      </w:r>
    </w:p>
    <w:p w14:paraId="708A8239" w14:textId="0B3FCB52" w:rsidR="00CA4EA7" w:rsidRDefault="00000000">
      <w:r>
        <w:t>In response to this impact analysis and as a founding member of the Next Zero Banking Alliance</w:t>
      </w:r>
      <w:r w:rsidR="003D06AC">
        <w:t xml:space="preserve">, </w:t>
      </w:r>
      <w:proofErr w:type="spellStart"/>
      <w:r>
        <w:t>Ibercaja</w:t>
      </w:r>
      <w:proofErr w:type="spellEnd"/>
      <w:r>
        <w:t xml:space="preserve"> seeks to achieve its own and its portfolio's emissions neutrality by 2050.</w:t>
      </w:r>
    </w:p>
    <w:p w14:paraId="0CB2C630" w14:textId="77777777" w:rsidR="00CA4EA7" w:rsidRDefault="00000000">
      <w:r>
        <w:lastRenderedPageBreak/>
        <w:t>These objectives were defined by the Credit Risk Division, the Corporate Banking Division, the Marketing and Digital Strategy Division and the Brand, Reputation and Sustainability Division, and must be reviewed and, if necessary, amended at least every five years to ensure consistency with the latest scientific, methodological or scenario developments.</w:t>
      </w:r>
    </w:p>
    <w:p w14:paraId="4169CE1E" w14:textId="63EFF9ED" w:rsidR="00CA4EA7" w:rsidRDefault="00000000">
      <w:r>
        <w:t xml:space="preserve">In this regard, in the 2023 financial year, the Entity has improved its methodology for calculating the carbon footprint financed and revised its decarbonisation targets, establishing the following, Grupo Ibercaja 199 Pillar 3 Disclosure 2023 The baseline published on intensity metrics could undergo modifications </w:t>
      </w:r>
      <w:proofErr w:type="gramStart"/>
      <w:r>
        <w:t>due to the fact that</w:t>
      </w:r>
      <w:proofErr w:type="gramEnd"/>
      <w:r>
        <w:t xml:space="preserve"> data, information sources and methodologies are constantly evolving.</w:t>
      </w:r>
    </w:p>
    <w:p w14:paraId="131534F6" w14:textId="77777777" w:rsidR="00CA4EA7" w:rsidRDefault="00000000">
      <w:r>
        <w:t>Nevertheless, Ibercaja is committed to maintaining decarbonisation targets linked to scenarios aligned with compliance with the Paris Agreement.</w:t>
      </w:r>
    </w:p>
    <w:p w14:paraId="2F9D6F99" w14:textId="77777777" w:rsidR="00CA4EA7" w:rsidRDefault="00000000">
      <w:r>
        <w:t>In order to achieve the intermediate decarbonisation targets, in 2023 the Entity has taken a further step in its commitment by defining a Transition Plan, following the guidelines and recommendations for financial institutions published by the Glasgow Financial Alliance for Net Zero 2.</w:t>
      </w:r>
    </w:p>
    <w:p w14:paraId="45CF1D32" w14:textId="77777777" w:rsidR="00CA4EA7" w:rsidRDefault="00000000">
      <w:r>
        <w:t>In the coming years, Ibercaja will continue to evolve its climate transition plans and will extend its objectives and plans to new sectors.</w:t>
      </w:r>
    </w:p>
    <w:p w14:paraId="359FCE1F" w14:textId="77777777" w:rsidR="00CA4EA7" w:rsidRDefault="00000000">
      <w:r>
        <w:t>It also has different policies, codes of conduct and internal regulations that seek to help clients achieve sustainable development and thus neutralise their environmental, social and governance risks.</w:t>
      </w:r>
    </w:p>
    <w:p w14:paraId="4EB355A0" w14:textId="77777777" w:rsidR="00CA4EA7" w:rsidRDefault="00000000">
      <w:r>
        <w:t>Among them, Ibercaja has approved ESG Exclusion Policies, applicable to the granting and renewal of credit risk and to the investment activities of the securities portfolio, in order to avoid any financing or investment operation that may be considered controversial due to its high environmental, social, ethical or reputational risk.</w:t>
      </w:r>
    </w:p>
    <w:p w14:paraId="50E8B736" w14:textId="77777777" w:rsidR="00CA4EA7" w:rsidRDefault="00000000">
      <w:r>
        <w:t>On the other hand, with the aim of promoting the principles of good governance in its value chain, Ibercaja has a Supplier Code of Conduct, in which it conveys its principles of responsible management, focusing on social aspects, with interaction and dialogue being key aspects to promote a stable and enriching relationship with its suppliers, based on ethics, transparency and compliance with the agreed commitments.</w:t>
      </w:r>
    </w:p>
    <w:p w14:paraId="0AC97587" w14:textId="77777777" w:rsidR="00CA4EA7" w:rsidRDefault="00000000">
      <w:r>
        <w:t>Grupo Ibercaja 200 Pillar 3 Disclosure 2023 these and to promote compliance with the aforementioned principles among the third parties with whom it contracts.</w:t>
      </w:r>
    </w:p>
    <w:p w14:paraId="6DAE6686" w14:textId="77777777" w:rsidR="00CA4EA7" w:rsidRDefault="00000000">
      <w:r>
        <w:t>In the tendering and awarding process, certifications that promote care for the environment, society, its employees and good governance are positively valued both qualitatively and quantitatively.</w:t>
      </w:r>
    </w:p>
    <w:p w14:paraId="56A02282" w14:textId="77777777" w:rsidR="00CA4EA7" w:rsidRDefault="00000000">
      <w:r>
        <w:t xml:space="preserve">A clause has been included in the contracting process in which they assume compliance with the principles of the United Nations Global Compact and undertake to comply with and </w:t>
      </w:r>
      <w:r>
        <w:lastRenderedPageBreak/>
        <w:t>enforce compliance, within their sphere of influence, with current environmental protection regulations, and to continue to improve their environmental practices.</w:t>
      </w:r>
    </w:p>
    <w:p w14:paraId="5858AA6B" w14:textId="77777777" w:rsidR="00CA4EA7" w:rsidRDefault="00000000">
      <w:r>
        <w:t>Business opportunities, As a result of this analysis of the impact of sustainability factors, of the decarbonization objectives for 2030 and of Ibercaja's mitigation activities, business opportunities are identified in the most significant segments of the credit portfolio that allow ESG factors to be integrated into the business strategy.</w:t>
      </w:r>
    </w:p>
    <w:p w14:paraId="5C8EB8DD" w14:textId="77777777" w:rsidR="00CA4EA7" w:rsidRDefault="00000000">
      <w:r>
        <w:t>Along these lines, it offers its customers a wide range of financing products that seek to support the sustainable growth of the economy, Improving the energy efficiency of housing and business with a complete range of products, Hipoteca Vamos +Sostenible, Vivienda +Sostenible, Edificio +Sostenible e Inversión +Sostenible.</w:t>
      </w:r>
    </w:p>
    <w:p w14:paraId="6A56E900" w14:textId="77777777" w:rsidR="00CA4EA7" w:rsidRDefault="00000000">
      <w:r>
        <w:t>Due to Ibercaja's social character and commitment to creating value and having a positive impact on society, Ibercaja has defined a business strategy aimed at the senior segment and a decalogue of measures for personalised attention through different channels.</w:t>
      </w:r>
    </w:p>
    <w:p w14:paraId="2335825D" w14:textId="4C652261" w:rsidR="00CA4EA7" w:rsidRDefault="00000000">
      <w:r>
        <w:t xml:space="preserve">In conclusion, in accordance with its Corporate Purpose To help people build the visa story, because it will be our story, </w:t>
      </w:r>
      <w:proofErr w:type="spellStart"/>
      <w:r>
        <w:t>Ibercaja</w:t>
      </w:r>
      <w:proofErr w:type="spellEnd"/>
      <w:r>
        <w:t xml:space="preserve"> works to adapt its range of products and services to the climate and social needs of its customers, promoting sustainable business models and practices, raising awareness among customers in their necessary transition towards decarbonisation, identifying their preferences and mitigating the ESG risks to which they may be exposed.</w:t>
      </w:r>
    </w:p>
    <w:p w14:paraId="56D6E9B3" w14:textId="77777777" w:rsidR="00CA4EA7" w:rsidRDefault="00000000">
      <w:r>
        <w:t>This document establishes the global framework for action in terms of sustainability, containing the commitments voluntarily assumed by Ibercaja with its stakeholders to promote sustainable, inclusive and environmentally friendly growth, with a long-term vision.</w:t>
      </w:r>
    </w:p>
    <w:p w14:paraId="0DD04F8C" w14:textId="77777777" w:rsidR="00CA4EA7" w:rsidRDefault="00000000">
      <w:r>
        <w:t>The approval of the proposed strategies and roadmap also corresponds to the Strategy Commission, with the Board of Directors being ultimately responsible for the approval and promotion of the Entity's Sustainability Policy.</w:t>
      </w:r>
    </w:p>
    <w:p w14:paraId="0B886755" w14:textId="77777777" w:rsidR="00CA4EA7" w:rsidRDefault="00000000">
      <w:r>
        <w:t>Reputation and Sustainability Committee, at management level and chaired by the CEO, in charge of validating and supervising the Entity’s Sustainability Strategy, as well as monitoring and approving the necessary measures to advance the integration of sustainability in Ibercaja.</w:t>
      </w:r>
    </w:p>
    <w:p w14:paraId="0AF0E792" w14:textId="77777777" w:rsidR="00CA4EA7" w:rsidRDefault="00000000">
      <w:r>
        <w:t>Brand, Reputation and Sustainability Department, reporting directly to the CEO, is in charge of promoting, defining, and coordinating Ibercaja Banco’s sustainability strategy, collaborating with the areas involved in its implementation.</w:t>
      </w:r>
    </w:p>
    <w:p w14:paraId="56F08EA6" w14:textId="77777777" w:rsidR="00CA4EA7" w:rsidRDefault="00000000">
      <w:r>
        <w:t>Additionally, it is responsible for continuing to promote Socially Responsible Investment by expanding the number of investment products offered.</w:t>
      </w:r>
    </w:p>
    <w:p w14:paraId="659D6280" w14:textId="77777777" w:rsidR="00CA4EA7" w:rsidRDefault="00000000">
      <w:r>
        <w:t>Additionally, it is defined as the Body that must review and approve the actions of Ibercaja's Environmental Policy.</w:t>
      </w:r>
    </w:p>
    <w:p w14:paraId="61D8AD6D" w14:textId="77777777" w:rsidR="00CA4EA7" w:rsidRDefault="00000000">
      <w:r>
        <w:lastRenderedPageBreak/>
        <w:t>Grupo Ibercaja 203 Pillar 3 Disclosure 2023 This definition of sustainability governance allows the sustainability strategy to be a transversal Project.</w:t>
      </w:r>
    </w:p>
    <w:p w14:paraId="50822223" w14:textId="77777777" w:rsidR="00CA4EA7" w:rsidRDefault="00000000">
      <w:r>
        <w:t>This initiative is based on four pillars, risk management, sustainable business strategy, communication and sustainable impact and carbon footprint.</w:t>
      </w:r>
    </w:p>
    <w:p w14:paraId="2B647601" w14:textId="77777777" w:rsidR="00CA4EA7" w:rsidRDefault="00000000">
      <w:r>
        <w:t>The sustainability strategy includes the following priorities for its gradual integration into the Entity's global risk framework, identification, management and control of environmental, social and governance risks.</w:t>
      </w:r>
    </w:p>
    <w:p w14:paraId="480FBD4F" w14:textId="77777777" w:rsidR="00CA4EA7" w:rsidRDefault="00000000">
      <w:r>
        <w:t>These sustainability action pillars are primarily guided by the following policies, The Sustainability Policy Approved in 2020 is considered the framework for the development of the sustainability strategy as it defines the sustainability principles and the Entity's commitments to its key stakeholders, fostering sustainable and inclusive growth through the gradual development of various avenues of action.</w:t>
      </w:r>
    </w:p>
    <w:p w14:paraId="1EDE5B57" w14:textId="77777777" w:rsidR="00CA4EA7" w:rsidRDefault="00000000">
      <w:r>
        <w:t>In this way, these risks are managed as integrated risk factors within the prudential risks of the Entity, The Board of Directors is in charge of approving all policies related to ESG risk, along with their modifications and of approving the first-level metrics and thresholds within the Entity's Risk Appetite Framework upon the report from the Large Risks and Solvency Committee.</w:t>
      </w:r>
    </w:p>
    <w:p w14:paraId="5362D1B3" w14:textId="77777777" w:rsidR="00CA4EA7" w:rsidRDefault="00000000">
      <w:r>
        <w:t>Specifically, it is responsible for reviewing proposals for updating policies for managing different risks regarding the integration of criteria or guidelines for managing climate risks.</w:t>
      </w:r>
    </w:p>
    <w:p w14:paraId="1113A99B" w14:textId="77777777" w:rsidR="00CA4EA7" w:rsidRDefault="00000000">
      <w:r>
        <w:t>Among its functions are verifying the adequacy and proper functioning of governance systems, internal control, and management of financial and non-financial risks, including ESG risks.</w:t>
      </w:r>
    </w:p>
    <w:p w14:paraId="3A5E502A" w14:textId="0853F51C" w:rsidR="00CA4EA7" w:rsidRDefault="00000000">
      <w:r>
        <w:t xml:space="preserve">In turn, the Reputation and Sustainability Management maintains direct contact with the </w:t>
      </w:r>
      <w:proofErr w:type="spellStart"/>
      <w:proofErr w:type="gramStart"/>
      <w:r>
        <w:t>Non Financial</w:t>
      </w:r>
      <w:proofErr w:type="spellEnd"/>
      <w:proofErr w:type="gramEnd"/>
      <w:r>
        <w:t xml:space="preserve"> Risk Control Unit and the Compliance Department.</w:t>
      </w:r>
    </w:p>
    <w:p w14:paraId="4F361F38" w14:textId="77777777" w:rsidR="00CA4EA7" w:rsidRDefault="00000000">
      <w:r>
        <w:t>This is done in order to ensure that all progress made and improvement proposals to integrate environmental, social, and governance risks are communicated and approved.</w:t>
      </w:r>
    </w:p>
    <w:p w14:paraId="6A587784" w14:textId="77777777" w:rsidR="00CA4EA7" w:rsidRDefault="00000000">
      <w:r>
        <w:t>In turn, the competent areas in each subject inform about the progress in integrating ESG factors into risk management and business strategy to the respective Internal Committees and Governing Bodies.</w:t>
      </w:r>
    </w:p>
    <w:p w14:paraId="5EEDEA6D" w14:textId="77777777" w:rsidR="00CA4EA7" w:rsidRDefault="00000000">
      <w:r>
        <w:t>On the other hand, the Brand, Reputation, and Sustainability Directorate, the Marketing and Digital Strategy Area Directorate, and the Financial Markets Directorate presented to the Reputation and Sustainability Committee the progress made in the identification, measurement, management, and monitoring of climate risks during the four sessions held in 2023.</w:t>
      </w:r>
    </w:p>
    <w:p w14:paraId="684751E1" w14:textId="77777777" w:rsidR="00CA4EA7" w:rsidRDefault="00000000">
      <w:r>
        <w:t xml:space="preserve">Additionally, the Governing Bodies addressed the carbon footprint strategy and decarbonization objectives NZBA, the action plans of the ECB's Thematic Review on climate </w:t>
      </w:r>
      <w:r>
        <w:lastRenderedPageBreak/>
        <w:t>risks and the new Risk Integration Policies in the management processes of other prudential risks.</w:t>
      </w:r>
    </w:p>
    <w:p w14:paraId="131D0F5D" w14:textId="77777777" w:rsidR="00CA4EA7" w:rsidRDefault="00000000">
      <w:r>
        <w:t>Likewise, the policy conforms to the provisions of Regulation nº 2019/2088 of the European Parliament and of the Council of 27 November 2019 on sustainability‐related disclosures in the financial services sector, setting a compensation system based on equal opportunities and non-discrimination.</w:t>
      </w:r>
    </w:p>
    <w:p w14:paraId="5CE32878" w14:textId="77777777" w:rsidR="00CA4EA7" w:rsidRDefault="00000000">
      <w:r>
        <w:t>In this regard, by incorporating climate indicators into its Remunerations Policy, Ibercaja demonstrates its commitment to sustainability.</w:t>
      </w:r>
    </w:p>
    <w:p w14:paraId="11945A97" w14:textId="77777777" w:rsidR="00CA4EA7" w:rsidRDefault="00000000">
      <w:r>
        <w:t>The remuneration of directors is based on the principles of prudent and effective risk management, aligned with the business strategy and long-term interests or transparency.</w:t>
      </w:r>
    </w:p>
    <w:p w14:paraId="036401EA" w14:textId="77777777" w:rsidR="00CA4EA7" w:rsidRDefault="00000000">
      <w:r>
        <w:t>The setting of global and specific objectives for variable remuneration is linked to said prudent risk management.</w:t>
      </w:r>
    </w:p>
    <w:p w14:paraId="2EAA242F" w14:textId="77777777" w:rsidR="00CA4EA7" w:rsidRDefault="00000000">
      <w:r>
        <w:t>Grupo Ibercaja 207 Pillar 3 Disclosure 2023 In order to advance in this direction, during this period, Ibercaja has established an incentive program with the purpose of promoting renewable energy financing.</w:t>
      </w:r>
    </w:p>
    <w:p w14:paraId="503ADF10" w14:textId="77777777" w:rsidR="00CA4EA7" w:rsidRDefault="00000000">
      <w:r>
        <w:t>The aim of this incentive program is to promote the Renewable Energy Financing Loan Product for legal entity clients, aligning the Bank's corporate and commercial strategy with the creation of long-term value.</w:t>
      </w:r>
    </w:p>
    <w:p w14:paraId="7D8C474B" w14:textId="77777777" w:rsidR="00CA4EA7" w:rsidRDefault="00000000">
      <w:r>
        <w:t>The sustainability strategy designed by Ibercaja includes among its priorities the identification, management and control of ESG risks for their progressive incorporation into the Entity's global risk framework, committing to contribute to the decarbonization of the economy and promote sustainable activities, online with the Paris Agreement and the European Green Deal.</w:t>
      </w:r>
    </w:p>
    <w:p w14:paraId="09980A53" w14:textId="06D500DA" w:rsidR="00CA4EA7" w:rsidRDefault="00000000">
      <w:r>
        <w:t xml:space="preserve">For its development, a Working Group coordinated by the Risk Control Directorate and made up of specialists in risk management and control was established within the IN02, Purpose and Sustainability initiative of the </w:t>
      </w:r>
      <w:proofErr w:type="spellStart"/>
      <w:r>
        <w:t>Desafío</w:t>
      </w:r>
      <w:proofErr w:type="spellEnd"/>
      <w:r>
        <w:t xml:space="preserve"> 2023 Strategic Plan of Ibercaja to respond to the challenges and milestones related to ESG risks.</w:t>
      </w:r>
    </w:p>
    <w:p w14:paraId="28D0D238" w14:textId="77777777" w:rsidR="00CA4EA7" w:rsidRDefault="00000000">
      <w:r>
        <w:t>These indicators are submitted to the Large Risks and Solvency Commission on a quarterly basis for evaluation and monitoring, as seen in the following table, Illustration 13, Climatic risk indicators Climate KRIs Portfolio Definition Transition climate risk concentration metric in credit risk Productive activities Exposure of the portfolio of productive activities to transition climate risks, based on the emissions intensity of the economic sector to which each counterparty belongs according to PCAF.</w:t>
      </w:r>
    </w:p>
    <w:p w14:paraId="6E1D6D6E" w14:textId="3BCF7657" w:rsidR="00CA4EA7" w:rsidRDefault="00000000">
      <w:r>
        <w:t xml:space="preserve">In its commitment to continue advancing in the inclusion of ESG factors in the credit risk admission and monitoring processes, in line with the EBA Guide for the Origination and Monitoring of Loans, which defines the internal governance mechanisms and procedures of financial entities in relation to credit operations, has focused efforts in 2023 on continuing </w:t>
      </w:r>
      <w:r>
        <w:lastRenderedPageBreak/>
        <w:t>to adapt its policies and manuals on ESG matters, incorporating new risk identification, evaluation, monitoring and control exercises, especially in credit risk management</w:t>
      </w:r>
      <w:r w:rsidR="003D06AC">
        <w:t>.</w:t>
      </w:r>
    </w:p>
    <w:p w14:paraId="79FC12EA" w14:textId="77777777" w:rsidR="00CA4EA7" w:rsidRDefault="00000000">
      <w:r>
        <w:t>Grupo Ibercaja 209 Pillar 3 Disclosure 2023 Following supervisory expectations, Ibercaja prioritizes the analysis of climate and environmental risks.</w:t>
      </w:r>
    </w:p>
    <w:p w14:paraId="566E81E2" w14:textId="77777777" w:rsidR="00CA4EA7" w:rsidRDefault="00000000">
      <w:r>
        <w:t>In this regard, Ibercaja works to stay updated in relation to new regulations or regulations and best practices and trends in relation to social risk management.</w:t>
      </w:r>
    </w:p>
    <w:p w14:paraId="6879A413" w14:textId="77777777" w:rsidR="00CA4EA7" w:rsidRDefault="00000000">
      <w:r>
        <w:t>This is done by identifying and monitoring your activities and exposures vulnerable to ESG risks through the development of a series of action plans that you have worked on over the last few years and which will continue to be reviewed and updated periodically with the aim of evaluating how you can evolve those risks over time based on technology development, the policy framework, the business environment, stakeholder preferences, and changes in the physical environment itself.</w:t>
      </w:r>
    </w:p>
    <w:p w14:paraId="1D98591A" w14:textId="77777777" w:rsidR="00CA4EA7" w:rsidRDefault="00000000">
      <w:r>
        <w:t>Grupo Ibercaja 210 Pillar 3 Disclosure 2023 Along these lines, the following action plans stand out in each of the phases, ESG risk identification, Ibercaja identifies ESG risks, and especially climate and environmental risks, as risk factors that are likely to impact prudential risks through their counterparties and/or assets invested through certain transmission channels considering the Entity's own business.</w:t>
      </w:r>
    </w:p>
    <w:p w14:paraId="789EF902" w14:textId="77777777" w:rsidR="00CA4EA7" w:rsidRDefault="00000000">
      <w:r>
        <w:t>Underwriting risk, climate change could lead to variations in the mortality trend in the population, leading to an increase in accidents and, consequently, an increase in the Entity's underwriting risk due to death or disability.</w:t>
      </w:r>
    </w:p>
    <w:p w14:paraId="05C3B545" w14:textId="77777777" w:rsidR="00CA4EA7" w:rsidRDefault="00000000">
      <w:r>
        <w:t>On the other hand, the increase in regulation and reporting and transparency obligations regarding sustainability could entail additional costs for the institution, impacting the expense structure or brand value.</w:t>
      </w:r>
    </w:p>
    <w:p w14:paraId="400DCEFD" w14:textId="77777777" w:rsidR="00CA4EA7" w:rsidRDefault="00000000">
      <w:r>
        <w:t>Additionally, in this latest update, the impact of climate risks on the mortgage portfolio and companies at credit risk has been differentiated for the first time, and the physical risks in the development of the banking business have been evaluated.</w:t>
      </w:r>
    </w:p>
    <w:p w14:paraId="6CCA9F37" w14:textId="77777777" w:rsidR="00CA4EA7" w:rsidRDefault="00000000">
      <w:r>
        <w:t>As a result, three climate risk maps have been prepared, one for each scenario analysed, having selected Net Zero 2050 as the base scenario for the evaluation of the qualitative materiality of climate risks as it is considered the scenario with the greatest potential impact in the short term, 3 Refer to Annex F of the Consolidated Management Report 2023 for further detail on climate risks and their impact on prudential risks.</w:t>
      </w:r>
    </w:p>
    <w:p w14:paraId="344B02FB" w14:textId="77777777" w:rsidR="00CA4EA7" w:rsidRDefault="00000000">
      <w:r>
        <w:t>Consequently, climate risks are already being taken into consideration in all phases of credit risk management and in the calculation of capital needs and provisions.</w:t>
      </w:r>
    </w:p>
    <w:p w14:paraId="3CBE36B8" w14:textId="77777777" w:rsidR="00CA4EA7" w:rsidRDefault="00000000">
      <w:r>
        <w:t>Aware that other ESG factors, not climatic, can also be essential to maintain the value capacity of any organization, Ibercaja has begun to review in 2023 the potential positive or negative impact of environmental, social or governance factors on financial results.</w:t>
      </w:r>
    </w:p>
    <w:p w14:paraId="6845FB05" w14:textId="77777777" w:rsidR="00CA4EA7" w:rsidRDefault="00000000">
      <w:r>
        <w:lastRenderedPageBreak/>
        <w:t>Furthermore, malpractice actions regarding biodiversity, deforestation, preservation of the marine environment or other environmental factors could alter the reputational risk of the entities that support certain companies.</w:t>
      </w:r>
    </w:p>
    <w:p w14:paraId="5FBBE846" w14:textId="77777777" w:rsidR="00CA4EA7" w:rsidRDefault="00000000">
      <w:r>
        <w:t>The sectoral component is minor in relation to social or governance factors, but noncompliance with commitments in relation to different social aspects or the defense or support of unethical behavior by counterparties or the bank itself could have potential impacts on the credit, reputational and operational risk of financial entities.</w:t>
      </w:r>
    </w:p>
    <w:p w14:paraId="46CAB021" w14:textId="77777777" w:rsidR="00CA4EA7" w:rsidRDefault="00000000">
      <w:r>
        <w:t>On the other hand, in 2023, the Entity has continued to develop the operational risk map, analysing, in addition to physical risks in the field of climate and environmental risks, those related to transition risk with a Group approach, such as bad greenwashing practices, also incorporating them into the evaluation tools.</w:t>
      </w:r>
    </w:p>
    <w:p w14:paraId="68D3AEA3" w14:textId="77777777" w:rsidR="00CA4EA7" w:rsidRDefault="00000000">
      <w:r>
        <w:t>Credit linked to companies comprises close to 30% and is divided into financing for productive activities and real estate development.</w:t>
      </w:r>
    </w:p>
    <w:p w14:paraId="1BDF9C74" w14:textId="77777777" w:rsidR="00CA4EA7" w:rsidRDefault="00000000">
      <w:r>
        <w:t>In accordance with this, the analysis carried out on the predisposition to ESG risks has been carried out on the retail segment mortgage portfolio and the business segment productive activities and real estate developments of the credit portfolio5.</w:t>
      </w:r>
    </w:p>
    <w:p w14:paraId="6C81BD91" w14:textId="77777777" w:rsidR="00CA4EA7" w:rsidRDefault="00000000">
      <w:r>
        <w:t>This analysis has allowed us to develop the indicator called Transition Climate Risk Rct that allows classifying clients of productive activities based on their CNAE.</w:t>
      </w:r>
    </w:p>
    <w:p w14:paraId="4852630E" w14:textId="77777777" w:rsidR="00CA4EA7" w:rsidRDefault="00000000">
      <w:r>
        <w:t>Likewise, in 2023, Ibercaja developed a methodology for quantifying economic capital needs due to climate transition risk in the credit portfolio of productive activities.</w:t>
      </w:r>
    </w:p>
    <w:p w14:paraId="1BAEE1D6" w14:textId="77106EE0" w:rsidR="00CA4EA7" w:rsidRDefault="00000000">
      <w:proofErr w:type="gramStart"/>
      <w:r>
        <w:t>In order to</w:t>
      </w:r>
      <w:proofErr w:type="gramEnd"/>
      <w:r>
        <w:t xml:space="preserve"> analyse the contribution of environmental, non-climatic risks, in the development of the Entity's productive activities, Ibercaja has taken as a reference the evaluation of the materiality of the environmental impact on the economic sectors developed by the Natural Capital Financial Alliance</w:t>
      </w:r>
      <w:r w:rsidR="003D06AC">
        <w:t>.</w:t>
      </w:r>
    </w:p>
    <w:p w14:paraId="1F1A88BD" w14:textId="77777777" w:rsidR="00CA4EA7" w:rsidRDefault="00000000">
      <w:r>
        <w:t>According to the NCFA, the sectors to which the greatest material impact is attributed are those whose productive development is directly related to or depends to a greater extent on natural resources, being, the Agriculture sector, Oil and gas, Mining Hydroelectric production and distribution and water treatment.</w:t>
      </w:r>
    </w:p>
    <w:p w14:paraId="57FC84C3" w14:textId="77777777" w:rsidR="00CA4EA7" w:rsidRDefault="00000000">
      <w:r>
        <w:t>On the other hand, in order to integrate the impacts of climate risks into the Entity's financial planning, Ibercaja has carried out an exercise to quantify the impact of climate risks in the Budget and Business Plan, through the development of an alternative adverse climate scenario that integrates the impacts of the climate risks of the Net Zero 2050 scenario developed by the NGFS as it is considered the scenario with the greatest potential impact in the short term.</w:t>
      </w:r>
    </w:p>
    <w:p w14:paraId="0D7E1F55" w14:textId="77777777" w:rsidR="00CA4EA7" w:rsidRDefault="00000000">
      <w:r>
        <w:t xml:space="preserve">Ibercaja evaluates its contribution to the impact area of financial inclusion, through the periodic review of products and services focused on the two segments of individuals with the greatest relevance in its customer portfolio and potentially the most vulnerable within </w:t>
      </w:r>
      <w:r>
        <w:lastRenderedPageBreak/>
        <w:t>the financial system young and old, Percentage in portfolio of clients belonging to the young or older segment.</w:t>
      </w:r>
    </w:p>
    <w:p w14:paraId="3A84C856" w14:textId="77777777" w:rsidR="00CA4EA7" w:rsidRDefault="00000000">
      <w:r>
        <w:t>Management and monitoring of ESG risks, Credit risk Regarding the corporate segment, Ibercaja is working on the inclusion of ESG factors in the credit risk admission and monitoring processes, in line with the EBA Guide for the Origination and Monitoring of Loans, which defines the mechanisms and internal governance procedures of financial entities in relation to credit operations.</w:t>
      </w:r>
    </w:p>
    <w:p w14:paraId="13065786" w14:textId="77777777" w:rsidR="00CA4EA7" w:rsidRDefault="00000000">
      <w:r>
        <w:t>In this sense, Ibercaja has an ESG Exclusions Policy in Credit Risk, approved by the Board of Directors, which limits the impact of ESG factors on Ibercaja's credit risk.</w:t>
      </w:r>
    </w:p>
    <w:p w14:paraId="75585FB5" w14:textId="77777777" w:rsidR="00CA4EA7" w:rsidRDefault="00000000">
      <w:r>
        <w:t>In addition, Ibercaja has developed a qualitative ESG Questionnaire at the client and operation level, which is updated annually, and which has the objective of collecting and managing sustainability information on clients and operations and obtaining an associated ESG risk as part of the customer and/or operations assessment process.</w:t>
      </w:r>
    </w:p>
    <w:p w14:paraId="5A5C8D27" w14:textId="77777777" w:rsidR="00CA4EA7" w:rsidRDefault="00000000">
      <w:r>
        <w:t>Likewise, with the aim of advancing in the analysis of our clients and in the integration of climate risks in credit risk management, Ibercaja has begun to work on the preparation of decarbonization sheets to monitor the transition plans of those counterparties that carry out their activity in sectors in which decarbonization objectives have been defined for 2030, to comply with the commitments adopted after joining the NZBA, or that have a high transition climate risk due to their membership in an economic sector with a high intensity emissions according to the Rct indicator developed by Ibercaja.</w:t>
      </w:r>
    </w:p>
    <w:p w14:paraId="2B9FE850" w14:textId="77777777" w:rsidR="00CA4EA7" w:rsidRDefault="00000000">
      <w:r>
        <w:t>To this end, it has defined thresholds on the sectoral concentration metric within the Risk Appetite Framework, establishing limits based on the appetite for highly carbon-emitting sectors that trigger different actions with the aim of correcting possible scenarios considering the risk appetite of the Entity, Appetite Threshold, percentage of exposure to high and very high risks below which the exposure to transition risks is considered to be controlled and does not require the action of additional plans or controls.</w:t>
      </w:r>
    </w:p>
    <w:p w14:paraId="30A0020E" w14:textId="77777777" w:rsidR="00CA4EA7" w:rsidRDefault="00000000">
      <w:r>
        <w:t>The incorporation of this sector concentration metric in the Risk Appetite Framework means that the same governance, periodicity of reporting, monitoring and control applies to it as in the rest of the metrics, starting the review chain with the Risk Control Department.</w:t>
      </w:r>
    </w:p>
    <w:p w14:paraId="057BA762" w14:textId="77777777" w:rsidR="00CA4EA7" w:rsidRDefault="00000000">
      <w:r>
        <w:t>Market risk In market risk management, Ibercaja developed, under the same methodology as in credit risk, a sector concentration metric through the indicator called Transition Climate Risk Rct and is incorporated into the Risk Appetite Framework of the Entity.</w:t>
      </w:r>
    </w:p>
    <w:p w14:paraId="73D11B56" w14:textId="77777777" w:rsidR="00CA4EA7" w:rsidRDefault="00000000">
      <w:r>
        <w:t>Likewise, Ibercaja has worked in the field of portfolio management activity by monitoring indicators that define ESG criteria which include aspects related to climate and environmental risks and certain asset selection criteria that allow characterization of portfolios.</w:t>
      </w:r>
    </w:p>
    <w:p w14:paraId="3812B00C" w14:textId="77777777" w:rsidR="00CA4EA7" w:rsidRDefault="00000000">
      <w:r>
        <w:lastRenderedPageBreak/>
        <w:t>The asset managers of the Ibercaja Group, Ibercaja Pensión and Ibercaja Gestión, committed to the development of society and care and protection of the environment through socially responsible investment, have incorporated an internal and progressive model for investment selection and risk management financial extras that are incorporated into traditional fundamental analysis.</w:t>
      </w:r>
    </w:p>
    <w:p w14:paraId="3FF8954D" w14:textId="77777777" w:rsidR="00CA4EA7" w:rsidRDefault="00000000">
      <w:r>
        <w:t>The Entity is aware that evaluating the impacts on business risk is a challenge and that it must continue working to evaluate the impact of climate and environmental risks on this prudential risk.</w:t>
      </w:r>
    </w:p>
    <w:p w14:paraId="3E8475C0" w14:textId="17EED7E4" w:rsidR="00CA4EA7" w:rsidRDefault="00000000">
      <w:r>
        <w:t>In summary, all these exercises are subject to the guidelines described in the ESG Risk Governance Policy, which highlights and formalizes the governance, management and control of ESG risks and reinforces the Group's commitment to development sustainable.</w:t>
      </w:r>
    </w:p>
    <w:p w14:paraId="7AA62B3A" w14:textId="77777777" w:rsidR="00CA4EA7" w:rsidRDefault="00000000">
      <w:r>
        <w:t>Grupo Ibercaja 220 Pillar 3 Disclosure 2023 Ibercaja focuses most of its efforts on managing the climate risks of its counterparts following the expectations of the ECB.</w:t>
      </w:r>
    </w:p>
    <w:p w14:paraId="53D5402A" w14:textId="77777777" w:rsidR="00CA4EA7" w:rsidRDefault="00000000">
      <w:r>
        <w:t>However, aware of the relevance of environmental, non-climatic, social and governance risks, the Entity is committed to continuing to work on them in the long term, responding to supervisory requirements as the regulatory framework evolves.</w:t>
      </w:r>
    </w:p>
    <w:p w14:paraId="370B5AE8" w14:textId="77777777" w:rsidR="00CA4EA7" w:rsidRDefault="00000000">
      <w:r>
        <w:t>In this sense, Ibercaja currently has the information contained in this IRP regarding ESG risk management and continues to define action plans to collect a greater degree of detail of data, mainly social and governance, from its counterparties.</w:t>
      </w:r>
    </w:p>
    <w:p w14:paraId="49AB5358" w14:textId="77777777" w:rsidR="00CA4EA7" w:rsidRDefault="00000000">
      <w:r>
        <w:t>As an example, some of the fields obtained are related to the environment, such as the availability of environmental policies, waste management plan and breakdown of these, polluting emissions, water and energy consumption or ISO14001 certification, among others.</w:t>
      </w:r>
    </w:p>
    <w:p w14:paraId="4CA9215F" w14:textId="77777777" w:rsidR="00CA4EA7" w:rsidRDefault="00000000">
      <w:r>
        <w:t>In the social sphere, fields such as the wage gap, work-life balance measures, job creation, training, percentage of male and female employees, etc.</w:t>
      </w:r>
    </w:p>
    <w:p w14:paraId="0F722184" w14:textId="77777777" w:rsidR="00CA4EA7" w:rsidRDefault="00000000">
      <w:r>
        <w:t>Currently, a total of 122 data are received from our corporate clients required to publish information on ESG matters, which will increase according to regulatory requirements.</w:t>
      </w:r>
    </w:p>
    <w:p w14:paraId="287C7CED" w14:textId="77777777" w:rsidR="00CA4EA7" w:rsidRDefault="00000000">
      <w:r>
        <w:t>Grupo Ibercaja 221 Pillar 3 Disclosure 2023 The data to be prioritised has been determined according to its need for implementation for the generation of external reports, the development of internal processes, the response to regulatory requirements and the implementation of supervisory expectations.</w:t>
      </w:r>
    </w:p>
    <w:p w14:paraId="4AD15DDF" w14:textId="77777777" w:rsidR="00CA4EA7" w:rsidRDefault="00000000">
      <w:r>
        <w:t>However, work is being done on the process of obtaining climate and environmental information to improve its analysis.</w:t>
      </w:r>
    </w:p>
    <w:p w14:paraId="5D0B22AE" w14:textId="77777777" w:rsidR="00CA4EA7" w:rsidRDefault="00000000">
      <w:r>
        <w:t>As a result, it is estimated that Ibercaja has an exposure of 6,523 million euros, in gross book value, to counterparties in sectors considered to be major contributors to climate change and an exposure of 1,280 million euros in other sectors.</w:t>
      </w:r>
    </w:p>
    <w:p w14:paraId="0F3E51EB" w14:textId="77777777" w:rsidR="00CA4EA7" w:rsidRDefault="00000000">
      <w:r>
        <w:lastRenderedPageBreak/>
        <w:t>Companies that obtain more than 50% of their income from electricity generation activities with an intensity of GHG Greenhouse Gas emissions greater than 100g of CO2e/kWh.</w:t>
      </w:r>
    </w:p>
    <w:p w14:paraId="64D95CA4" w14:textId="77777777" w:rsidR="00CA4EA7" w:rsidRDefault="00000000">
      <w:r>
        <w:t>In this regard, the calculation methodology used was based on the recommendations of the Net Zero Banking Alliance and the Guide for setting climate targets for banks published by UNEPFI.</w:t>
      </w:r>
    </w:p>
    <w:p w14:paraId="01C3E93B" w14:textId="40DCF974" w:rsidR="00CA4EA7" w:rsidRDefault="00000000">
      <w:r>
        <w:t>The scenario used to define the decarbonization targets for 2030 in both sectors is the Net Zero 2050, published by the International Energy Agency.</w:t>
      </w:r>
    </w:p>
    <w:p w14:paraId="53D73441" w14:textId="77777777" w:rsidR="00CA4EA7" w:rsidRDefault="00000000">
      <w:r>
        <w:t>Intensity metrics are constructed once the scenario has been worked through to ensure comparability, based on the production of the priority sectors to be decarbonised and on the volume of emissions in the portfolio financed for each sector, as well as its specific production volume magnitude.</w:t>
      </w:r>
    </w:p>
    <w:p w14:paraId="01FC87D2" w14:textId="10127429" w:rsidR="00CA4EA7" w:rsidRDefault="00000000">
      <w:r>
        <w:t>Ibercaja has defined different decarbonisation pathways7 to achieve the intermediate targets in the three sectors, following the guidelines and recommendations for Financial Institutions published by the Glasgow Financial Alliance for Net Zero</w:t>
      </w:r>
      <w:r w:rsidR="003D06AC">
        <w:t>.</w:t>
      </w:r>
    </w:p>
    <w:p w14:paraId="4FF3447A" w14:textId="77777777" w:rsidR="00CA4EA7" w:rsidRDefault="00000000">
      <w:r>
        <w:t>In this Template, data is reported in absolute value in a stock perspective on assets within the balance sheet, specifying eligibility and alignment with climate objectives for each asset category.</w:t>
      </w:r>
    </w:p>
    <w:p w14:paraId="4296D736" w14:textId="77777777" w:rsidR="00CA4EA7" w:rsidRDefault="00000000">
      <w:r>
        <w:t>Taxonomy Regulation includes a list of economic activities which may potentially contribute to one or more of the established environmental objectives.</w:t>
      </w:r>
    </w:p>
    <w:p w14:paraId="2FCB09C3" w14:textId="77777777" w:rsidR="00CA4EA7" w:rsidRDefault="00000000">
      <w:r>
        <w:t>Likewise, for an activity to be considered aligned with the Taxonomy, it must meet the technical selection criteria for substantial contribution, not cause any significant prejudice to the rest of the objectives and comply with the minimum social safeguards.</w:t>
      </w:r>
    </w:p>
    <w:p w14:paraId="1B423AD6" w14:textId="77777777" w:rsidR="00CA4EA7" w:rsidRDefault="00000000">
      <w:r>
        <w:t>In this way, the aim is to establish the conditions under which activities are considered to substantially contribute to the objectives of Mitigation and Adaptation to Climate Change as outlined in Annexes I and II of Delegated Regulation 2021/2139.</w:t>
      </w:r>
    </w:p>
    <w:p w14:paraId="56D7D1AC" w14:textId="77777777" w:rsidR="00CA4EA7" w:rsidRDefault="00000000">
      <w:r>
        <w:t>Below is the detail of the portfolios included in the 2023 Taxonomy report, Portfolio typology Report Features Investment portfolio The eligibility and alignment for the climate objectives of the Group's own investments is reported in accordance with the actual data provided by the issuers.</w:t>
      </w:r>
    </w:p>
    <w:p w14:paraId="30939A96" w14:textId="44F7727D" w:rsidR="00CA4EA7" w:rsidRDefault="00000000">
      <w:r>
        <w:t>Credit portfolio</w:t>
      </w:r>
      <w:r w:rsidR="00BB047D">
        <w:t xml:space="preserve"> </w:t>
      </w:r>
      <w:r>
        <w:t>Business segment Eligibility and alignment for climate objectives of financing operations without specific purpose is disclosed, in accordance with the actual data reported by counterparties.</w:t>
      </w:r>
    </w:p>
    <w:p w14:paraId="299E43EF" w14:textId="77777777" w:rsidR="00CA4EA7" w:rsidRDefault="00000000">
      <w:r>
        <w:t>Along these lines, to comply with the DNSH criteria for the taxonomy's climate change adaptation objective as provided in Annex I of Delegated Regulation 2021/2139, the Entity carries out an assessment of the associated physical risks.</w:t>
      </w:r>
    </w:p>
    <w:p w14:paraId="37A100B1" w14:textId="77777777" w:rsidR="00CA4EA7" w:rsidRDefault="00000000">
      <w:r>
        <w:lastRenderedPageBreak/>
        <w:t>Once these developments are completed, Ibercaja will be able to begin reporting the alignment of these operations.</w:t>
      </w:r>
    </w:p>
    <w:p w14:paraId="57BBFCC5" w14:textId="77777777" w:rsidR="00CA4EA7" w:rsidRDefault="00000000">
      <w:r>
        <w:t>Sustainable loans that finance energy transition projects with the objective of supporting their counterparts to reduce their carbon footprint and mitigate the effects of climate change, and which are not fully aligned with the EU Taxonomy.</w:t>
      </w:r>
    </w:p>
    <w:p w14:paraId="61DD0148" w14:textId="77777777" w:rsidR="00CA4EA7" w:rsidRDefault="00000000">
      <w:r>
        <w:t>In terms of counterparty type, Ibercaja publishes its exposure in the non-financial companies section, with financing linked to activities to improve the energy efficiency of buildings and to support companies in their decarbonisation processes, objectives and strategies.</w:t>
      </w:r>
    </w:p>
    <w:p w14:paraId="768720B0" w14:textId="77777777" w:rsidR="00CA4EA7" w:rsidRDefault="00000000">
      <w:r>
        <w:t>Remunerations This section covers the REMA requirement Remuneration policy.</w:t>
      </w:r>
    </w:p>
    <w:p w14:paraId="38FDF19B" w14:textId="7351D14F" w:rsidR="00CA4EA7" w:rsidRDefault="00000000">
      <w:r>
        <w:t>This chapter details quantitative and qualitative aspects of Ibercaja Banco's remuneration policy for members of the Entity included in the Identified Group, due to its significant impact on the Entity's risk profile.</w:t>
      </w:r>
    </w:p>
    <w:p w14:paraId="012A8FEB" w14:textId="77777777" w:rsidR="00CA4EA7" w:rsidRDefault="00000000">
      <w:r>
        <w:t>The remuneration policy covers all Ibercaja Banco personnel and the principles included in the Remuneration policies of the consolidated group must be consistent with the Remuneration Policies of the parent company.</w:t>
      </w:r>
    </w:p>
    <w:p w14:paraId="58DFDE38" w14:textId="77777777" w:rsidR="00CA4EA7" w:rsidRDefault="00000000">
      <w:r>
        <w:t>In addition, it has a Remuneration Policy for the members of the Board of Directors, which is available on the Bank's website.</w:t>
      </w:r>
    </w:p>
    <w:p w14:paraId="1F5CFEDC" w14:textId="77777777" w:rsidR="00CA4EA7" w:rsidRDefault="00000000">
      <w:r>
        <w:t>The aforementioned risk appetite framework also extends to the Entity's remuneration practices, which, in accordance with Article 29.</w:t>
      </w:r>
    </w:p>
    <w:p w14:paraId="4DAA0E2B" w14:textId="77777777" w:rsidR="00CA4EA7" w:rsidRDefault="00000000">
      <w:r>
        <w:t>For this purpose, a list of persons has been identified who, due to their professional activity, have or may have a significant impact on the Entity's risk profile Identified Group, to whom measures for deferring the receipt of part of the variable component of the remuneration, the possibility of applying malus clauses and ex post adjustments are applicable, under the terms established in current legislation and in the aforementioned EBA Guidelines.</w:t>
      </w:r>
    </w:p>
    <w:p w14:paraId="0FEE7612" w14:textId="4B21B4E6" w:rsidR="00CA4EA7" w:rsidRDefault="00000000">
      <w:r>
        <w:t>Likewise, the remuneration model is consistent with the Sustainability Policy and with the Entity's principles and values in the management of environmental, social and corporate governance risks, and complies with the provisions of Regulation</w:t>
      </w:r>
      <w:r w:rsidR="00BB047D">
        <w:t>.</w:t>
      </w:r>
    </w:p>
    <w:p w14:paraId="4A3439F9" w14:textId="77777777" w:rsidR="00CA4EA7" w:rsidRDefault="00000000">
      <w:r>
        <w:t>Indeed, in those cases in which the personnel remuneration schemes have a fixed component and a variable component, the Policy establishes that, the relationship between them shall be balanced and efficient, so that the fixed component constitutes a sufficiently large part of the total remuneration.</w:t>
      </w:r>
    </w:p>
    <w:p w14:paraId="50A0F074" w14:textId="77777777" w:rsidR="00CA4EA7" w:rsidRDefault="00000000">
      <w:r>
        <w:t>To promote sound and effective risk management that does not entail the assumption of excessive risks by the Identified Group.</w:t>
      </w:r>
    </w:p>
    <w:p w14:paraId="49357AAA" w14:textId="77777777" w:rsidR="00CA4EA7" w:rsidRDefault="00000000">
      <w:r>
        <w:lastRenderedPageBreak/>
        <w:t>The fixed component constitutes a sufficiently large part of the total remuneration, so that a fully flexible policy can be applied with regard to the variable components of the remuneration, to the extent that it is possible not to pay these components.</w:t>
      </w:r>
    </w:p>
    <w:p w14:paraId="23AFB482" w14:textId="77777777" w:rsidR="00CA4EA7" w:rsidRDefault="00000000">
      <w:r>
        <w:t>The variable component of the remuneration of Identified Group members who have management responsibilities or who participate in control procedures is determined on the basis of the achievement of objectives related to their function, regardless of the results of the business units they control, and without prejudice to the fact that they may be considered overall results of the Entity.</w:t>
      </w:r>
    </w:p>
    <w:p w14:paraId="26ACB685" w14:textId="77777777" w:rsidR="00CA4EA7" w:rsidRDefault="00000000">
      <w:r>
        <w:t>Special mention should be made of the inclusion in the Identified Group of the heads of units whose functions have a material impact on the Entity's control structure, and whose remuneration is determined on the basis of the achievement of objectives related to their function, regardless of the results of the business units they control.</w:t>
      </w:r>
    </w:p>
    <w:p w14:paraId="4AE2D73F" w14:textId="77777777" w:rsidR="00CA4EA7" w:rsidRDefault="00000000">
      <w:r>
        <w:t>The people who make up the Identified Group, as well as the quantitative and qualitative criteria to be taken into consideration for the inclusion or exclusion of employees in the same, are described in the Entity's General Remuneration Policy.</w:t>
      </w:r>
    </w:p>
    <w:p w14:paraId="7B6857F0" w14:textId="77777777" w:rsidR="00CA4EA7" w:rsidRDefault="00000000">
      <w:r>
        <w:t>At the meeting held by the Board of Directors on February 24, 2023, no new changes were introduced in the General Remuneration Policy.</w:t>
      </w:r>
    </w:p>
    <w:p w14:paraId="6D027A09" w14:textId="77777777" w:rsidR="00CA4EA7" w:rsidRDefault="00000000">
      <w:r>
        <w:t>Where applicable, the variable component of the remuneration, It will be linked, in any case, to the performance of the beneficiaries in accordance with the global and specific objectives approved annually by the competent body.</w:t>
      </w:r>
    </w:p>
    <w:p w14:paraId="1310A209" w14:textId="77777777" w:rsidR="00CA4EA7" w:rsidRDefault="00000000">
      <w:r>
        <w:t>Promotion of appropriate and effective risk management, within the risk appetite framework defined by the Entity, which is consistent with the internal capital adequacy assessment process, and which does not encourage the assumption of risks that are incompatible with that risk profile.</w:t>
      </w:r>
    </w:p>
    <w:p w14:paraId="0024E301" w14:textId="711AF9EB" w:rsidR="00CA4EA7" w:rsidRDefault="00000000">
      <w:r>
        <w:t xml:space="preserve">In addition, the policies establish the following criteria in relation to the granting of guaranteed variable compensation and severance payments, </w:t>
      </w:r>
      <w:proofErr w:type="gramStart"/>
      <w:r>
        <w:t>Guaranteed</w:t>
      </w:r>
      <w:proofErr w:type="gramEnd"/>
      <w:r>
        <w:t xml:space="preserve"> variable remuneration is not compatible with sound risk management or the principle of rewarding performance and does not form part of possible remuneration plans.</w:t>
      </w:r>
    </w:p>
    <w:p w14:paraId="22254587" w14:textId="77777777" w:rsidR="00CA4EA7" w:rsidRDefault="00000000">
      <w:r>
        <w:t>The variable component of the remuneration is referenced, in any case, to the performance of the recipients based on the global and specific objectives approved annually by the Board of Directors at the proposal of the CEO, following a report from the Remuneration Committee, and It must not suppose, at any time, a future cost for the Entity for the purpose of retirement of the recipients.</w:t>
      </w:r>
    </w:p>
    <w:p w14:paraId="0AE90D4F" w14:textId="77777777" w:rsidR="00CA4EA7" w:rsidRDefault="00000000">
      <w:r>
        <w:t>Transparency of remuneration and compliance with the remuneration policy established by the Bank.</w:t>
      </w:r>
    </w:p>
    <w:p w14:paraId="29B05995" w14:textId="77777777" w:rsidR="00CA4EA7" w:rsidRDefault="00000000">
      <w:r>
        <w:t xml:space="preserve">The main activities carried out by the Commission in the area of remuneration consisted of informing the Board of Directors of the degree of monitoring and compliance with the </w:t>
      </w:r>
      <w:r>
        <w:lastRenderedPageBreak/>
        <w:t>objectives established in the previous year, as well as the determination of the objectives that will determine, if applicable, the accrual of the variable remuneration of the Identified Group.</w:t>
      </w:r>
    </w:p>
    <w:p w14:paraId="6D696059" w14:textId="77777777" w:rsidR="00CA4EA7" w:rsidRDefault="00000000">
      <w:r>
        <w:t>In relation to the control and supervision of the policy, the Board of Directors of Ibercaja is responsible for establishing a system of control and supervision of the specific requirements of the Remuneration Policy applicable to the Identified Group that guarantees compliance with and effective application of the precepts established in the Policy.</w:t>
      </w:r>
    </w:p>
    <w:p w14:paraId="7EA23183" w14:textId="77777777" w:rsidR="00CA4EA7" w:rsidRDefault="00000000">
      <w:r>
        <w:t>The conclusions of the evaluation are reported to the Remuneration Committee and the Board of Directors, proposing, where appropriate, the measures to be adopted.</w:t>
      </w:r>
    </w:p>
    <w:p w14:paraId="2F52601C" w14:textId="77777777" w:rsidR="00CA4EA7" w:rsidRDefault="00000000">
      <w:r>
        <w:t>The setting of global and specific targets for variable remuneration is linked to prudent risk management, some of the main features of which are related to ex ante adjustments, Dependent and appropriate to the individual performance of the employees and to the results of the Entity, considering the impact of the underlying economic cycle, as well as the present and future risks.</w:t>
      </w:r>
    </w:p>
    <w:p w14:paraId="063DCCD8" w14:textId="77777777" w:rsidR="00CA4EA7" w:rsidRDefault="00000000">
      <w:r>
        <w:t>In accordance with the above, the annual objectives that apply to the Identified Group are generally measured in terms of two types of indicators, Ibercaja Group 257 Pillar 3 Disclosure 2023 Corporate objectives Entity's outcome objectives, these objectives are both quantitative profit and loss account and qualitative customer satisfaction/quality of service.</w:t>
      </w:r>
    </w:p>
    <w:p w14:paraId="0BE83691" w14:textId="77777777" w:rsidR="00CA4EA7" w:rsidRDefault="00000000">
      <w:r>
        <w:t>In general, the overall and specific objectives are weighted by 50%, except for the Deputy Directors-General whose overall objectives are weighted by 70% and the specific objectives by 30%.</w:t>
      </w:r>
    </w:p>
    <w:p w14:paraId="6681FFB6" w14:textId="77777777" w:rsidR="00CA4EA7" w:rsidRDefault="00000000">
      <w:r>
        <w:t>The definition of these objectives will be based on the decisions adopted by the Board of Directors, within the framework of the Remuneration Policy approved by the General Meeting of Shareholders, in the terms provided for in the applicable regulations in force.</w:t>
      </w:r>
    </w:p>
    <w:p w14:paraId="243BDB4F" w14:textId="77777777" w:rsidR="00CA4EA7" w:rsidRDefault="00000000">
      <w:r>
        <w:t>In any case, a substantial part, and in any case at least 40% of the variable remuneration element is deferred over the duration of the Strategic Plan in order to take into account the economic cycle, the nature of the business, its risks and the activities of the employee concerned, and in no case may the deferral period be less than three years.</w:t>
      </w:r>
    </w:p>
    <w:p w14:paraId="275938A6" w14:textId="77777777" w:rsidR="00CA4EA7" w:rsidRDefault="00000000">
      <w:r>
        <w:t>The variable component of the remuneration of the Identified Group members who participate in the control procedures shall be determined on the basis of the achievement of objectives related to their function, regardless of the results of the business units they control, and without prejudice to the fact that they may be considered as overall results of the Entity.</w:t>
      </w:r>
    </w:p>
    <w:p w14:paraId="24DEEEB4" w14:textId="77777777" w:rsidR="00CA4EA7" w:rsidRDefault="00000000">
      <w:r>
        <w:t>Ibercaja Group 258 Pillar 3 Disclosure 2023 Ibercaja has established pre-malus, malus and clawback clauses that may apply up to 100% of the total variable remuneration.</w:t>
      </w:r>
    </w:p>
    <w:p w14:paraId="1778444A" w14:textId="77777777" w:rsidR="00CA4EA7" w:rsidRDefault="00000000">
      <w:r>
        <w:t xml:space="preserve">The variable component of the remuneration is determined according to the achievement by the member of the Identified Group of the Global Objectives and the Specific Objectives </w:t>
      </w:r>
      <w:r>
        <w:lastRenderedPageBreak/>
        <w:t>that have been approved for each financial year by the Board of Directors, at the proposal of the Managing Director and following a favourable report from the Remuneration Commission, and which will be subject to a weighting taking into account especially the professional category of the person concerned.</w:t>
      </w:r>
    </w:p>
    <w:p w14:paraId="7BE076A3" w14:textId="77777777" w:rsidR="00CA4EA7" w:rsidRDefault="00000000">
      <w:r>
        <w:t>The evaluation of the results taken as a reference for determining variable remuneration will be included in the multi-year framework coinciding with the Strategic Plan to ensure that the evaluation process is based on long-term results and that it takes into account the Entity's underlying business cycle and its risks.</w:t>
      </w:r>
    </w:p>
    <w:p w14:paraId="6D344E69" w14:textId="77777777" w:rsidR="00CA4EA7" w:rsidRDefault="00000000">
      <w:r>
        <w:t>In this regard, Ibercaja uses a payment system based on the revaluation or depreciation of theoretical shares into which the social capital is divided Phantom shares or instruments Notwithstanding the above, in the case of the Managing Director and the members of the Management Committee, 50% of the non-deferred variable remuneration and 55% of the deferred variable remuneration will be paid in instruments.</w:t>
      </w:r>
    </w:p>
    <w:p w14:paraId="0AB11473" w14:textId="77777777" w:rsidR="00CA4EA7" w:rsidRDefault="00000000">
      <w:r>
        <w:t>When, during the period of deferral until the consolidation of the variable remuneration, there is a restatement of annual accounts that does not arise from a regulatory change and provided that, in accordance with the aforementioned restatement, the variable remuneration to be paid is lower than that initially accrued or no remuneration has been paid in accordance with Ibercaja's variable remuneration system, the deferred variable remuneration, both in cash and in instruments, that is pending payment, will be subject to a reduction in proportion to the impact of the restatement of the annual accounts has had on the level of achievement of the variable remuneration of the member of the Identified Group.</w:t>
      </w:r>
    </w:p>
    <w:p w14:paraId="466A2E75" w14:textId="77777777" w:rsidR="00CA4EA7" w:rsidRDefault="00000000">
      <w:r>
        <w:t>Thus, the variable remuneration of a member of the Identified Group may be reduced at the time of performance evaluation, in the event of a negative performance of the Entity's results or its capital ratios, either in relation to previous years or to those of similar entities, or a negative performance of other parameters such as the degree of achievement of budgeted objectives, and provided that a requirement or recommendation by the competent authority to the Entity to restrict its dividend policy is in force.</w:t>
      </w:r>
    </w:p>
    <w:p w14:paraId="72851E8F" w14:textId="77777777" w:rsidR="00CA4EA7" w:rsidRDefault="00000000">
      <w:r>
        <w:t>The gross variable remuneration already paid, both in cash and in instruments, whether or not it has been deferred, will be 100% recovered when, during the period of deferral and the period of retention of the instruments applicable to the variable remuneration granted for the performance of a given year, it is demonstrated that the payment of the variable remuneration was due to objectives whose fulfilment was achieved as a direct or indirect consequence of one of the following circumstances, A fraudulent action by the member of the Identified Group that leads to a very serious infringement in accordance with the provisions of the collective agreement for savings banks and financial institutions.</w:t>
      </w:r>
    </w:p>
    <w:p w14:paraId="77F24EE7" w14:textId="77777777" w:rsidR="00CA4EA7" w:rsidRDefault="00000000">
      <w:r>
        <w:t xml:space="preserve">When during the deferral period and the retention period of the instruments applicable to the variable remuneration granted for the performance of a given year, it is demonstrated that the payment of the variable remuneration was due to objectives whose fulfilment was </w:t>
      </w:r>
      <w:r>
        <w:lastRenderedPageBreak/>
        <w:t>achieved as a consequence, directly or indirectly, of a fraudulent action by the member of the Identified Group that leads to the commission of a serious or minor infringement in accordance with the provisions of the collective agreement for savings banks and financial institutions, the gross variable remuneration already paid, both in cash and in instruments, whether deferred or not, shall be subject to recovery in the proportion determined by the Board of Directors in each case.</w:t>
      </w:r>
    </w:p>
    <w:p w14:paraId="25C9F6F8" w14:textId="77777777" w:rsidR="00CA4EA7" w:rsidRDefault="00000000">
      <w:r>
        <w:t>The evaluation of the degree of compliance with the multi-year objectives will be measured from the start date to the end date.</w:t>
      </w:r>
    </w:p>
    <w:p w14:paraId="50145618" w14:textId="77777777" w:rsidR="00CA4EA7" w:rsidRDefault="00000000">
      <w:r>
        <w:t>Compliance with sustainability objectives for the 2023 fiscal year.</w:t>
      </w:r>
    </w:p>
    <w:p w14:paraId="3737B3EE" w14:textId="77777777" w:rsidR="00CA4EA7" w:rsidRDefault="00000000">
      <w:r>
        <w:t>The maximum remuneration that the Company can pay to the group of directors in their capacity as such will not exceed the amount determined for this purpose in the Remuneration Policy approved by the General Shareholders' Meeting and will remain in force as long as the General Meeting does not agree on its modification.</w:t>
      </w:r>
    </w:p>
    <w:p w14:paraId="6EFE89CD" w14:textId="77777777" w:rsidR="00CA4EA7" w:rsidRDefault="00000000">
      <w:r>
        <w:t>Likewise, and considering the special dedication, functions, and skills inherent to the performance of the Chairman and members of the internal committees of the Board of Directors Delegate Committee, Audit and Compliance Committee, Large Risks and Solvency Committee, Strategy Committee, of Appointments and Remuneration Committee, the remuneration of the positions held in each of them will consist of a fixed annual amount, which includes Article 7 of the Remuneration Policy.</w:t>
      </w:r>
    </w:p>
    <w:p w14:paraId="35F95D3B" w14:textId="32F29160" w:rsidR="00CA4EA7" w:rsidRDefault="00000000">
      <w:r>
        <w:t>The determination of the exact amount to be paid within this limit, its distribution among the different directors, and the periodicity of its perception corresponds to the Board of Directors.</w:t>
      </w:r>
    </w:p>
    <w:p w14:paraId="3A7A7F85" w14:textId="77777777" w:rsidR="00CA4EA7" w:rsidRDefault="00000000">
      <w:r>
        <w:t>Comparable credit institutions peers have been taken into account in the definition of the Entity's remuneration policy, with the collaboration of the EY firm, as external advisor, in the design phase of the initial Policy approved in the year 2018.</w:t>
      </w:r>
    </w:p>
    <w:p w14:paraId="087AD80D" w14:textId="77777777" w:rsidR="00CA4EA7" w:rsidRDefault="00000000">
      <w:r>
        <w:t>To this end, the Entity commissioned Spencer Stuart to conduct a study comparing the compensation of Ibercaja's external directors and board members, as well as their commissions, to that of other comparable businesses in order to adapt the policy of remuneration to market and financial sector best practices.</w:t>
      </w:r>
    </w:p>
    <w:p w14:paraId="6BBF302E" w14:textId="77777777" w:rsidR="00CA4EA7" w:rsidRDefault="00000000">
      <w:r>
        <w:t>Policy on diversity of Board membership, objectives, and achievement status.</w:t>
      </w:r>
    </w:p>
    <w:p w14:paraId="20A83D2A" w14:textId="77777777" w:rsidR="00CA4EA7" w:rsidRDefault="00000000">
      <w:r>
        <w:t>Disclosure of own funds requirements and risk-weighted exposure amounts 438 Institutions shall disclose the following information regarding the compliance by the institution with the requirements laid down in Article 92 of this Regulation and in Article 73 of Directive 2013/36/EU, 438.</w:t>
      </w:r>
    </w:p>
    <w:p w14:paraId="713F2FAC" w14:textId="429B6CFB" w:rsidR="00CA4EA7" w:rsidRDefault="00000000">
      <w:r>
        <w:t>A summary of their approach to assessing the adequacy of their internal capital to support current and future activities.</w:t>
      </w:r>
    </w:p>
    <w:p w14:paraId="2014DB43" w14:textId="77777777" w:rsidR="00CA4EA7" w:rsidRDefault="00000000">
      <w:r>
        <w:lastRenderedPageBreak/>
        <w:t>Operational risk 446 Institutions shall disclose the following information about their operational risk management, 446.</w:t>
      </w:r>
    </w:p>
    <w:p w14:paraId="5B2C63E4" w14:textId="19B0F4C4" w:rsidR="00CA4EA7" w:rsidRDefault="00000000">
      <w:r>
        <w:t>The approaches for the assessment of own funds requirements for operation risk that the institution qualifies for.</w:t>
      </w:r>
    </w:p>
    <w:p w14:paraId="31F9904C" w14:textId="7AA67C42" w:rsidR="00CA4EA7" w:rsidRDefault="00000000">
      <w:r>
        <w:t>The aggregate amount of securitisation positions where institutions act as originator or sponsor and the associated risk-weighted assets and capital requirements by regulatory approaches, including exposures deducted from own funds or risk weighted at 1 250 %, broken down between traditional and synthetic securitisations and between securitisation and re-securitisation exposures, separately for STS and non-STS positions, and further broken down into a meaningful number of risk-weight or capital requirement bands and by approach used to calculate the capital requirements.</w:t>
      </w:r>
    </w:p>
    <w:p w14:paraId="4E218222" w14:textId="5FF9EFE1" w:rsidR="00CA4EA7" w:rsidRDefault="00000000">
      <w:r>
        <w:t>The aggregate amount of securitisation positions where institutions act as investor and the associated risk-weighted assets and capital requirements by regulatory approaches, including exposures deducted from own funds or risk weighted at 1 250 %, broken down between traditional and synthetic securitisations, securitisation and re-securitisation positions, and STS and non-STS positions, and further broken down into a meaningful number of risk weight or capital requirement bands and by approach used to calculate the capital requirements.</w:t>
      </w:r>
    </w:p>
    <w:p w14:paraId="768A39F9" w14:textId="77777777" w:rsidR="00CA4EA7" w:rsidRDefault="00000000">
      <w:r>
        <w:t>Disclosure of environmental, social and governance risks ESG risks 449.</w:t>
      </w:r>
    </w:p>
    <w:p w14:paraId="2FDF0DAE" w14:textId="77777777" w:rsidR="00CA4EA7" w:rsidRDefault="00000000">
      <w:r>
        <w:t>A From 28 June 2022, large institutions which have issued securities that are admitted to trading on a regulated market of any Member State, as defined in point, of Article 4, of Directive 2014/65/EU, shall disclose information on ESG risks, including physical risks and transition risks, as defined in the report referred to in Article 98, of Directive 2013/36/EU.</w:t>
      </w:r>
    </w:p>
    <w:p w14:paraId="0A1542F9" w14:textId="77777777" w:rsidR="00BB047D" w:rsidRDefault="00000000">
      <w:r>
        <w:t>The control mechanisms for rating systems at the different stages of model development, controls and changes, which shall include information on</w:t>
      </w:r>
      <w:r w:rsidR="00BB047D">
        <w:t xml:space="preserve"> </w:t>
      </w:r>
      <w:r>
        <w:t>N/A</w:t>
      </w:r>
      <w:r w:rsidR="00BB047D">
        <w:t>.</w:t>
      </w:r>
    </w:p>
    <w:p w14:paraId="3B9739A1" w14:textId="77777777" w:rsidR="00BB047D" w:rsidRDefault="00000000">
      <w:r>
        <w:t>The relationship between the risk management function and the internal audit function</w:t>
      </w:r>
      <w:r w:rsidR="00BB047D">
        <w:t>.</w:t>
      </w:r>
    </w:p>
    <w:p w14:paraId="1FB95DC1" w14:textId="77777777" w:rsidR="00BB047D" w:rsidRDefault="00000000">
      <w:r>
        <w:t>The rating system revie</w:t>
      </w:r>
      <w:r w:rsidR="00BB047D">
        <w:t>w.</w:t>
      </w:r>
    </w:p>
    <w:p w14:paraId="407DB797" w14:textId="77777777" w:rsidR="00BB047D" w:rsidRDefault="00000000">
      <w:r>
        <w:t>The procedure to ensure the independence of the function in charge of reviewing the models from the functions responsible for the development of the models</w:t>
      </w:r>
      <w:r w:rsidR="00BB047D">
        <w:t>.</w:t>
      </w:r>
    </w:p>
    <w:p w14:paraId="1B1C883B" w14:textId="6B5F4241" w:rsidR="00CA4EA7" w:rsidRDefault="00000000">
      <w:r>
        <w:t>The procedure to ensure the accountability of the functions in charge of developing and reviewing the models.</w:t>
      </w:r>
    </w:p>
    <w:sectPr w:rsidR="00CA4E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48004326">
    <w:abstractNumId w:val="8"/>
  </w:num>
  <w:num w:numId="2" w16cid:durableId="1053431690">
    <w:abstractNumId w:val="6"/>
  </w:num>
  <w:num w:numId="3" w16cid:durableId="92938148">
    <w:abstractNumId w:val="5"/>
  </w:num>
  <w:num w:numId="4" w16cid:durableId="909539233">
    <w:abstractNumId w:val="4"/>
  </w:num>
  <w:num w:numId="5" w16cid:durableId="1368677403">
    <w:abstractNumId w:val="7"/>
  </w:num>
  <w:num w:numId="6" w16cid:durableId="2079790539">
    <w:abstractNumId w:val="3"/>
  </w:num>
  <w:num w:numId="7" w16cid:durableId="862669753">
    <w:abstractNumId w:val="2"/>
  </w:num>
  <w:num w:numId="8" w16cid:durableId="1455174174">
    <w:abstractNumId w:val="1"/>
  </w:num>
  <w:num w:numId="9" w16cid:durableId="593054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6AC"/>
    <w:rsid w:val="004F5755"/>
    <w:rsid w:val="005D28F8"/>
    <w:rsid w:val="00AA1D8D"/>
    <w:rsid w:val="00B47730"/>
    <w:rsid w:val="00BB047D"/>
    <w:rsid w:val="00CA4EA7"/>
    <w:rsid w:val="00CB0664"/>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84573"/>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29</Pages>
  <Words>12020</Words>
  <Characters>68515</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2025-08-03T19:51:00Z</dcterms:modified>
  <cp:category/>
</cp:coreProperties>
</file>