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8109" w14:textId="77777777" w:rsidR="005C2D56" w:rsidRDefault="00000000">
      <w:r>
        <w:t>In addition to the regulations on prudential supervision of institutions, Directive 2014/59/EU known as the Banking Recovery and Resolution Directive, BRRD was adopted in 2014, establishing a regulatory framework for the restructuring and resolution of credit institutions.</w:t>
      </w:r>
    </w:p>
    <w:p w14:paraId="5F12DEF4" w14:textId="77777777" w:rsidR="005C2D56" w:rsidRDefault="00000000">
      <w:r>
        <w:t>Pillar III promotes market discipline by establishing a set of disclosure requirements that enable various stakeholders to assess the Entity’s risk exposure, risk assessment, management and control processes, the Group’s capital adequacy, and internal governance.</w:t>
      </w:r>
    </w:p>
    <w:p w14:paraId="720028AE" w14:textId="77777777" w:rsidR="005C2D56" w:rsidRDefault="00000000">
      <w:r>
        <w:t>This Report includes the information required by the applicable regulations, The regulatory framework, governance bodies, scope for capital requirements purposes, disclosure policy, and policies and objectives in risk management.</w:t>
      </w:r>
    </w:p>
    <w:p w14:paraId="0B258696" w14:textId="77777777" w:rsidR="005C2D56" w:rsidRDefault="00000000">
      <w:r>
        <w:t>Leverage, unencumbered assets, ESG risks, and the remuneration policy.</w:t>
      </w:r>
    </w:p>
    <w:p w14:paraId="39A8E735" w14:textId="77777777" w:rsidR="005C2D56" w:rsidRDefault="00000000">
      <w:r>
        <w:t>In accordance with Part Eight of chapter one of the CRR and article 85 of Law 10/2014, institutions must periodically publish relevant information for a proper understanding of their business profile, their exposure to different risks, the composition of their capital base and their risk management policies and objectives.</w:t>
      </w:r>
    </w:p>
    <w:p w14:paraId="1FBAB75E" w14:textId="77777777" w:rsidR="005C2D56" w:rsidRDefault="00000000">
      <w:r>
        <w:t>The areas responsible for the preparation of the Prudential Relevance Report and their functions are defined below, a General Accounting, Responsible for coordinating, ensuring compliance with current regulations, and cross-checking with various information sources within the Group.</w:t>
      </w:r>
    </w:p>
    <w:p w14:paraId="59196631" w14:textId="77777777" w:rsidR="005C2D56" w:rsidRDefault="00000000">
      <w:r>
        <w:t>The conclusions of this review are presented to the Audit and Compliance Committee.</w:t>
      </w:r>
    </w:p>
    <w:p w14:paraId="3E7245DC" w14:textId="77777777" w:rsidR="005C2D56" w:rsidRDefault="00000000">
      <w:r>
        <w:t>In accordance with this policy, this report has been prepared by General Accounting, reviewed by the Audit and Compliance Committee, and approved by the Board of Directors.</w:t>
      </w:r>
    </w:p>
    <w:p w14:paraId="40EEDD84" w14:textId="77777777" w:rsidR="005C2D56" w:rsidRDefault="00000000">
      <w:r>
        <w:t>All material risks present a control environment, based on governance, management, risk control, and auditing, which is either adequate or high.</w:t>
      </w:r>
    </w:p>
    <w:p w14:paraId="26B4ED91" w14:textId="77777777" w:rsidR="005C2D56" w:rsidRDefault="00000000">
      <w:r>
        <w:t>This rating is subject to monitoring and reporting to the Board of Directors.</w:t>
      </w:r>
    </w:p>
    <w:p w14:paraId="060A9AA3" w14:textId="77777777" w:rsidR="005C2D56" w:rsidRDefault="00000000">
      <w:r>
        <w:t>The third section provides an overview of the Group’s Pillar III framework, including governance structures and the scope of consolidation.</w:t>
      </w:r>
    </w:p>
    <w:p w14:paraId="5FDB1337" w14:textId="77777777" w:rsidR="005C2D56" w:rsidRDefault="00000000">
      <w:r>
        <w:t>A notable recent development has been the increase in France’s risk premium due to its political instability and public deficit situation, which now exceeds the premium required for Spain.</w:t>
      </w:r>
    </w:p>
    <w:p w14:paraId="727D0111" w14:textId="77777777" w:rsidR="005C2D56" w:rsidRDefault="00000000">
      <w:r>
        <w:t>At the start of the new Strategic Plan, Ibercaja has continued to demonstrate its strong commitment to contributing to the development of a sustainable economy through its daily relationships with clients and suppliers, as well as through its internal environmental management.</w:t>
      </w:r>
    </w:p>
    <w:p w14:paraId="409ECC15" w14:textId="77777777" w:rsidR="005C2D56" w:rsidRDefault="00000000">
      <w:r>
        <w:lastRenderedPageBreak/>
        <w:t>The Entity has made progress in measuring and managing climate and environmental risks, implementing a sustainable business strategy, defining the ASG data model, and developing policies and governance frameworks for managing ASG risks.</w:t>
      </w:r>
    </w:p>
    <w:p w14:paraId="2708127A" w14:textId="77777777" w:rsidR="005C2D56" w:rsidRDefault="00000000">
      <w:r>
        <w:t>The regulatory framework of the Basel Committee is based on three pillars.</w:t>
      </w:r>
    </w:p>
    <w:p w14:paraId="7BB9ABC8" w14:textId="77777777" w:rsidR="005C2D56" w:rsidRDefault="00000000">
      <w:r>
        <w:t>Pillar II establishes a supervisory review process for capital sufficiency based on the institution's risk profile and internal risk management.</w:t>
      </w:r>
    </w:p>
    <w:p w14:paraId="1D001337" w14:textId="77777777" w:rsidR="005C2D56" w:rsidRDefault="00000000">
      <w:r>
        <w:t>In this context, in June 2019, the regulatory framework applied in the European Union was modified.</w:t>
      </w:r>
    </w:p>
    <w:p w14:paraId="26EDECB0" w14:textId="77777777" w:rsidR="005C2D56" w:rsidRDefault="00000000">
      <w:r>
        <w:t>Additionally, Directive 2024/1619 CRD VI updates regulations in areas such as supervisory powers, the sanctioning regime, third-country branch regulations, and environmental, social, and governance risk management.</w:t>
      </w:r>
    </w:p>
    <w:p w14:paraId="109DEF43" w14:textId="77777777" w:rsidR="005C2D56" w:rsidRDefault="00000000">
      <w:r>
        <w:t>Moreover, in June 2015, the rules for the disclosure of the Net Stable Funding Ratio were published, which will improve the transparency of regulatory funding requirements, strengthen principles for the proper management and supervision of liquidity risk, enhance market discipline, and reduce uncertainty in markets by applying the NSFR.</w:t>
      </w:r>
    </w:p>
    <w:p w14:paraId="15F09038" w14:textId="77777777" w:rsidR="005C2D56" w:rsidRDefault="00000000">
      <w:r>
        <w:t>In 2024, the Single Resolution Board introduced significant updates to its regulatory framework, aiming to strengthen the planning and execution of bank resolution in the European Union.</w:t>
      </w:r>
    </w:p>
    <w:p w14:paraId="48D974A2" w14:textId="77777777" w:rsidR="005C2D56" w:rsidRDefault="00000000">
      <w:r>
        <w:t>In particular, it has launched consultations on the reporting framework for resolution plans and on the criteria applicable to independent valuers, aiming to improve transparency and the effectiveness of banking resolution processes.</w:t>
      </w:r>
    </w:p>
    <w:p w14:paraId="595C3ED8" w14:textId="77777777" w:rsidR="005C2D56" w:rsidRDefault="00000000">
      <w:r>
        <w:t>In parallel with the intensive supervisory agenda under the Supervisory Review and Evaluation Process , the SSM has continued to make significant efforts, on one hand, to harmonize supervisory policies between countries and, on the other hand, to enhance the transparency of its expectations.</w:t>
      </w:r>
    </w:p>
    <w:p w14:paraId="42E3D60F" w14:textId="77777777" w:rsidR="005C2D56" w:rsidRDefault="00000000">
      <w:r>
        <w:t>Additionally, disclosures on institutional actions to support their counterparts in the transition to a zero-carbon economy are included.</w:t>
      </w:r>
    </w:p>
    <w:p w14:paraId="3997E560" w14:textId="77777777" w:rsidR="005C2D56" w:rsidRDefault="00000000">
      <w:r>
        <w:t>In parallel, 2022 saw multiple initiatives, notably the publication of the Basel Committee’s ESG risk management and supervision principles in June 2022, as well as new criteria in the Taxonomy Regulation, with the Delegated Regulation 2022/1214, which applies to the banking sector as disclosure requirements for greater transparency.</w:t>
      </w:r>
    </w:p>
    <w:p w14:paraId="13476B3F" w14:textId="77777777" w:rsidR="005C2D56" w:rsidRDefault="00000000">
      <w:r>
        <w:t>In 2023, the Basel Committee on Banking Supervision issued a consultation on the climaterelated financial risk disclosure framework.</w:t>
      </w:r>
    </w:p>
    <w:p w14:paraId="35E9FB6C" w14:textId="77777777" w:rsidR="005C2D56" w:rsidRDefault="00000000">
      <w:r>
        <w:t>This effort is part of the Committee’s holistic approach to addressing climate-related financial risks for the global banking system.</w:t>
      </w:r>
    </w:p>
    <w:p w14:paraId="6C5F262A" w14:textId="77777777" w:rsidR="005C2D56" w:rsidRDefault="00000000">
      <w:r>
        <w:lastRenderedPageBreak/>
        <w:t>The Committee is assessing how a Pillar III disclosure framework for climate-related financial risks would promote its mandate to strengthen regulation, supervision, and banking practices.</w:t>
      </w:r>
    </w:p>
    <w:p w14:paraId="1948017C" w14:textId="77777777" w:rsidR="005C2D56" w:rsidRDefault="00000000">
      <w:r>
        <w:t>Specifically, this regulation sets technical criteria for identifying the conditions under which an economic activity can make a substantial contribution to the four pending development objectives, , sustainability and protection of water and marine resources,, transition to a circular economy,, pollution prevention and control, and, protection and restoration of biodiversity and ecosystems.</w:t>
      </w:r>
    </w:p>
    <w:p w14:paraId="7A6DBEFF" w14:textId="77777777" w:rsidR="005C2D56" w:rsidRDefault="00000000">
      <w:r>
        <w:t>Additionally, the Delegated Regulation 2021/2139, which establishes further technical selection criteria to determine the conditions under which an economic activity is considered to substantially contribute to mitigating climate change or adapting to it, and to determine whether that economic activity causes significant harm to any other environmental objectives.</w:t>
      </w:r>
    </w:p>
    <w:p w14:paraId="5F452B61" w14:textId="0020AF94" w:rsidR="005C2D56" w:rsidRDefault="00000000">
      <w:r>
        <w:t xml:space="preserve">In addition to the regulations related to the taxonomy, some other noteworthy regulatory initiatives approved in 2024 include, Regulation 2023/2631 of the European Parliament and the Council, of November 22, 2023, which defines a set of criteria for bond issuers wishing to label their bonds </w:t>
      </w:r>
      <w:proofErr w:type="gramStart"/>
      <w:r>
        <w:t xml:space="preserve">as </w:t>
      </w:r>
      <w:r w:rsidR="00587C5F">
        <w:t xml:space="preserve"> </w:t>
      </w:r>
      <w:r>
        <w:t>European</w:t>
      </w:r>
      <w:proofErr w:type="gramEnd"/>
      <w:r>
        <w:t xml:space="preserve"> Green Bond</w:t>
      </w:r>
      <w:r w:rsidR="000B468E">
        <w:t xml:space="preserve"> </w:t>
      </w:r>
      <w:proofErr w:type="gramStart"/>
      <w:r>
        <w:t xml:space="preserve">or </w:t>
      </w:r>
      <w:r w:rsidR="00587C5F">
        <w:t xml:space="preserve"> </w:t>
      </w:r>
      <w:proofErr w:type="spellStart"/>
      <w:r>
        <w:t>EuGB</w:t>
      </w:r>
      <w:proofErr w:type="spellEnd"/>
      <w:proofErr w:type="gramEnd"/>
      <w:r>
        <w:t>.</w:t>
      </w:r>
    </w:p>
    <w:p w14:paraId="7B9E13E8" w14:textId="77777777" w:rsidR="005C2D56" w:rsidRDefault="00000000">
      <w:r>
        <w:t>The CRR3 regulatory package, in the prudential field, introduced new requirements to integrate ESG risks within this framework.</w:t>
      </w:r>
    </w:p>
    <w:p w14:paraId="7A6EAC28" w14:textId="77777777" w:rsidR="005C2D56" w:rsidRDefault="00000000">
      <w:r>
        <w:t>Furthermore, it requires entities to develop specific plans to manage these risks and ensure transparency in their treatment.</w:t>
      </w:r>
    </w:p>
    <w:p w14:paraId="02CF648F" w14:textId="77777777" w:rsidR="005C2D56" w:rsidRDefault="00000000">
      <w:r>
        <w:t>Similarly, the CRR3/CRD6 regulatory package imposes reporting obligations to the competent authorities, requires increased ESG disclosures, and mandates the creation of specific plans to manage financial risks related to ESG factors.</w:t>
      </w:r>
    </w:p>
    <w:p w14:paraId="69517652" w14:textId="77777777" w:rsidR="005C2D56" w:rsidRDefault="00000000">
      <w:r>
        <w:t>Cryptoassets The regulatory framework for the disclosure and prudential treatment of cryptoassets in the Pillar III Report follows the Basel guidelines and their transposition into the EU through CRR3 and MiCA.</w:t>
      </w:r>
    </w:p>
    <w:p w14:paraId="753526B8" w14:textId="77777777" w:rsidR="005C2D56" w:rsidRDefault="00000000">
      <w:r>
        <w:t>Furthermore, the regulation imposes reporting and disclosure obligations starting in July 2024, aimed at enhancing transparency, maintaining market discipline, and enabling more effective supervision of these exposures in the financial sector.</w:t>
      </w:r>
    </w:p>
    <w:p w14:paraId="131B4626" w14:textId="77777777" w:rsidR="005C2D56" w:rsidRDefault="00000000">
      <w:r>
        <w:t>Additionally, further details are provided on the key governing bodies and the policies that ensure the suitability and diversity of the Board members, as per Article 435.</w:t>
      </w:r>
    </w:p>
    <w:p w14:paraId="64367206" w14:textId="77777777" w:rsidR="005C2D56" w:rsidRDefault="00000000">
      <w:proofErr w:type="spellStart"/>
      <w:r>
        <w:t>Ibercaja</w:t>
      </w:r>
      <w:proofErr w:type="spellEnd"/>
      <w:r>
        <w:t xml:space="preserve"> Group 44 Pillar 3 Disclosure 2024 During 2024, the Committee reported on the independent evaluation of the general remuneration policy, the degree of fulfillment of the variable remuneration objectives for 2023, the long-term incentive for 2021-2023, and the establishment of remuneration objectives for 2024.</w:t>
      </w:r>
    </w:p>
    <w:p w14:paraId="17C12B98" w14:textId="77777777" w:rsidR="005C2D56" w:rsidRDefault="00000000">
      <w:r>
        <w:lastRenderedPageBreak/>
        <w:t>The Committee will be composed of a minimum of 3 and a maximum of 5 directors, who do not hold executive functions and who have the knowledge, capacity, and experience to understand and manage the Entity’s strategy and risk exposure.</w:t>
      </w:r>
    </w:p>
    <w:p w14:paraId="68B230C5" w14:textId="77777777" w:rsidR="005C2D56" w:rsidRDefault="00000000">
      <w:r>
        <w:t>During 2024, the Committee has reported to the Board of Directors on the evolution of the indicators of the Bank’s various financial and non-financial risks, the review of the Risk Appetite Framework and its monitoring, the review and monitoring of the Capital and Liquidity Self-Assessment Reports, the review of the Entity’s Recovery Plan, the review of various aspects of Resolution, as well as other matters related to the review of the strategic plan for the divestment of non-productive assets and its monitoring.</w:t>
      </w:r>
    </w:p>
    <w:p w14:paraId="592889F4" w14:textId="77777777" w:rsidR="005C2D56" w:rsidRDefault="00000000">
      <w:r>
        <w:t>During 2024, the Entity updated the following policies within the framework of the suitability of the members of the Board of Directors, Succession Policy and its annexes.</w:t>
      </w:r>
    </w:p>
    <w:p w14:paraId="5920F5FB" w14:textId="77777777" w:rsidR="005C2D56" w:rsidRDefault="00000000">
      <w:r>
        <w:t>These policies define the criteria the Entity will apply to assess the suitability of Board members, general directors or equivalents, those responsible for internal control functions, and other relevant positions in the Entity's activities, as well as the diversity criteria.</w:t>
      </w:r>
    </w:p>
    <w:p w14:paraId="60897121" w14:textId="77777777" w:rsidR="005C2D56" w:rsidRDefault="00000000">
      <w:r>
        <w:t>They also aim to promote diversity in terms of age, gender, and experience within the board.</w:t>
      </w:r>
    </w:p>
    <w:p w14:paraId="13C5DBC1" w14:textId="77777777" w:rsidR="005C2D56" w:rsidRDefault="00000000">
      <w:r>
        <w:t>In this regard, the director’s capacity for dedicating time to their role should be evaluated, and rules are established to limit the maximum number of executive or directorial positions they may hold in other companies all of which is in compliance with applicable regulations.</w:t>
      </w:r>
    </w:p>
    <w:p w14:paraId="288C29A5" w14:textId="77777777" w:rsidR="005C2D56" w:rsidRDefault="00000000">
      <w:r>
        <w:t>In 2024, these training sessions focused on the following topics, regulatory monitoring key regulatory updates and their impact on the Bank’s management.</w:t>
      </w:r>
    </w:p>
    <w:p w14:paraId="24267111" w14:textId="77777777" w:rsidR="005C2D56" w:rsidRDefault="00000000">
      <w:r>
        <w:t>Data Governance and reporting systems, supervisory context, data governance framework, and analysis of macroeconomic perspectives for 2025.</w:t>
      </w:r>
    </w:p>
    <w:p w14:paraId="71CC4FA5" w14:textId="77777777" w:rsidR="005C2D56" w:rsidRDefault="00000000">
      <w:r>
        <w:t>This percentage is also reflected in the succession policy for Board members, including the president and CEO.</w:t>
      </w:r>
    </w:p>
    <w:p w14:paraId="46186F2B" w14:textId="77777777" w:rsidR="005C2D56" w:rsidRDefault="00000000">
      <w:r>
        <w:t>The following principles are taken into account in the selection of candidates for the Board of Directors to promote diversity among its members, The candidate selection process will begin with a prior analysis of the Entity's needs.</w:t>
      </w:r>
    </w:p>
    <w:p w14:paraId="326D929F" w14:textId="633F380A" w:rsidR="005C2D56" w:rsidRDefault="00000000">
      <w:r>
        <w:t>Specifically, the policy states,</w:t>
      </w:r>
      <w:r w:rsidR="00587C5F">
        <w:t xml:space="preserve"> </w:t>
      </w:r>
      <w:r>
        <w:t xml:space="preserve">Academic and professional profile </w:t>
      </w:r>
      <w:proofErr w:type="gramStart"/>
      <w:r>
        <w:t>For</w:t>
      </w:r>
      <w:proofErr w:type="gramEnd"/>
      <w:r>
        <w:t xml:space="preserve"> these purposes, knowledge in banking and finance, economics, law, accounting, audit, administration, financial regulation, information technology and quantitative methods will generally be considered relevant for the financial services sector.</w:t>
      </w:r>
    </w:p>
    <w:p w14:paraId="309EBAF9" w14:textId="77777777" w:rsidR="005C2D56" w:rsidRDefault="00000000">
      <w:r>
        <w:t>In this sense, this policy aims to ensure that the underrepresented gender reaches at least 36% of the total number of Board members, a figure that is currently met by the composition.</w:t>
      </w:r>
    </w:p>
    <w:p w14:paraId="5477BACC" w14:textId="77777777" w:rsidR="005C2D56" w:rsidRDefault="00000000">
      <w:r>
        <w:lastRenderedPageBreak/>
        <w:t>The Entity will ensure that the principle of equal opportunities is respected and that there is no discrimination based on gender, race, skin color, ethnic or social origin, genetic characteristics, religion or beliefs, membership in a national minority, property, birth, disability, age, or sexual orientation.</w:t>
      </w:r>
    </w:p>
    <w:p w14:paraId="104603DF" w14:textId="77777777" w:rsidR="005C2D56" w:rsidRDefault="00000000">
      <w:r>
        <w:t>In addition to the minimum requirements, maintain a level consistent with the risks inherent to your business, the economic environment in which you operate, the management and control you perform over these risks, and the governance and internal audit systems already in place in your strategic business plan.</w:t>
      </w:r>
    </w:p>
    <w:p w14:paraId="690F3ABB" w14:textId="77777777" w:rsidR="005C2D56" w:rsidRDefault="00000000">
      <w:r>
        <w:t>Furthermore, the capital strategy, equity held, recurring profits, corporate and internal governance, and risk management and control systems are appropriate for the Group's activities and the risks assumed.</w:t>
      </w:r>
    </w:p>
    <w:p w14:paraId="084D0508" w14:textId="77777777" w:rsidR="005C2D56" w:rsidRDefault="00000000">
      <w:r>
        <w:t>The Group determines its minimum requirement for own funds and eligible liabilities in accordance with the regulatory framework based on Directive 2014/59/EU , while also considering, Law 11/2015, of June 18, which transposes said Directive into Spanish legislation.</w:t>
      </w:r>
    </w:p>
    <w:p w14:paraId="0DC6C95E" w14:textId="75BC3021" w:rsidR="005C2D56" w:rsidRDefault="00000000">
      <w:proofErr w:type="gramStart"/>
      <w:r>
        <w:t>Comply with regulatory requirements at all times</w:t>
      </w:r>
      <w:proofErr w:type="gramEnd"/>
      <w:r>
        <w:t>, as well as self-mandated capital and liquidity targets</w:t>
      </w:r>
      <w:r w:rsidR="00587C5F">
        <w:t xml:space="preserve"> </w:t>
      </w:r>
      <w:proofErr w:type="gramStart"/>
      <w:r>
        <w:t>By</w:t>
      </w:r>
      <w:proofErr w:type="gramEnd"/>
      <w:r>
        <w:t xml:space="preserve"> incorporating all regulatory ratios and the desired capital and liquidity levels.</w:t>
      </w:r>
    </w:p>
    <w:p w14:paraId="1E27DD3D" w14:textId="4904B700" w:rsidR="005C2D56" w:rsidRDefault="00000000">
      <w:r>
        <w:t>Ibercaja Group 2 84 Pillar 3 Disclosure 2024 Ensure the trust of customers, investors, employees, suppliers and other stakeholders</w:t>
      </w:r>
      <w:r w:rsidR="00587C5F">
        <w:t xml:space="preserve"> </w:t>
      </w:r>
      <w:proofErr w:type="gramStart"/>
      <w:r>
        <w:t>By</w:t>
      </w:r>
      <w:proofErr w:type="gramEnd"/>
      <w:r>
        <w:t xml:space="preserve"> incorporating key metrics for stakeholders in a way that allows them to anticipate levels they do not want.</w:t>
      </w:r>
    </w:p>
    <w:p w14:paraId="7A5F2893" w14:textId="77777777" w:rsidR="005C2D56" w:rsidRDefault="00000000">
      <w:r>
        <w:t>This risk statement is deployed in key indicators representative of the material risks identified by the Entity, all of which configure the Risk Appetite Framework or hereinafter also RAF, through which risk management is ordered and which establishes thresholds for each of the metrics that jointly determine the scope of the Group's risk appetite and tolerance profile.</w:t>
      </w:r>
    </w:p>
    <w:p w14:paraId="2FA4912E" w14:textId="77777777" w:rsidR="005C2D56" w:rsidRDefault="00000000">
      <w:r>
        <w:t>Finally, the Control Area Management and the Risk Control Department are responsible for proposing to the Global Risk Committee the action plans necessary to remedy excesses or noncompliances, in collaboration with the first-line risk-taking departments.</w:t>
      </w:r>
    </w:p>
    <w:p w14:paraId="57625C43" w14:textId="77777777" w:rsidR="005C2D56" w:rsidRDefault="00000000">
      <w:r>
        <w:t>This ensures that profitability objectives, including balance sheet structure and quality, and regulatory and supervisory capital and liquidity requirements, are met within the defined time horizon.</w:t>
      </w:r>
    </w:p>
    <w:p w14:paraId="737A6C46" w14:textId="77777777" w:rsidR="005C2D56" w:rsidRDefault="00000000">
      <w:r>
        <w:t>All material risks have an adequate or high control environment, based on risk governance, management, control, and auditing.</w:t>
      </w:r>
    </w:p>
    <w:p w14:paraId="3A98B5E3" w14:textId="77777777" w:rsidR="005C2D56" w:rsidRDefault="00000000">
      <w:r>
        <w:t xml:space="preserve">The RAF considers all risks that affect the development of the Group's activity and the achievement of its business objectives, the main ones being, credit risk which includes the subcategories of concentration risk, real estate risk and sovereign risk, business and </w:t>
      </w:r>
      <w:r>
        <w:lastRenderedPageBreak/>
        <w:t>profitability risk, liquidity and financing risk, interest rate risk, non-financial risks mainly operational risk, including the subcategories of reputational risk, legal risk and technological risk, risk market risk, climate and environmental risk, insurance business risk and adequacy of own resources.</w:t>
      </w:r>
    </w:p>
    <w:p w14:paraId="0F869411" w14:textId="77777777" w:rsidR="005C2D56" w:rsidRDefault="00000000">
      <w:r>
        <w:t>The Entity has a robust organizational structure that ensures effective risk management and control.</w:t>
      </w:r>
    </w:p>
    <w:p w14:paraId="38EB1868" w14:textId="31101FF1" w:rsidR="005C2D56" w:rsidRDefault="00000000">
      <w:r>
        <w:t>Its responsibilities include,</w:t>
      </w:r>
      <w:r w:rsidR="00587C5F">
        <w:t xml:space="preserve"> </w:t>
      </w:r>
      <w:r>
        <w:t>Inform the Board of Directors, prior to its approval, about the Risk Appetite Framework, the Risk Appetite Statement, the capital and liquidity selfassessment reports ICAAP and ILAAP together with their declarations and the Recovery Plan, ensuring that they are consistent with other policies and with the Group's Strategic Plan.</w:t>
      </w:r>
    </w:p>
    <w:p w14:paraId="2E142B85" w14:textId="77777777" w:rsidR="005C2D56" w:rsidRDefault="00000000">
      <w:r>
        <w:t>The Strategy Committee is primarily responsible for reporting to the Board of Directors on the Entity's strategic policy, ensuring that a specific organization exists for its implementation.</w:t>
      </w:r>
    </w:p>
    <w:p w14:paraId="56D649B5" w14:textId="4B32617F" w:rsidR="005C2D56" w:rsidRDefault="00000000">
      <w:r>
        <w:t xml:space="preserve">Its responsibilities and functions </w:t>
      </w:r>
      <w:proofErr w:type="gramStart"/>
      <w:r>
        <w:t>include,</w:t>
      </w:r>
      <w:proofErr w:type="gramEnd"/>
      <w:r w:rsidR="00587C5F">
        <w:t xml:space="preserve"> </w:t>
      </w:r>
      <w:r>
        <w:t>Report periodically to the Major Risks and Solvency Committee on the degree of compliance with the metrics established in the Risk Appetite Declaration, proposing, where appropriate, the necessary action plans to correct excesses or non-compliance.</w:t>
      </w:r>
    </w:p>
    <w:p w14:paraId="75D68E06" w14:textId="77777777" w:rsidR="005C2D56" w:rsidRDefault="00000000">
      <w:r>
        <w:t>The organizational structure provides the Entity with a comprehensive governance and risk management structure, proportional to the complexity of the Ibercaja Group's business, with three lines of defence, First line of defence, formed by the Group's business and support units, which take the risk.</w:t>
      </w:r>
    </w:p>
    <w:p w14:paraId="43138440" w14:textId="77777777" w:rsidR="005C2D56" w:rsidRDefault="00000000">
      <w:r>
        <w:t>Second line of defence, organizationally located within the Control Area Directorate, which is ultimately responsible for carrying out internal control functions in risk management , acting independently of the business and support units.</w:t>
      </w:r>
    </w:p>
    <w:p w14:paraId="5EC55FB1" w14:textId="77777777" w:rsidR="005C2D56" w:rsidRDefault="00000000">
      <w:r>
        <w:t>During 2024, there have been no changes to the risk control, compliance, and internal audit functions.</w:t>
      </w:r>
    </w:p>
    <w:p w14:paraId="54F4FE56" w14:textId="0F575B14" w:rsidR="005C2D56" w:rsidRDefault="00000000">
      <w:r>
        <w:t xml:space="preserve">These are documented in </w:t>
      </w:r>
      <w:proofErr w:type="gramStart"/>
      <w:r>
        <w:t xml:space="preserve">the </w:t>
      </w:r>
      <w:r w:rsidR="00587C5F">
        <w:t xml:space="preserve"> </w:t>
      </w:r>
      <w:r>
        <w:t>Credit</w:t>
      </w:r>
      <w:proofErr w:type="gramEnd"/>
      <w:r>
        <w:t xml:space="preserve"> Risk Management </w:t>
      </w:r>
      <w:proofErr w:type="gramStart"/>
      <w:r>
        <w:t>Framework</w:t>
      </w:r>
      <w:r w:rsidR="00587C5F">
        <w:t xml:space="preserve"> </w:t>
      </w:r>
      <w:r>
        <w:t xml:space="preserve"> and</w:t>
      </w:r>
      <w:proofErr w:type="gramEnd"/>
      <w:r>
        <w:t xml:space="preserve"> </w:t>
      </w:r>
      <w:r w:rsidR="00587C5F">
        <w:t xml:space="preserve"> </w:t>
      </w:r>
      <w:r>
        <w:t xml:space="preserve">General Governance Policy for Credit Risk </w:t>
      </w:r>
      <w:proofErr w:type="gramStart"/>
      <w:r>
        <w:t>Models,</w:t>
      </w:r>
      <w:r w:rsidR="00587C5F">
        <w:t xml:space="preserve"> </w:t>
      </w:r>
      <w:r>
        <w:t xml:space="preserve"> as</w:t>
      </w:r>
      <w:proofErr w:type="gramEnd"/>
      <w:r>
        <w:t xml:space="preserve"> well as the various manuals and policies developed from them.</w:t>
      </w:r>
    </w:p>
    <w:p w14:paraId="55CE1ECE" w14:textId="77777777" w:rsidR="005C2D56" w:rsidRDefault="00000000">
      <w:r>
        <w:t>The Board of Directors is responsible for authorizing risks that fall outside the scope of the operating circuit.</w:t>
      </w:r>
    </w:p>
    <w:p w14:paraId="5F809E73" w14:textId="77777777" w:rsidR="005C2D56" w:rsidRDefault="00000000">
      <w:r>
        <w:t>The credit risk management structure presents a decentralized transaction granting scheme, which is based on a formally established delegation of powers reflected in the risk manuals.</w:t>
      </w:r>
    </w:p>
    <w:p w14:paraId="644B84E8" w14:textId="77777777" w:rsidR="005C2D56" w:rsidRDefault="00000000">
      <w:r>
        <w:lastRenderedPageBreak/>
        <w:t>Internal Audit, within the controls carried out in offices, is responsible for ensuring compliance with established policies and procedures.</w:t>
      </w:r>
    </w:p>
    <w:p w14:paraId="40369E09" w14:textId="77777777" w:rsidR="005C2D56" w:rsidRDefault="00000000">
      <w:r>
        <w:t>The second line of defense is organizationally located within the Control Area Directorate, and for the development of this function, it includes the Risk Control and Regulatory Compliance departments, and the Customer Service Department is also part of this department.</w:t>
      </w:r>
    </w:p>
    <w:p w14:paraId="0A598C60" w14:textId="77777777" w:rsidR="005C2D56" w:rsidRDefault="00000000">
      <w:r>
        <w:t>The Regulatory Compliance function ensures that credit risk operations are carried out in compliance with applicable laws, regulations, and internal policies.</w:t>
      </w:r>
    </w:p>
    <w:p w14:paraId="286AEED5" w14:textId="77777777" w:rsidR="005C2D56" w:rsidRDefault="00000000">
      <w:r>
        <w:t>This includes ensuring proper compliance with internal procedures, respecting the principles of information and transparency for clients, as well as the prevention of money laundering and terrorist financing.</w:t>
      </w:r>
    </w:p>
    <w:p w14:paraId="29591E72" w14:textId="77777777" w:rsidR="005C2D56" w:rsidRDefault="00000000">
      <w:r>
        <w:t>Countries are classified into six groups according to Bank of Spain Circular 4/2017, based on their rating, economic performance, political situation, regulatory and institutional framework, and payment capacity and experience.</w:t>
      </w:r>
    </w:p>
    <w:p w14:paraId="5AF1D6AD" w14:textId="77777777" w:rsidR="005C2D56" w:rsidRDefault="00000000">
      <w:r>
        <w:t>To implement the risk appetite statement for operational risk avoiding the materialization of operational, regulatory compliance, legal, or reputational risks through active and ongoing management, a set of top-level metrics, with their corresponding risk limits, have been selected and reviewed.</w:t>
      </w:r>
    </w:p>
    <w:p w14:paraId="0AC58DD5" w14:textId="77777777" w:rsidR="005C2D56" w:rsidRDefault="00000000">
      <w:r>
        <w:t>The scope of the operational risk management and assessment model extends to both Ibercaja Banco's business and support units and the Group's companies.</w:t>
      </w:r>
    </w:p>
    <w:p w14:paraId="57DED5D5" w14:textId="77777777" w:rsidR="005C2D56" w:rsidRDefault="00000000">
      <w:r>
        <w:t>Likewise, the Non-Financial Risk Control Unit incorporates into its activities those aspects related to Environmental Risk that affect the area of Operational Risk.</w:t>
      </w:r>
    </w:p>
    <w:p w14:paraId="1ABE21BA" w14:textId="37A0E441" w:rsidR="005C2D56" w:rsidRDefault="00000000">
      <w:r>
        <w:t>The optimization of operational risk management and control processes resulting from established policies and methodologies has allowed the Entity to calculate, since December 2010, capital consumption for Operational Risk using the standard method, in accordance with the provisions of Regulation n</w:t>
      </w:r>
      <w:r w:rsidR="00587C5F">
        <w:t>o</w:t>
      </w:r>
      <w:r>
        <w:t xml:space="preserve"> 575/2013.</w:t>
      </w:r>
    </w:p>
    <w:p w14:paraId="0B208BC7" w14:textId="77777777" w:rsidR="005C2D56" w:rsidRDefault="00000000">
      <w:r>
        <w:t>These are documented in the Interest Rate and Credit Spread Risk Management Policy and the Risk Control Function Policy.</w:t>
      </w:r>
    </w:p>
    <w:p w14:paraId="7A9F1566" w14:textId="77777777" w:rsidR="005C2D56" w:rsidRDefault="00000000">
      <w:r>
        <w:t>Regulatory ratios and internal metrics are reported periodically in accordance with the Entity's Risk Appetite Framework and compared with approved liquidity risk tolerance thresholds and limits.</w:t>
      </w:r>
    </w:p>
    <w:p w14:paraId="4404EE87" w14:textId="77777777" w:rsidR="005C2D56" w:rsidRDefault="00000000">
      <w:r>
        <w:t>Thus, the Global Risk Committee has the authority to adopt measures at the retail level boosting the collection of stable liabilities, slowing the pace of investments, transferring offbalance sheet resources funds, insurance, plans, etc.</w:t>
      </w:r>
    </w:p>
    <w:p w14:paraId="0C3F9048" w14:textId="77777777" w:rsidR="005C2D56" w:rsidRDefault="00000000">
      <w:r>
        <w:lastRenderedPageBreak/>
        <w:t>Regarding action plans, the Global Risk Committee will be responsible, after analyzing all available information, for taking corrective measures, including escalating them to the Governing Bodies, in the event of stressful situations.</w:t>
      </w:r>
    </w:p>
    <w:p w14:paraId="7D8EC875" w14:textId="77777777" w:rsidR="005C2D56" w:rsidRDefault="00000000">
      <w:r>
        <w:t>To this end, the Group has developed a self-assessment methodology, based primarily on the metrics and thresholds defined and approved in its RAF Regulatory Regulation to determine inherent and residual liquidity risk.</w:t>
      </w:r>
    </w:p>
    <w:p w14:paraId="69AD3A72" w14:textId="77777777" w:rsidR="005C2D56" w:rsidRDefault="00000000">
      <w:r>
        <w:t>In addition, the control environment is assessed according to the SREP methodology, evaluating the areas of governance, risk appetite, and the internal risk management and control framework.</w:t>
      </w:r>
    </w:p>
    <w:p w14:paraId="35A810B0" w14:textId="77777777" w:rsidR="005C2D56" w:rsidRDefault="00000000">
      <w:r>
        <w:t>Ibercaja Banco has traditionally adopted a prudent liquidity risk management policy, based on a clear commitment to financing lending growth with retail funds, with limited recourse to wholesale markets.</w:t>
      </w:r>
    </w:p>
    <w:p w14:paraId="0B9511A6" w14:textId="706BBB8A" w:rsidR="005C2D56" w:rsidRDefault="00000000">
      <w:r>
        <w:t xml:space="preserve">ESG risk management helps identify opportunities and/or threats that can positively or negatively impact institutions, Ibercaja Group 2 99 Pillar 3 Disclosure 2024 Environmental </w:t>
      </w:r>
      <w:proofErr w:type="gramStart"/>
      <w:r>
        <w:t xml:space="preserve">risks </w:t>
      </w:r>
      <w:r w:rsidR="00587C5F">
        <w:t xml:space="preserve"> </w:t>
      </w:r>
      <w:r>
        <w:t>A</w:t>
      </w:r>
      <w:proofErr w:type="gramEnd"/>
      <w:r w:rsidR="000B468E">
        <w:t xml:space="preserve"> </w:t>
      </w:r>
      <w:r>
        <w:t>refer to the potential financial impacts that may arise from climate change and society's responses to mitigate or adapt to these changes.</w:t>
      </w:r>
    </w:p>
    <w:p w14:paraId="70D2BB62" w14:textId="45E8A0E0" w:rsidR="005C2D56" w:rsidRDefault="00000000">
      <w:proofErr w:type="gramStart"/>
      <w:r>
        <w:t xml:space="preserve">Governance </w:t>
      </w:r>
      <w:r w:rsidR="00587C5F">
        <w:t xml:space="preserve"> </w:t>
      </w:r>
      <w:r>
        <w:t>G</w:t>
      </w:r>
      <w:proofErr w:type="gramEnd"/>
      <w:r w:rsidR="000B468E">
        <w:t xml:space="preserve"> </w:t>
      </w:r>
      <w:r>
        <w:t>risks arise from a negative financial or reputational impact resulting from weaknesses on the part of commercial counterparties or companies in which the investor has invested, such as transparency, market conduct, anti-corruption policies, compliance with tax obligations, or other behaviors considered ethical by stakeholders.</w:t>
      </w:r>
    </w:p>
    <w:p w14:paraId="5F6B93A3" w14:textId="77777777" w:rsidR="005C2D56" w:rsidRDefault="00000000">
      <w:r>
        <w:t>The Entity, committed to the integration of ESG risks, is moving forward by focusing on the analysis of risks derived from climate change and environmental deterioration and their impact on clients and their financial activity for their gradual integration into thes risk management procedures, in compliance with supervisory expectations and regulatory requirements.</w:t>
      </w:r>
    </w:p>
    <w:p w14:paraId="3D0BC9C7" w14:textId="77777777" w:rsidR="005C2D56" w:rsidRDefault="00000000">
      <w:r>
        <w:t>Ibercaja identifies ESG risks, especially climate and environmental risks, as risk factors that are likely to impact prudential risks through their counterparties and/or assets invested through certain transmission channels.</w:t>
      </w:r>
    </w:p>
    <w:p w14:paraId="0848B0E9" w14:textId="77777777" w:rsidR="005C2D56" w:rsidRDefault="00000000">
      <w:r>
        <w:t>Ibercaja, aware of its role in the transition toward a sustainable economy, considers the impact of its activities on the environment and society in its strategy and embraces the challenge of ensuring that its business objectives drive sustainable development, preserving natural resources and promoting a more just and inclusive society.</w:t>
      </w:r>
    </w:p>
    <w:p w14:paraId="67B79769" w14:textId="77777777" w:rsidR="005C2D56" w:rsidRDefault="00000000">
      <w:r>
        <w:t>To this end, through its Sustainability Policy, Ibercaja remains committed to aligning its commercial strategy with long-term objectives that enable economic growth and contribute to addressing social and environmental challenges, identifying its greatest potential contribution.</w:t>
      </w:r>
    </w:p>
    <w:p w14:paraId="09387CE7" w14:textId="77777777" w:rsidR="005C2D56" w:rsidRDefault="00000000">
      <w:r>
        <w:lastRenderedPageBreak/>
        <w:t>During 2024, and given the importance that the analysis of the materiality of climate and environmental risks has gained as a result of an environment increasingly affected by climate change and environmental degradation, it has developed a Climate and Environmental Materiality Guide with the aim of carrying out an exhaustive analysis of the materiality of C&amp;E risks environmental and climate risks, considering both the transition climate risk, derived from the evolution towards a low-carbon economy, as well as the physical climate risk, related to exposure to extreme weather events, and environmental risks, not directly derived from climate change.</w:t>
      </w:r>
    </w:p>
    <w:p w14:paraId="571C50A8" w14:textId="77777777" w:rsidR="005C2D56" w:rsidRDefault="00000000">
      <w:r>
        <w:t>This map uses a qualitative methodology with a top-down approach, resulting in the qualitative materiality of climate risks in the different prudential risk categories for different climate scenarios and time horizons.</w:t>
      </w:r>
    </w:p>
    <w:p w14:paraId="744F1359" w14:textId="77777777" w:rsidR="005C2D56" w:rsidRDefault="00000000">
      <w:r>
        <w:t>Furthermore, in measuring environmental risks, during 2024 Ibercaja has deepened its analysis of their materiality in credit risk, aiming to understand the potential impact of these risks on its exposure to various economic activities.</w:t>
      </w:r>
    </w:p>
    <w:p w14:paraId="18A620C4" w14:textId="77777777" w:rsidR="005C2D56" w:rsidRDefault="00000000">
      <w:r>
        <w:t>Regarding credit risk, Ibercaja has assessed the transition and physical climate risk in its productive activities’ portfolio and its mortgage portfolio during 2024, In its portfolio of productive activities, the Entity has analyzed the potential impact of climate transition risk by identifying the most carbon-intensive industries based on emissions data calculated and provided by PCAF Partnership for Carbon Accounting Financials and analyzing their evolution in the short, medium, and long term, following the approach proposed by UNEP FI in Phase II of the Project on the Assessment and Management of Financial Risks Related to Climate Change for Financial Institutions.</w:t>
      </w:r>
    </w:p>
    <w:p w14:paraId="3843B42E" w14:textId="77777777" w:rsidR="005C2D56" w:rsidRDefault="00000000">
      <w:r>
        <w:t>In the mortgage portfolio, Ibercaja has assessed the potential impact of climate transition risk through an analysis of the regulatory context and the properties' energy efficiency certificates.</w:t>
      </w:r>
    </w:p>
    <w:p w14:paraId="18640C4D" w14:textId="32616EFA" w:rsidR="005C2D56" w:rsidRDefault="00000000">
      <w:r>
        <w:t>Following the analyses conducted and considering the materiality of climate risks in credit risk, Ibercaja has developed a methodology to quantify capital needs for transition and physical climate risks in the productive activities’ portfolio and the mortgage portfolio.</w:t>
      </w:r>
    </w:p>
    <w:p w14:paraId="5138934E" w14:textId="77777777" w:rsidR="005C2D56" w:rsidRDefault="00000000">
      <w:r>
        <w:t>Regarding operational risk, the Entity has continued developing its operational risk map, including an analysis of physical climate risks and those related to transition risk with a Group focus, such as greenwashing practices.</w:t>
      </w:r>
    </w:p>
    <w:p w14:paraId="0277ED0F" w14:textId="77777777" w:rsidR="005C2D56" w:rsidRDefault="00000000">
      <w:r>
        <w:t>Furthermore, during 2024, to advance the prospective quantification of the impact of climate risks on operational risk, the Entity has developed a methodology called Climate VaR, with the aim of including longer time horizons 2025-2050 to analyze the potential impact of climate risk on operational risk.</w:t>
      </w:r>
    </w:p>
    <w:p w14:paraId="4DCE0422" w14:textId="77777777" w:rsidR="005C2D56" w:rsidRDefault="00000000">
      <w:r>
        <w:t>In relation to ESG risk management and control, Ibercaja is working on the inclusion of ESG factors in line with its ESG Risk Governance Policy.</w:t>
      </w:r>
    </w:p>
    <w:p w14:paraId="73816238" w14:textId="77777777" w:rsidR="005C2D56" w:rsidRDefault="00000000">
      <w:r>
        <w:lastRenderedPageBreak/>
        <w:t>Likewise, with the aim of advancing the analysis of its clients and the integration of climate risks into credit risk management, Ibercaja has implemented ESG questionnaires to assess the ESG profile of clients and incorporated decarbonization sheets into systems to monitor the transition plans of those counterparties that operate in sectors with decarbonization objectives.</w:t>
      </w:r>
    </w:p>
    <w:p w14:paraId="45A1F554" w14:textId="77777777" w:rsidR="005C2D56" w:rsidRDefault="00000000">
      <w:r>
        <w:t>In its credit risk monitoring processes, Ibercaja has indicators that monitor the climate transition risk of its productive activities’ portfolio, mortgage portfolio, and real estate development segment.</w:t>
      </w:r>
    </w:p>
    <w:p w14:paraId="714D8270" w14:textId="77777777" w:rsidR="005C2D56" w:rsidRDefault="00000000">
      <w:r>
        <w:t>To limit exposure to sectors with a high climate transition risk, Ibercaja has defined Level I metrics within the Risk Appetite Framework for credit risk and market risk.</w:t>
      </w:r>
    </w:p>
    <w:p w14:paraId="4591E43E" w14:textId="77777777" w:rsidR="005C2D56" w:rsidRDefault="00000000">
      <w:r>
        <w:t>The monitoring and tracking of these metrics are subject to the governance established in the Risk Appetite Framework, with periodic evaluation of the degree of compliance by the Control areas and reporting to the Entity's Senior Management and Governing Bodies.</w:t>
      </w:r>
    </w:p>
    <w:p w14:paraId="08EE0B66" w14:textId="77777777" w:rsidR="005C2D56" w:rsidRDefault="00000000">
      <w:r>
        <w:t>Regarding operational risk management and control, the Entity continuously updates the operational risk map linked to the climate risk map based on the progress made.</w:t>
      </w:r>
    </w:p>
    <w:p w14:paraId="2F37F89C" w14:textId="5EEB2CBC" w:rsidR="005C2D56" w:rsidRDefault="00000000">
      <w:r>
        <w:t>Regarding asset management, the response to the new disclosure obligations for pension plans and investment funds under Regulation 2019/2088 on the disclosure of sustainability-related information stands out, as well as the established decarbonization targets, promoting the implementation of environmental risk measurement and major adverse incident analysis MAAs.</w:t>
      </w:r>
    </w:p>
    <w:p w14:paraId="11494720" w14:textId="77777777" w:rsidR="005C2D56" w:rsidRDefault="00000000">
      <w:r>
        <w:t>For the granting of counterparty risk-related operations to the aforementioned entities, the Economic and Financial Analysis Unit, part of the Financial Area Directorate, and the relevant Governing Bodies will be responsible for managing counterparty risk-related operations for the aforementioned entities in accordance with the limits and procedures established in the Risk Lines Policy.</w:t>
      </w:r>
    </w:p>
    <w:p w14:paraId="433A50EB" w14:textId="77777777" w:rsidR="005C2D56" w:rsidRDefault="00000000">
      <w:r>
        <w:t>Reputational risk management aims to protect one of the Group's main intangible assets, its corporate reputation, by preventing events that could negatively impact its image and the perception of its stakeholders.</w:t>
      </w:r>
    </w:p>
    <w:p w14:paraId="2F3F2D5A" w14:textId="77777777" w:rsidR="005C2D56" w:rsidRDefault="00000000">
      <w:r>
        <w:t>In 2024, the Bank has focused on reputational risk management, reinforcing reputation measurement, monitoring, and reporting, and particularly the prevention of greenwashing risks.</w:t>
      </w:r>
    </w:p>
    <w:p w14:paraId="25BB9157" w14:textId="77777777" w:rsidR="005C2D56" w:rsidRDefault="00000000">
      <w:r>
        <w:t>Within this risk category, the Group controls and assesses regulatory risk or non-compliance the imposition of sanctions, especially if they are publicly disclosed with controls, processes, and procedures aimed at ensuring compliance with applicable regulations, whether internal or external.</w:t>
      </w:r>
    </w:p>
    <w:p w14:paraId="27C38090" w14:textId="77777777" w:rsidR="005C2D56" w:rsidRDefault="00000000">
      <w:r>
        <w:t xml:space="preserve">Furthermore, and as a key control function, to mitigate the risk of potential negative impacts arising from regulatory non-compliance, the Group has a regulatory compliance </w:t>
      </w:r>
      <w:r>
        <w:lastRenderedPageBreak/>
        <w:t>verification function, with supervisory powers in particularly relevant areas such as the prevention of money laundering and terrorist financing, investor protection in the marketing of financial instruments and the provision of investment services , rules of conduct in the field of the Securities Markets, regulations on the reporting of transactions suspected of market abuse, etc.</w:t>
      </w:r>
    </w:p>
    <w:p w14:paraId="1227D282" w14:textId="77777777" w:rsidR="005C2D56" w:rsidRDefault="00000000">
      <w:r>
        <w:t>In the proactive reputation management process for 2024, based on the analysis of the aforementioned Reputational Health and Boost Indicator, the focus has been on two key stakeholders, employees and society.</w:t>
      </w:r>
    </w:p>
    <w:p w14:paraId="1CC36F90" w14:textId="77777777" w:rsidR="005C2D56" w:rsidRDefault="00000000">
      <w:r>
        <w:t>Among the employee stakeholder group, knowledge of intangible assets has been strengthened with the help of Corporate Excellence, a strategic partner in reputation and reputational risk management.</w:t>
      </w:r>
    </w:p>
    <w:p w14:paraId="109BB2D8" w14:textId="77777777" w:rsidR="005C2D56" w:rsidRDefault="00000000">
      <w:r>
        <w:t>It also includes the objectives achieved with the commitments voluntarily made to the 2030 Agenda, the Global Compact, the Principles for Responsible Banking, and the Net Zero Banking Alliance, among others.</w:t>
      </w:r>
    </w:p>
    <w:p w14:paraId="4028BF8B" w14:textId="77777777" w:rsidR="005C2D56" w:rsidRDefault="00000000">
      <w:r>
        <w:t>Thus, the Group continues to make progress in strengthening its image and improving its reputation, fostering a culture of reputational risk management and through the transparent disclosure of its commitment to stakeholders.</w:t>
      </w:r>
    </w:p>
    <w:p w14:paraId="7648FE60" w14:textId="77777777" w:rsidR="005C2D56" w:rsidRDefault="00000000">
      <w:r>
        <w:t>Thus, the compliance function is independent of the business lines and internal units it controls and has the authority and rank appropriate for the performance of its functions, in accordance with the terms established in the Control Function Statute and the Compliance Function Policy.</w:t>
      </w:r>
    </w:p>
    <w:p w14:paraId="6953A2A2" w14:textId="77777777" w:rsidR="005C2D56" w:rsidRDefault="00000000">
      <w:r>
        <w:t>Based on all of the above, the functions performed by the Regulatory Compliance Directorate in relation to risk control and review, in general, Carry out the internal control powers attributed to the regulatory compliance function in the regulations of credit institutions and entities that provide investment services.</w:t>
      </w:r>
    </w:p>
    <w:p w14:paraId="48930122" w14:textId="77777777" w:rsidR="005C2D56" w:rsidRDefault="00000000">
      <w:r>
        <w:t>Ensure compliance with regulations on matters within its jurisdiction that may affect Ibercaja's business, and whose non-compliance could lead to regulatory sanctions and reputational risks for the Entity.</w:t>
      </w:r>
    </w:p>
    <w:p w14:paraId="4A9F5EDA" w14:textId="34203ED2" w:rsidR="005C2D56" w:rsidRDefault="00000000">
      <w:r>
        <w:t xml:space="preserve">Ensure the correct application of the procedures established in the transparency and customer protection regulations both for banking products and </w:t>
      </w:r>
      <w:proofErr w:type="gramStart"/>
      <w:r>
        <w:t>in the area of</w:t>
      </w:r>
      <w:proofErr w:type="gramEnd"/>
      <w:r>
        <w:t xml:space="preserve"> investment services</w:t>
      </w:r>
      <w:r w:rsidR="00587C5F">
        <w:t>.</w:t>
      </w:r>
    </w:p>
    <w:p w14:paraId="5F06A171" w14:textId="77777777" w:rsidR="005C2D56" w:rsidRDefault="00000000">
      <w:r>
        <w:t>Ensure the proper implementation of procedures related to the Customer Service Department in accordance with the provisions of Order ECO/734/2004, of March 11, on customer service departments and services and the customer ombudsman of financial institutions, and Order ECC/2502/2012, of November 16, which regulates the procedure for filing complaints with the complaints services of the Bank of Spain, the National Securities Market Commission and the General Directorate of Insurance and Pension Funds.</w:t>
      </w:r>
    </w:p>
    <w:p w14:paraId="1C6C5A7F" w14:textId="77777777" w:rsidR="005C2D56" w:rsidRDefault="00000000">
      <w:r>
        <w:lastRenderedPageBreak/>
        <w:t>Conduct, in collaboration with the Customer Service and Legal Department, a systematic evaluation of complaints and the content of adverse supervisory resolutions, with the aim of identifying and correcting their origin and mitigating potential risks of associated regulatory non-compliance.</w:t>
      </w:r>
    </w:p>
    <w:p w14:paraId="03D889F0" w14:textId="5416C7DE" w:rsidR="005C2D56" w:rsidRDefault="00000000">
      <w:r>
        <w:t>Ensure that the development and updating of the Entity's Policies and Manuals comply with current regulations, the guidelines and agreements adopted by the Entity's governing bodies, as well as their consistency and absence of inconsistencies.</w:t>
      </w:r>
    </w:p>
    <w:p w14:paraId="253080D3" w14:textId="77777777" w:rsidR="005C2D56" w:rsidRDefault="00000000">
      <w:r>
        <w:t>Verify, in coordination with the various competent Directorates and Units, the correct identification and compliance with their legal obligations within the scope of their respective competencies, supervising the effective application of the procedures and controls established for this purpose in matters of money laundering prevention, tax matters, consumer and user protection, and the provision of services in the securities market.</w:t>
      </w:r>
    </w:p>
    <w:p w14:paraId="50CAE0D0" w14:textId="4B415B09" w:rsidR="005C2D56" w:rsidRDefault="00000000">
      <w:r>
        <w:t>Specifically, the Regulatory Compliance Directorate has the following specific functions, Functions related to Information and Office Service,</w:t>
      </w:r>
      <w:r w:rsidR="00587C5F">
        <w:t xml:space="preserve"> </w:t>
      </w:r>
      <w:r>
        <w:t>Prepare, in coordination with the Regulatory Unit, instructions and guidelines related to the topics within its jurisdiction, proposing their publication and ensuring their ongoing updating.</w:t>
      </w:r>
    </w:p>
    <w:p w14:paraId="121F7451" w14:textId="48A3C2D0" w:rsidR="005C2D56" w:rsidRDefault="00000000">
      <w:r>
        <w:t>Functions related to Training,</w:t>
      </w:r>
      <w:r w:rsidR="00587C5F">
        <w:t xml:space="preserve"> </w:t>
      </w:r>
      <w:proofErr w:type="gramStart"/>
      <w:r>
        <w:t>Collaborate</w:t>
      </w:r>
      <w:proofErr w:type="gramEnd"/>
      <w:r>
        <w:t xml:space="preserve"> with the People Department in developing and defining the content of training programs for directors and employees in the areas of regulatory compliance in the securities market, prevention of money laundering, and terrorist financing.</w:t>
      </w:r>
    </w:p>
    <w:p w14:paraId="5BBDF85A" w14:textId="77777777" w:rsidR="005C2D56" w:rsidRDefault="00000000">
      <w:r>
        <w:t>Prepare and periodically monitor the effective implementation of the Regulatory Compliance Program approved by the Entity's governing bodies.</w:t>
      </w:r>
    </w:p>
    <w:p w14:paraId="21ED85FD" w14:textId="77777777" w:rsidR="005C2D56" w:rsidRDefault="00000000">
      <w:r>
        <w:t>Provide senior management and governing bodies with periodic reports relevant to their area of responsibility, as well as periodic reports on the level of compliance with the Regulatory Compliance Program, assisting them in establishing improvement or update plans where appropriate.</w:t>
      </w:r>
    </w:p>
    <w:p w14:paraId="303A06F7" w14:textId="77777777" w:rsidR="005C2D56" w:rsidRDefault="00000000">
      <w:r>
        <w:t>In relation to the scope of regulatory monitoring, the Regulatory Compliance Directorate has the following functions, Conduct a study and follow-up of regulatory standards particularly the EBA Guidelines or those of any other body or authority with jurisdiction over banking matters and supervisory standards and criteria within the scope of the Entity's internal governance, transparency and standards of conduct in the provision of banking and investment services to clients, as well as risk management and control.</w:t>
      </w:r>
    </w:p>
    <w:p w14:paraId="3D29F338" w14:textId="77777777" w:rsidR="005C2D56" w:rsidRDefault="00000000">
      <w:r>
        <w:t>Ensure that the Regulatory Programs Unit, under the Directorate of Organization and Operations, together with the relevant Area Directorates and competent Units, undertakes the necessary projects and actions to adapt to the new applicable provisions in the aforementioned areas, based on the impact map and the corresponding GAP analysis conducted by these Directorates.</w:t>
      </w:r>
    </w:p>
    <w:p w14:paraId="0D647BBF" w14:textId="77777777" w:rsidR="005C2D56" w:rsidRDefault="00000000">
      <w:r>
        <w:lastRenderedPageBreak/>
        <w:t>Periodically inform the Steering Committee and the Audit and Compliance Committee of the monitoring of the adaptation projects to the most relevant new regulatory provisions for the Entity within the scope of its powers.</w:t>
      </w:r>
    </w:p>
    <w:p w14:paraId="62EBFE0A" w14:textId="77777777" w:rsidR="005C2D56" w:rsidRDefault="00000000">
      <w:r>
        <w:t>Its responsibilities related to risk management and control include the following, Establish and oversee the Company's and Group's risk information and control systems, following a report from the Major Risks and Solvency Committee.</w:t>
      </w:r>
    </w:p>
    <w:p w14:paraId="127DB38E" w14:textId="77777777" w:rsidR="005C2D56" w:rsidRDefault="00000000">
      <w:r>
        <w:t>In this regard, the Major Risks and Solvency Committee has informed the Board of Directors that the Ibercaja Banco Group's Risk Appetite Framework and Risk Appetite Statement are consistent with the Ibercaja Banco Group's other policies and strategic frameworks.</w:t>
      </w:r>
    </w:p>
    <w:p w14:paraId="7B5E13F7" w14:textId="77777777" w:rsidR="005C2D56" w:rsidRDefault="00000000">
      <w:r>
        <w:t>The general functions of the Internal Audit area in the area of risk are as follows, Propose, through the Audit and Compliance Committee, for approval by the Board of Directors, the Internal Audit Statute of the Ibercaja Group.</w:t>
      </w:r>
    </w:p>
    <w:p w14:paraId="6330F293" w14:textId="77777777" w:rsidR="005C2D56" w:rsidRDefault="00000000">
      <w:r>
        <w:t>Coordinate the development and review of the Internal Audit Procedures Manual and the Internal Model Audit Framework, submitting both documents to the Governing Bodies for approval.</w:t>
      </w:r>
    </w:p>
    <w:p w14:paraId="67D6D761" w14:textId="77777777" w:rsidR="005C2D56" w:rsidRDefault="00000000">
      <w:r>
        <w:t>Plan, coordinate, and develop the Strategic Plan and the Annual Operating Plan of the Internal Audit Department.</w:t>
      </w:r>
    </w:p>
    <w:p w14:paraId="3811863F" w14:textId="77777777" w:rsidR="005C2D56" w:rsidRDefault="00000000">
      <w:r>
        <w:t>Ensure the quality of the methodologies, actions, and reports of the Internal Audit functions.</w:t>
      </w:r>
    </w:p>
    <w:p w14:paraId="1357E8D8" w14:textId="77777777" w:rsidR="005C2D56" w:rsidRDefault="00000000">
      <w:r>
        <w:t>Continuously assess the adequacy and proper functioning of the governance framework, internal control information systems, and risk management systems inherent to the activities of the Entity or its Group, proposing, with a preventive approach, recommendations for improvement.</w:t>
      </w:r>
    </w:p>
    <w:p w14:paraId="2E8C64A9" w14:textId="77777777" w:rsidR="005C2D56" w:rsidRDefault="00000000">
      <w:r>
        <w:t>Report to the CEO, Senior Management, and the Internal Audit Committee on the main conclusions and recommendations resulting from the internal audits conducted, as well as the degree of implementation of these recommendations.</w:t>
      </w:r>
    </w:p>
    <w:p w14:paraId="5AFE7817" w14:textId="77777777" w:rsidR="005C2D56" w:rsidRDefault="00000000">
      <w:r>
        <w:t>In accordance with its reporting authority, periodically report to the Board of Directors, through its Audit and Compliance Committee, on the results of the audit work carried out by Internal Audit and the degree of implementation of the recommendations.</w:t>
      </w:r>
    </w:p>
    <w:p w14:paraId="6F51FC3E" w14:textId="32BBE087" w:rsidR="005C2D56" w:rsidRDefault="00000000">
      <w:r>
        <w:t>Functions related to the protection of technological and informational assets,</w:t>
      </w:r>
      <w:r w:rsidR="00587C5F">
        <w:t xml:space="preserve"> </w:t>
      </w:r>
      <w:r>
        <w:t>Coordinate the development and review of the Internal Audit Procedures Manual and the Internal Model Audit Framework, submitting both documents to the Governing Bodies for approval.</w:t>
      </w:r>
    </w:p>
    <w:p w14:paraId="3746DA53" w14:textId="77777777" w:rsidR="005C2D56" w:rsidRDefault="00000000">
      <w:r>
        <w:t>Collaborate in the supervision and/or execution of remediation plans determined within the Data Governance framework.</w:t>
      </w:r>
    </w:p>
    <w:p w14:paraId="3432691C" w14:textId="05E05860" w:rsidR="005C2D56" w:rsidRDefault="00000000">
      <w:r>
        <w:t>Functions related to operational risk</w:t>
      </w:r>
      <w:r w:rsidR="00587C5F">
        <w:t xml:space="preserve"> </w:t>
      </w:r>
      <w:r>
        <w:t xml:space="preserve">Manage the Operational Risk implicit in the Area's functions, identifying and assessing the potential operational risks associated with them, </w:t>
      </w:r>
      <w:r>
        <w:lastRenderedPageBreak/>
        <w:t>promoting continuous improvement systems and complying with the Operational Risk Management Framework.</w:t>
      </w:r>
    </w:p>
    <w:p w14:paraId="0CF7318A" w14:textId="77777777" w:rsidR="005C2D56" w:rsidRDefault="00000000">
      <w:r>
        <w:t>In this way, each area Director is aware of the current situation of the relevant risks and channels this information to the corresponding units and risk takers, thus facilitating the integration of the Risk Appetite Framework into the Entity's risk culture.</w:t>
      </w:r>
    </w:p>
    <w:p w14:paraId="023430DC" w14:textId="77777777" w:rsidR="005C2D56" w:rsidRDefault="00000000">
      <w:r>
        <w:t>Operational limits, Risk management and control limits required to ensure compliance with the risk appetite defined by the Group.</w:t>
      </w:r>
    </w:p>
    <w:p w14:paraId="27432477" w14:textId="77777777" w:rsidR="005C2D56" w:rsidRDefault="00000000">
      <w:r>
        <w:t>The operating limits are developed in the corresponding risk management policies and procedures manuals.</w:t>
      </w:r>
    </w:p>
    <w:p w14:paraId="55DABA14" w14:textId="77777777" w:rsidR="005C2D56" w:rsidRDefault="00000000">
      <w:r>
        <w:t>The Board of Directors is responsible for authorizing risks that fall outside the scope of the operating circuit.</w:t>
      </w:r>
    </w:p>
    <w:p w14:paraId="432181BC" w14:textId="77777777" w:rsidR="005C2D56" w:rsidRDefault="00000000">
      <w:r>
        <w:t>Refinancing and restructuring The Group's credit risk management policies and procedures ensure detailed monitoring of borrowers, highlighting the need to make provisions when signs of deterioration in their solvency are evident.</w:t>
      </w:r>
    </w:p>
    <w:p w14:paraId="777AD56C" w14:textId="77777777" w:rsidR="005C2D56" w:rsidRDefault="00000000">
      <w:r>
        <w:t>As a result of this study, the Group has selected the following portfolios for the development of internal methodologies, Acquisition of housing, Credit cards, and Companies.</w:t>
      </w:r>
    </w:p>
    <w:p w14:paraId="3E5A7F0E" w14:textId="77777777" w:rsidR="005C2D56" w:rsidRDefault="00000000">
      <w:r>
        <w:t>Furthermore, the Entity complies with the transparency and reporting requirements for information repositories for derivatives transactions, repurchase agreements, and securities lending established in the EMIR and SFTR Regulations, respectively.</w:t>
      </w:r>
    </w:p>
    <w:p w14:paraId="30C90870" w14:textId="77777777" w:rsidR="005C2D56" w:rsidRDefault="00000000">
      <w:r>
        <w:t>The following is a breakdown of counterparty risk exposure information as of December 31, 2024, according to the applicable method and counterparty risk exposures subject to the standard approach by regulatory exposure categories and risk weightings.</w:t>
      </w:r>
    </w:p>
    <w:p w14:paraId="2B558E0D" w14:textId="06397992" w:rsidR="005C2D56" w:rsidRDefault="00000000">
      <w:r>
        <w:t xml:space="preserve">Likewise, the Directorate of Financial Markets </w:t>
      </w:r>
      <w:proofErr w:type="gramStart"/>
      <w:r>
        <w:t>takes into account</w:t>
      </w:r>
      <w:proofErr w:type="gramEnd"/>
      <w:r>
        <w:t xml:space="preserve"> the provisions of Chapter 2 of Regulation n</w:t>
      </w:r>
      <w:r w:rsidR="00587C5F">
        <w:t>o</w:t>
      </w:r>
      <w:r>
        <w:t xml:space="preserve"> 2017/2042, which requires Ibercaja, as the originator of a securitisation transaction, to communicate to investors the level of its commitment to maintain a net economic interest in the securitisation, in accordance with Article 5 of the </w:t>
      </w:r>
      <w:proofErr w:type="gramStart"/>
      <w:r>
        <w:t>aforementioned Regulation</w:t>
      </w:r>
      <w:proofErr w:type="gramEnd"/>
      <w:r>
        <w:t>.</w:t>
      </w:r>
    </w:p>
    <w:p w14:paraId="0C3748A4" w14:textId="77777777" w:rsidR="005C2D56" w:rsidRDefault="00000000">
      <w:r>
        <w:t>The application of these market risk management policies, together with the established control environment, seeks to maintain market risk levels that ensure a medium-low risk profile, in accordance with the provisions of the Entity's Risk Appetite Statement.</w:t>
      </w:r>
    </w:p>
    <w:p w14:paraId="3FEA6CBB" w14:textId="393AD10A" w:rsidR="005C2D56" w:rsidRDefault="00000000">
      <w:r>
        <w:t>In compliance with Regulation n</w:t>
      </w:r>
      <w:r w:rsidR="00587C5F">
        <w:t>o</w:t>
      </w:r>
      <w:r>
        <w:t xml:space="preserve"> 575/2013 Article 318, the Entity has developed and documented the specific policies and criteria to integrate the relevant indicator of its business lines and activities within the framework of the standard method.</w:t>
      </w:r>
    </w:p>
    <w:p w14:paraId="1F5A21C5" w14:textId="77777777" w:rsidR="005C2D56" w:rsidRDefault="00000000">
      <w:r>
        <w:t xml:space="preserve">Thus, to achieve compliance with the management objectives for this risk, the Entity must, among other things, identify its exposure to operational risk and record data on losses </w:t>
      </w:r>
      <w:r>
        <w:lastRenderedPageBreak/>
        <w:t>arising from this type of risk, also identifying the type of loss event according to the categories established by the Regulation.</w:t>
      </w:r>
    </w:p>
    <w:p w14:paraId="5FCE4241" w14:textId="77777777" w:rsidR="005C2D56" w:rsidRDefault="00000000">
      <w:r>
        <w:t>These subcategories include, among others, the following risks, Conduct Risk Risk of ICT Model Risk Additionally, and linked to the scope of the Entity's Sustainability and ESG Risk Management Policies, the Operational Risk area includes those aspects associated with said area.</w:t>
      </w:r>
    </w:p>
    <w:p w14:paraId="06D0A097" w14:textId="77777777" w:rsidR="005C2D56" w:rsidRDefault="00000000">
      <w:r>
        <w:t>To this end, and in addition to the regulatory ratios, the Entity has defined First-Level Metrics that allow it to control the financing structure of its retail activity, maintain a comfortable liquidity position, and maintain adequate dependence on wholesale markets.</w:t>
      </w:r>
    </w:p>
    <w:p w14:paraId="0CAD86B1" w14:textId="127EBF0D" w:rsidR="005C2D56" w:rsidRDefault="00000000">
      <w:r>
        <w:t>In this regard, the European Banking Authority has developed Guidelines on the disclosure of information on encumbered and unencumbered assets in compliance with the mandate set out in Regulation n</w:t>
      </w:r>
      <w:r w:rsidR="00587C5F">
        <w:t>o</w:t>
      </w:r>
      <w:r>
        <w:t xml:space="preserve"> 575/2013 on Capital Requirements.</w:t>
      </w:r>
    </w:p>
    <w:p w14:paraId="7814F2DD" w14:textId="77777777" w:rsidR="005C2D56" w:rsidRDefault="00000000">
      <w:r>
        <w:t>These measurements are compared with the thresholds of the risk appetite framework, so that if noncompliance is detected, the Entity would anticipate taking the necessary remedial measures well in advance, even in the event of a crisis.</w:t>
      </w:r>
    </w:p>
    <w:p w14:paraId="56B5FBD3" w14:textId="77777777" w:rsidR="005C2D56" w:rsidRDefault="00000000">
      <w:r>
        <w:t>ESG Risks This section covers the disclosure requirements for information on environmental, social and governance risks – Qualitative information on environmental risk.</w:t>
      </w:r>
    </w:p>
    <w:p w14:paraId="1E8AAAF1" w14:textId="77777777" w:rsidR="005C2D56" w:rsidRDefault="00000000">
      <w:r>
        <w:t>This section summarizes Ibercaja's strategy and business processes, governance, and risk management to address ESG risks.</w:t>
      </w:r>
    </w:p>
    <w:p w14:paraId="48CC987F" w14:textId="77777777" w:rsidR="005C2D56" w:rsidRDefault="00000000">
      <w:r>
        <w:t>Ibercaja, aware of its role in the transition toward a sustainable economy, considers the impact of its activities on the environment and society in its strategy and embraces the challenge of ensuring that its business objectives drive sustainable development, preserving natural resources, and promoting a more just and inclusive society.</w:t>
      </w:r>
    </w:p>
    <w:p w14:paraId="6C031BC6" w14:textId="77777777" w:rsidR="005C2D56" w:rsidRDefault="00000000">
      <w:r>
        <w:t>Ibercaja has been a signatory to the United Nations Global Compact Principles since 2006 and is firmly committed to conducting its business responsibly, respecting and promoting human rights as a fundamental part of its strategy.</w:t>
      </w:r>
    </w:p>
    <w:p w14:paraId="4E4D5A63" w14:textId="77777777" w:rsidR="005C2D56" w:rsidRDefault="00000000">
      <w:r>
        <w:t>The defense of human rights is a key principle of action reflected in both its Sustainability Policy and its Code of Ethics.</w:t>
      </w:r>
    </w:p>
    <w:p w14:paraId="0891718B" w14:textId="77777777" w:rsidR="005C2D56" w:rsidRDefault="00000000">
      <w:r>
        <w:t>By signing these Principles and through its Sustainability Policy, Ibercaja maintains its commitment to aligning its commercial strategy with long-term objectives that enable economic growth and contribute to addressing social and environmental challenges, identifying its greatest potential contribution.</w:t>
      </w:r>
    </w:p>
    <w:p w14:paraId="4EBD9259" w14:textId="77777777" w:rsidR="005C2D56" w:rsidRDefault="00000000">
      <w:r>
        <w:t xml:space="preserve">It also seeks to demonstrate and formalize the Group's commitment to sustainable development and value creation through its activities, establishing a global sustainability </w:t>
      </w:r>
      <w:r>
        <w:lastRenderedPageBreak/>
        <w:t>framework that reflects the commitments voluntarily assumed with its stakeholders to promote sustainable, inclusive, and environmentally friendly growth.</w:t>
      </w:r>
    </w:p>
    <w:p w14:paraId="59A44AA7" w14:textId="77777777" w:rsidR="005C2D56" w:rsidRDefault="00000000">
      <w:r>
        <w:t>The Policy also emphasizes active listening and dialogue with stakeholders, utilizing multiple two-way communication channels.</w:t>
      </w:r>
    </w:p>
    <w:p w14:paraId="0ED0DF35" w14:textId="77777777" w:rsidR="005C2D56" w:rsidRDefault="00000000">
      <w:r>
        <w:t>With this adhesion, it took a step forward in the clear, consistent, and standardized disclosure of the impacts of the risks and opportunities of climate change on its business and the implications for Ibercaja's strategy.</w:t>
      </w:r>
    </w:p>
    <w:p w14:paraId="7E0FB55D" w14:textId="77777777" w:rsidR="005C2D56" w:rsidRDefault="00000000">
      <w:r>
        <w:t>As a demonstration of the Group's commitment to sustainable investment, since 2021 Ibercaja Gestión has subscribed to the United Nations Principles for Socially Responsible Investment , to which Ibercaja Pensión had already adhered in 2011, having a Socially Responsible Investment Policy published on its website.</w:t>
      </w:r>
    </w:p>
    <w:p w14:paraId="3BADAB12" w14:textId="77777777" w:rsidR="005C2D56" w:rsidRDefault="00000000">
      <w:r>
        <w:t>Additionally, with the aim of contributing to the Group's Net Zero strategy, Ibercaja Gestión and Ibercaja Pensión joined the Net Zero Asset Managers initiative in 2021, an initiative promoted by the Asia Investor Group on Climate Change , CDP, Ceres, Investor Group on Climate Change , Institutional Investors Group on Climate Change and Principles for Responsible Investment , with the commitment to achieve CO2 emissions neutrality for themselves and their portfolios by 2050 at the latest.</w:t>
      </w:r>
    </w:p>
    <w:p w14:paraId="108895CD" w14:textId="77777777" w:rsidR="005C2D56" w:rsidRDefault="00000000">
      <w:r>
        <w:t>For the development of the Double Materiality Analysis, 10 topics and 48 subtopics have been analyzed through 132 IROs Impacts, Risks and Opportunities from the perspective of, Impact materiality, measuring current or potential, positive or negative, impacts of the Entity's activities on the environment.</w:t>
      </w:r>
    </w:p>
    <w:p w14:paraId="62E79F27" w14:textId="4C6D20B8" w:rsidR="005C2D56" w:rsidRDefault="00000000">
      <w:r>
        <w:t>The results of the analysis are aligned with the Bank's strategy and are reflected in the following matrix,</w:t>
      </w:r>
      <w:r w:rsidR="00587C5F">
        <w:t xml:space="preserve"> </w:t>
      </w:r>
      <w:r>
        <w:t>Climate change, climate change mitigation and adaptation, energy efficiency, and sustainable consumption and finance.</w:t>
      </w:r>
    </w:p>
    <w:p w14:paraId="6AD19885" w14:textId="38B8F5B2" w:rsidR="005C2D56" w:rsidRDefault="00000000">
      <w:r>
        <w:t>Objectives of the Strategic Plan 2024-2026 The initiative has defined a series of challenges that will ensure compliance with the objectives established for the next three years of the Strategic Plan, Challenge 1, Integration of ESG factors into risk management.</w:t>
      </w:r>
    </w:p>
    <w:p w14:paraId="05D5221A" w14:textId="77777777" w:rsidR="005C2D56" w:rsidRDefault="00000000">
      <w:r>
        <w:t>Among other topics, the entity is strengthening the RAF and ICAAP, integration into prudential risk management, the inclusion of ESG risks in the Business Plan, and scenario analysis and stress testing.</w:t>
      </w:r>
    </w:p>
    <w:p w14:paraId="5C89F59E" w14:textId="77777777" w:rsidR="005C2D56" w:rsidRDefault="00000000">
      <w:r>
        <w:t>The Entity is promoting a sustainable business strategy, identifying business opportunities linked to sustainability, responding with products and services investment and financing to support clients in the decarbonization process, and strengthening the Entity's social commitment to clients and society.</w:t>
      </w:r>
    </w:p>
    <w:p w14:paraId="33A094C0" w14:textId="77777777" w:rsidR="005C2D56" w:rsidRDefault="00000000">
      <w:r>
        <w:t>These include governance, risk measurement and management, ESG business model, ESG reporting, and regulatory requirements.</w:t>
      </w:r>
    </w:p>
    <w:p w14:paraId="3277683C" w14:textId="77777777" w:rsidR="005C2D56" w:rsidRDefault="00000000">
      <w:r>
        <w:lastRenderedPageBreak/>
        <w:t>Finally, progress is being made on a governance model for internal sustainability reporting.</w:t>
      </w:r>
    </w:p>
    <w:p w14:paraId="29E6A183" w14:textId="77777777" w:rsidR="005C2D56" w:rsidRDefault="00000000">
      <w:r>
        <w:t>The main areas where progress has been made are internal measurement and reporting, the systematization of reputational risk management through the approved Policy and Manual, and internal awareness of the value of reputation.</w:t>
      </w:r>
    </w:p>
    <w:p w14:paraId="0FCEDEA8" w14:textId="77777777" w:rsidR="005C2D56" w:rsidRDefault="00000000">
      <w:r>
        <w:t>This initiative is sponsored by the Steering Committee, with the aim of integrating sustainability across the Group's strategy.</w:t>
      </w:r>
    </w:p>
    <w:p w14:paraId="0E409220" w14:textId="77777777" w:rsidR="005C2D56" w:rsidRDefault="00000000">
      <w:r>
        <w:t>Therefore, the climate and environmental C&amp;E risk management strategy developed by Ibercaja is the same as that applied to other prudential risks.</w:t>
      </w:r>
    </w:p>
    <w:p w14:paraId="5E3286DA" w14:textId="77777777" w:rsidR="005C2D56" w:rsidRDefault="00000000">
      <w:r>
        <w:t>All material risks have a control environment, considering risk governance, management, control, and audit.</w:t>
      </w:r>
    </w:p>
    <w:p w14:paraId="536C3FFF" w14:textId="77777777" w:rsidR="005C2D56" w:rsidRDefault="00000000">
      <w:r>
        <w:t>As a result of the Dual Materiality Analysis and in response to its commitment to align its business strategy with the European Central Bank's C&amp;E Risk Expectations and the BPRs, Ibercaja has analyzed the environment in which the Bank operates from a climate perspective.</w:t>
      </w:r>
    </w:p>
    <w:p w14:paraId="7ADFFB91" w14:textId="77777777" w:rsidR="005C2D56" w:rsidRDefault="00000000">
      <w:r>
        <w:t>This analysis takes into account the five macrotrends proposed by the EBA macroeconomic variables, competitive environment, regulatory trends, technological trends, and sociodemographic trends to define the climate events to be analyzed and evaluates them within a framework that considers, climate risks and their transmission channels.</w:t>
      </w:r>
    </w:p>
    <w:p w14:paraId="7DC2D306" w14:textId="77777777" w:rsidR="005C2D56" w:rsidRDefault="00000000">
      <w:r>
        <w:t>In this analysis, physical and transition climate risks are examined, assessing the predisposition of the prioritized segments in Ibercaja's credit portfolio to be affected by climate events, and the impact of environmental risks has begun to be assessed, identifying those sectors with the greatest dependencies and impacts on natural resources through the tool developed by ENCORE1.</w:t>
      </w:r>
    </w:p>
    <w:p w14:paraId="362675DB" w14:textId="77777777" w:rsidR="005C2D56" w:rsidRDefault="00000000">
      <w:r>
        <w:t>Likewise, as part of this impact analysis, Ibercaja conducted an in-depth study of the main areas of social impact most relevant to its client portfolio to try to minimize the financial difficulties faced by the most vulnerable groups.</w:t>
      </w:r>
    </w:p>
    <w:p w14:paraId="7C8422F4" w14:textId="77777777" w:rsidR="005C2D56" w:rsidRDefault="00000000">
      <w:r>
        <w:t>Decarbonization goals In response to the analysis of the impacts of climate factors, and as a founding member of the Net Zero Banking Alliance , Ibercaja seeks to achieve net-zero emissions for itself and its portfolio by 2050.</w:t>
      </w:r>
    </w:p>
    <w:p w14:paraId="743DE705" w14:textId="77777777" w:rsidR="005C2D56" w:rsidRDefault="00000000">
      <w:r>
        <w:t>Therefore, it has published intermediate decarbonization targets for all its material portfolios by 2024.</w:t>
      </w:r>
    </w:p>
    <w:p w14:paraId="05D498BD" w14:textId="3908BF8F" w:rsidR="005C2D56" w:rsidRDefault="00000000">
      <w:r>
        <w:t>These four sectors, with the agricultural sector and the phase out in coal mining are the sectors considered material after studying Ibercaja's exposure in the emissions-intensive part of the sectors defined by the NZBA as the most polluting.</w:t>
      </w:r>
    </w:p>
    <w:p w14:paraId="47F4501E" w14:textId="77777777" w:rsidR="005C2D56" w:rsidRDefault="00000000">
      <w:r>
        <w:lastRenderedPageBreak/>
        <w:t>Exceptions will be those clients who have a diversification or decarbonization strategy, in line with the provisions of the Paris Agreement and can demonstrate progress in it.</w:t>
      </w:r>
    </w:p>
    <w:p w14:paraId="02B2775A" w14:textId="77777777" w:rsidR="005C2D56" w:rsidRDefault="00000000">
      <w:r>
        <w:t>The achievement of these goals involves the collaboration of various Ibercaja Departments such as the Sustainability and Reputation Department, the Credit Risk Department, the Retail Business Department and the Corporate Banking Department, among others.</w:t>
      </w:r>
    </w:p>
    <w:p w14:paraId="1399731E" w14:textId="77777777" w:rsidR="005C2D56" w:rsidRDefault="00000000">
      <w:r>
        <w:t>To achieve the intermediate decarbonization objectives, the Entity has defined a Transition Plan following the guidelines and recommendations for financial institutions published by the Glasgow Financial Alliance for Net Zero 4.</w:t>
      </w:r>
    </w:p>
    <w:p w14:paraId="00E1FAF4" w14:textId="77777777" w:rsidR="005C2D56" w:rsidRDefault="00000000">
      <w:r>
        <w:t>However, Ibercaja is committed to maintaining decarbonization targets linked to scenarios aligned with compliance with the Paris Agreement.</w:t>
      </w:r>
    </w:p>
    <w:p w14:paraId="78651DD5" w14:textId="77777777" w:rsidR="005C2D56" w:rsidRDefault="00000000">
      <w:r>
        <w:t>Additionally, the Bank monitors the increase in actual data related to its customers' decarbonization parameters.</w:t>
      </w:r>
    </w:p>
    <w:p w14:paraId="5A366140" w14:textId="77777777" w:rsidR="005C2D56" w:rsidRDefault="00000000">
      <w:r>
        <w:t>ESG Exclusions Policy and Questionnaires The decarbonization strategy is complemented by the measures the Entity is implementing to reduce or mitigate its exposure to ESG risks.</w:t>
      </w:r>
    </w:p>
    <w:p w14:paraId="733DB6A1" w14:textId="77777777" w:rsidR="005C2D56" w:rsidRDefault="00000000">
      <w:r>
        <w:t>Thus, Ibercaja has different policies, codes of conduct and internal regulations that seek to accompany customers to achieve sustainable development and thus neutralize and set limits on their environmental, social, and governance risks.</w:t>
      </w:r>
    </w:p>
    <w:p w14:paraId="21942B49" w14:textId="77777777" w:rsidR="005C2D56" w:rsidRDefault="00000000">
      <w:r>
        <w:t>Among these, Ibercaja has an Ibercaja Group ESG Exclusion Policy, applicable to financing and investment, with the aim of avoiding or controlling risks that may arise from certain activities that are controversial due to their environmental, social, ethical, or reputational risks.</w:t>
      </w:r>
    </w:p>
    <w:p w14:paraId="4C4D5F78" w14:textId="77777777" w:rsidR="005C2D56" w:rsidRDefault="00000000">
      <w:r>
        <w:t>Relationship with suppliers Furthermore, with the aim of promoting good governance principles throughout its value chain, Ibercaja has a Supplier Code of Conduct, which expresses its principles of responsible management, focusing on social aspects.</w:t>
      </w:r>
    </w:p>
    <w:p w14:paraId="4F54512A" w14:textId="77777777" w:rsidR="005C2D56" w:rsidRDefault="00000000">
      <w:r>
        <w:t>Interaction and dialogue are key aspects for fostering a stable and enriching relationship with its suppliers, based on ethics, transparency, and compliance with agreed commitments.</w:t>
      </w:r>
    </w:p>
    <w:p w14:paraId="70BA988A" w14:textId="77777777" w:rsidR="005C2D56" w:rsidRDefault="00000000">
      <w:r>
        <w:t>In the bidding and award process, certifications that promote environmental protection, social protection, employee protection, and good governance are positively valued, both qualitatively and quantitatively.</w:t>
      </w:r>
    </w:p>
    <w:p w14:paraId="417ACFA2" w14:textId="77777777" w:rsidR="005C2D56" w:rsidRDefault="00000000">
      <w:r>
        <w:t>The organization has implemented rigorous compliance policies and procedures to ensure that all its operations are carried out transparently and in accordance with current regulations, thus reaffirming its commitment to social responsibility and respect for human rights.</w:t>
      </w:r>
    </w:p>
    <w:p w14:paraId="1F7C4A1A" w14:textId="38FBA5D8" w:rsidR="005C2D56" w:rsidRDefault="00000000">
      <w:r>
        <w:lastRenderedPageBreak/>
        <w:t xml:space="preserve">For consumer loans, the purpose </w:t>
      </w:r>
      <w:proofErr w:type="gramStart"/>
      <w:r>
        <w:t xml:space="preserve">of </w:t>
      </w:r>
      <w:r w:rsidR="00587C5F">
        <w:t xml:space="preserve"> </w:t>
      </w:r>
      <w:r>
        <w:t>Home</w:t>
      </w:r>
      <w:proofErr w:type="gramEnd"/>
      <w:r>
        <w:t xml:space="preserve"> improvements and construction to increase energy </w:t>
      </w:r>
      <w:proofErr w:type="gramStart"/>
      <w:r>
        <w:t>efficiency</w:t>
      </w:r>
      <w:r w:rsidR="00587C5F">
        <w:t xml:space="preserve"> </w:t>
      </w:r>
      <w:r>
        <w:t xml:space="preserve"> has</w:t>
      </w:r>
      <w:proofErr w:type="gramEnd"/>
      <w:r>
        <w:t xml:space="preserve"> been defined to finance goods and services aligned with the EU Taxonomy.</w:t>
      </w:r>
    </w:p>
    <w:p w14:paraId="7E338F86" w14:textId="77777777" w:rsidR="005C2D56" w:rsidRDefault="00000000">
      <w:r>
        <w:t>Regarding productive activities, new objectives have been incorporated, both in the +Sustainable Loan and in Sustainable Leasing, which allow for the identification of projects that contribute to sustainable objectives, based on one of the six environmental objectives established in the EU Taxonomy Regulation, and improve their classification, supporting companies in their decarbonization.</w:t>
      </w:r>
    </w:p>
    <w:p w14:paraId="1B15FDD8" w14:textId="77777777" w:rsidR="005C2D56" w:rsidRDefault="00000000">
      <w:r>
        <w:t>Syndicated financing aimed at climate change mitigation and adaptation projects or that has key performance indicators KPIs related to climate change mitigation objectives.</w:t>
      </w:r>
    </w:p>
    <w:p w14:paraId="35B80C2E" w14:textId="77777777" w:rsidR="005C2D56" w:rsidRDefault="00000000">
      <w:r>
        <w:t>In the social sphere, in line with Ibercaja's long-standing commitment to creating value and positively impacting society, Ibercaja continues to focus on the senior segment.</w:t>
      </w:r>
    </w:p>
    <w:p w14:paraId="70B809D7" w14:textId="77777777" w:rsidR="005C2D56" w:rsidRDefault="00000000">
      <w:r>
        <w:t>Likewise, in its commitment to supporting the young segment, Ibercaja adheres to the Code of Mortgage Good Practices to support the most vulnerable mortgage customers and offers products such as the Youth Loan and the Postgraduate Master's Training Loan to support young people with their educational investment needs.</w:t>
      </w:r>
    </w:p>
    <w:p w14:paraId="5F5E61BC" w14:textId="77777777" w:rsidR="005C2D56" w:rsidRDefault="00000000">
      <w:r>
        <w:t>This tool was developed within the framework of the first Financial Sandbox promoted by the Treasury and the General Directorate of Insurance and Pension Funds of the Ministry of Economy, Trade, and Business, and on which the institution has been working for more than two years.</w:t>
      </w:r>
    </w:p>
    <w:p w14:paraId="42D8410A" w14:textId="50985CD1" w:rsidR="005C2D56" w:rsidRDefault="00000000">
      <w:r>
        <w:t>In conclusion, in line with its Corporate Purpose Helping people build their life story, because it will be our story,</w:t>
      </w:r>
      <w:r w:rsidR="00587C5F">
        <w:t xml:space="preserve"> </w:t>
      </w:r>
      <w:proofErr w:type="spellStart"/>
      <w:r>
        <w:t>Ibercaja</w:t>
      </w:r>
      <w:proofErr w:type="spellEnd"/>
      <w:r>
        <w:t xml:space="preserve"> is working to adapt its product and service offering to its customers' needs, promoting sustainable business models and practices, raising customer awareness about their necessary transition toward decarbonization, identifying their preferences, and mitigating the ESG risks to which they may be exposed.</w:t>
      </w:r>
    </w:p>
    <w:p w14:paraId="7D43EB01" w14:textId="77777777" w:rsidR="005C2D56" w:rsidRDefault="00000000">
      <w:r>
        <w:t>In 2024, Ibercaja continues to focus on self-development by offering training that facilitates the acquisition of cross-disciplinary knowledge and empowers employees to take control of their own development.</w:t>
      </w:r>
    </w:p>
    <w:p w14:paraId="319B856B" w14:textId="77777777" w:rsidR="005C2D56" w:rsidRDefault="00000000">
      <w:r>
        <w:t>At the same time, within the framework of the cross-cutting sustainability initiative, specific sustainability training courses are being developed for the Bank's various units and areas.</w:t>
      </w:r>
    </w:p>
    <w:p w14:paraId="365A1DAF" w14:textId="77777777" w:rsidR="005C2D56" w:rsidRDefault="00000000">
      <w:r>
        <w:t>Thus, in 2024, in addition to the ongoing training modules, general training was provided on the integration of ESG factors into Ibercaja's business and more specific training was provided on sectors with NZBA objectives Electricity Generation and Iron and Steel Production.</w:t>
      </w:r>
    </w:p>
    <w:p w14:paraId="3A3184D0" w14:textId="77777777" w:rsidR="005C2D56" w:rsidRDefault="00000000">
      <w:r>
        <w:t>In this line of collaboration, the Ibercaja Foundation has supported social projects that improve employability, social and labor integration, and cover the basic needs of people at risk of exclusion.</w:t>
      </w:r>
    </w:p>
    <w:p w14:paraId="18C0E8EC" w14:textId="77777777" w:rsidR="005C2D56" w:rsidRDefault="00000000">
      <w:r>
        <w:lastRenderedPageBreak/>
        <w:t>An initiative that seeks to promote projects that promote nature and biodiversity conservation, sustainable territorial development, and public education and awareness through concrete actions that contribute to the fight against climate change.</w:t>
      </w:r>
    </w:p>
    <w:p w14:paraId="3BB4528B" w14:textId="77777777" w:rsidR="005C2D56" w:rsidRDefault="00000000">
      <w:r>
        <w:t>They benefited from the profitability of their savings, invested with sustainability criteria, while also providing all types of support for projects with a high social and environmental impact.</w:t>
      </w:r>
    </w:p>
    <w:p w14:paraId="0FCF69CD" w14:textId="77777777" w:rsidR="005C2D56" w:rsidRDefault="00000000">
      <w:r>
        <w:t>This document establishes the global framework for action on sustainability, containing the commitments voluntarily assumed by Ibercaja with its stakeholders to promote sustainable, inclusive, and environmentally friendly growth with a long-term vision.</w:t>
      </w:r>
    </w:p>
    <w:p w14:paraId="231AA601" w14:textId="77777777" w:rsidR="005C2D56" w:rsidRDefault="00000000">
      <w:r>
        <w:t>Ibercaja Group 203 Pillar 3 Disclosure 2024 The goal is to integrate sustainability across all functional areas to achieve efficient management that meets supervisory expectations.</w:t>
      </w:r>
    </w:p>
    <w:p w14:paraId="505F479C" w14:textId="77777777" w:rsidR="005C2D56" w:rsidRDefault="00000000">
      <w:r>
        <w:t>At the management level, all areas of the Bank participate in the implementation of the sustainability strategy, which prioritizes supervisory and regulatory requirements and is aligned with the UNEP-FI Principles for Responsible Banking.</w:t>
      </w:r>
    </w:p>
    <w:p w14:paraId="724AFDF1" w14:textId="77777777" w:rsidR="005C2D56" w:rsidRDefault="00000000">
      <w:r>
        <w:t>Cross-functional work at the Group level is essential for the integration and alignment of strategic sustainability objectives.</w:t>
      </w:r>
    </w:p>
    <w:p w14:paraId="41FCF153" w14:textId="476362CB" w:rsidR="005C2D56" w:rsidRDefault="00000000">
      <w:r>
        <w:t xml:space="preserve">Governing and Management Bodies This governance design allows the sustainability strategy to be a comprehensive Group-wide project, with a single roadmap that forms part of the Strategic Plan and is defined in Initiative Sustainability and </w:t>
      </w:r>
      <w:proofErr w:type="gramStart"/>
      <w:r>
        <w:t>Reputation,</w:t>
      </w:r>
      <w:r w:rsidR="00587C5F">
        <w:t xml:space="preserve"> </w:t>
      </w:r>
      <w:r>
        <w:t xml:space="preserve"> to</w:t>
      </w:r>
      <w:proofErr w:type="gramEnd"/>
      <w:r>
        <w:t xml:space="preserve"> address supervisory expectations, normative and regulatory requirements, and voluntarily assumed commitments.</w:t>
      </w:r>
    </w:p>
    <w:p w14:paraId="1FC2D0D9" w14:textId="77777777" w:rsidR="005C2D56" w:rsidRDefault="00000000">
      <w:r>
        <w:t>It is also responsible for approving and reviewing the sustainabilityrelated training and dedication policy for directors, among other matters.</w:t>
      </w:r>
    </w:p>
    <w:p w14:paraId="0FD2EA8E" w14:textId="77777777" w:rsidR="005C2D56" w:rsidRDefault="00000000">
      <w:r>
        <w:t>Thus, in 2022, three new female directors were appointed, one of them an expert in sustainability and ESG risk management.</w:t>
      </w:r>
    </w:p>
    <w:p w14:paraId="297CF545" w14:textId="77777777" w:rsidR="005C2D56" w:rsidRDefault="00000000">
      <w:r>
        <w:t>The Strategy Committee supports the Council's work on sustainability, with a particular role in defining and approving the sustainability strategy and ensuring that a specific organization is in place for its implementation.</w:t>
      </w:r>
    </w:p>
    <w:p w14:paraId="39DA2DEF" w14:textId="77777777" w:rsidR="005C2D56" w:rsidRDefault="00000000">
      <w:r>
        <w:t>The Remuneration Committee oversees sustainability-related issues related to its specific functions, such as the remuneration policy or the incentive system, as these contain specific sustainability-related topics.</w:t>
      </w:r>
    </w:p>
    <w:p w14:paraId="022109D0" w14:textId="77777777" w:rsidR="005C2D56" w:rsidRDefault="00000000">
      <w:r>
        <w:t>The sustainability strategy includes among its priorities the identification, management, and control of environmental, social, and governance risks for their progressive incorporation into the Entity's overall risk framework.</w:t>
      </w:r>
    </w:p>
    <w:p w14:paraId="488217D3" w14:textId="77777777" w:rsidR="005C2D56" w:rsidRDefault="00000000">
      <w:r>
        <w:lastRenderedPageBreak/>
        <w:t>The ESG Risk Governance Policy establishes the governance framework for climate, environmental, social, and governance risks.</w:t>
      </w:r>
    </w:p>
    <w:p w14:paraId="41D8DA63" w14:textId="77777777" w:rsidR="005C2D56" w:rsidRDefault="00000000">
      <w:r>
        <w:t>In line with supervisory expectations, progress has been made in integrating C&amp;E risks into management and control, and as specific frameworks and processes are developed, further progress will be made in assessing and managing social and governance risks.</w:t>
      </w:r>
    </w:p>
    <w:p w14:paraId="373EE58D" w14:textId="77777777" w:rsidR="005C2D56" w:rsidRDefault="00000000">
      <w:r>
        <w:t>ESG risks are thus managed as risk factors integrated into the Entity's prudential risks, Ibercaja Group 206 Pillar 3 Disclosure 2024 The Board of Directors is responsible for approving all ESG risk policies, along with any amendments, and for approving the first-level metrics and thresholds within the Entity's Risk Appetite Framework, following a report from the Major Risks and Solvency Committee.</w:t>
      </w:r>
    </w:p>
    <w:p w14:paraId="02F9270C" w14:textId="77777777" w:rsidR="005C2D56" w:rsidRDefault="00000000">
      <w:r>
        <w:t>It is also responsible for overseeing that ESG risk is integrated into the Entity's prudential risk management and that the disclosure of non-financial information required by current regulations is complied with.</w:t>
      </w:r>
    </w:p>
    <w:p w14:paraId="2B5B9C27" w14:textId="77777777" w:rsidR="005C2D56" w:rsidRDefault="00000000">
      <w:r>
        <w:t>The ESG Risk Governance Policy applies to all entities within the Ibercaja Group, involving all areas that incorporate the principles defined therein into their daily activities.</w:t>
      </w:r>
    </w:p>
    <w:p w14:paraId="74823EC3" w14:textId="77777777" w:rsidR="005C2D56" w:rsidRDefault="00000000">
      <w:r>
        <w:t>Their main functions include ensuring the consistency of each unit's/subsidiary's ESG risk policies, as well as the proper implementation, evaluation, monitoring, and supervision of corporate ESG risk management methodologies.</w:t>
      </w:r>
    </w:p>
    <w:p w14:paraId="43AEB155" w14:textId="77777777" w:rsidR="005C2D56" w:rsidRDefault="00000000">
      <w:r>
        <w:t>Its functions include verifying the adequacy and proper functioning of the governance, internal control, and financial and non-financial risk management systems, including ESG risks.</w:t>
      </w:r>
    </w:p>
    <w:p w14:paraId="1FD5D256" w14:textId="77777777" w:rsidR="005C2D56" w:rsidRDefault="00000000">
      <w:r>
        <w:t>In turn, the Areas responsible for each subject report on progress in integrating ESG factors into risk management and business strategy to the corresponding Committees and Governing Bodies.</w:t>
      </w:r>
    </w:p>
    <w:p w14:paraId="68F2F984" w14:textId="77777777" w:rsidR="005C2D56" w:rsidRDefault="00000000">
      <w:r>
        <w:t>During 2024, the Sustainability and Reputation Committee addressed the following topics related to ESG risks, Follow-up on supervisory feedback on climate risk management, including the approval of the 2024 Action Plan in response to the Horizontal Review on Climate Risks.</w:t>
      </w:r>
    </w:p>
    <w:p w14:paraId="4C5B39B5" w14:textId="77777777" w:rsidR="005C2D56" w:rsidRDefault="00000000">
      <w:r>
        <w:t>Presentation of the new NZBA Decarbonization Targets and monitoring of intensity metrics, as well as the Transition Plan.</w:t>
      </w:r>
    </w:p>
    <w:p w14:paraId="62C1BF26" w14:textId="77777777" w:rsidR="005C2D56" w:rsidRDefault="00000000">
      <w:r>
        <w:t>Approval of the Double Materiality Analysis and structure of the sustainability report for the implementation of the CSRD, methodology and conclusions of the Double Materiality Analysis and disclosure structure of the Sustainability Report to comply with the CSRD directive.</w:t>
      </w:r>
    </w:p>
    <w:p w14:paraId="3DCF124F" w14:textId="77777777" w:rsidR="005C2D56" w:rsidRDefault="00000000">
      <w:r>
        <w:t>Approval of the Reputational Risk Management Policy and Second-Line Opinion Report.</w:t>
      </w:r>
    </w:p>
    <w:p w14:paraId="4BFE440E" w14:textId="0DB82F77" w:rsidR="005C2D56" w:rsidRDefault="00000000">
      <w:r>
        <w:lastRenderedPageBreak/>
        <w:t xml:space="preserve">ESG Dashboard </w:t>
      </w:r>
      <w:proofErr w:type="gramStart"/>
      <w:r>
        <w:t>The</w:t>
      </w:r>
      <w:proofErr w:type="gramEnd"/>
      <w:r>
        <w:t xml:space="preserve"> Entity has developed an ESG Scorecard, approved by the Sustainability and Reputation Committee, to oversee both compliance with the objectives defined in Initiative</w:t>
      </w:r>
      <w:r w:rsidR="00587C5F">
        <w:t xml:space="preserve"> </w:t>
      </w:r>
      <w:r>
        <w:t>Sustainability and Reputation</w:t>
      </w:r>
      <w:r w:rsidR="00587C5F">
        <w:t xml:space="preserve"> </w:t>
      </w:r>
      <w:r>
        <w:t>and to monitor the evolution of the ESG business and the management of ESG risks.</w:t>
      </w:r>
    </w:p>
    <w:p w14:paraId="7485A161" w14:textId="72E8333A" w:rsidR="005C2D56" w:rsidRDefault="00000000">
      <w:r>
        <w:t xml:space="preserve">In the event of deviations or non-compliance, corrective measures must be proposed within the framework of the 2024-26 </w:t>
      </w:r>
      <w:proofErr w:type="spellStart"/>
      <w:r>
        <w:t>Ahora</w:t>
      </w:r>
      <w:proofErr w:type="spellEnd"/>
      <w:r>
        <w:t xml:space="preserve"> </w:t>
      </w:r>
      <w:proofErr w:type="spellStart"/>
      <w:r>
        <w:t>Ibercaja</w:t>
      </w:r>
      <w:proofErr w:type="spellEnd"/>
      <w:r w:rsidR="00587C5F">
        <w:t xml:space="preserve"> </w:t>
      </w:r>
      <w:r>
        <w:t>Plan.</w:t>
      </w:r>
    </w:p>
    <w:p w14:paraId="458CED57" w14:textId="77777777" w:rsidR="005C2D56" w:rsidRDefault="00000000">
      <w:r>
        <w:t>Finally, if the business indicators show an unfavorable trend, the possible factors that may have influenced them are studied and, if necessary, measures and action plans are implemented to strengthen the entity's contribution to sustainable development.</w:t>
      </w:r>
    </w:p>
    <w:p w14:paraId="4A79FA0C" w14:textId="77777777" w:rsidR="005C2D56" w:rsidRDefault="00000000">
      <w:r>
        <w:t>Regarding the governance of the ESG Scorecard, the Sustainability and Reputation Area Directorate is responsible for submitting it semiannually to the Sustainability and Reputation Committee.</w:t>
      </w:r>
    </w:p>
    <w:p w14:paraId="447A7739" w14:textId="77777777" w:rsidR="005C2D56" w:rsidRDefault="00000000">
      <w:r>
        <w:t>Furthermore, the governance defines the areas responsible for each indicator, which must keep them updated and provide them for periodic reporting.</w:t>
      </w:r>
    </w:p>
    <w:p w14:paraId="293CAFE2" w14:textId="77777777" w:rsidR="005C2D56" w:rsidRDefault="00000000">
      <w:r>
        <w:t>This aligns the interests of key managers with the Entity's strategic sustainability objectives.</w:t>
      </w:r>
    </w:p>
    <w:p w14:paraId="18343357" w14:textId="77777777" w:rsidR="005C2D56" w:rsidRDefault="00000000">
      <w:r>
        <w:t>In this regard, Ibercaja's Remuneration Policy is consistent with its Sustainability Policy and the Entity's principles and values regarding the management of environmental, social and corporate governance risks.</w:t>
      </w:r>
    </w:p>
    <w:p w14:paraId="25A259F6" w14:textId="77777777" w:rsidR="005C2D56" w:rsidRDefault="00000000">
      <w:r>
        <w:t>It complies with the provisions of Regulation 2019/2088 of the European Parliament and of the Council of 27 November 2019 on the disclosure of sustainability-related information in the financial services sector, establishing a remuneration system based on equal opportunities and non-discrimination.</w:t>
      </w:r>
    </w:p>
    <w:p w14:paraId="60620589" w14:textId="730A685B" w:rsidR="005C2D56" w:rsidRDefault="00000000">
      <w:r>
        <w:t xml:space="preserve">Specific ESG metrics have been included among the corporate objectives of the 2024 variable remuneration scheme, linked to compliance with the </w:t>
      </w:r>
      <w:proofErr w:type="spellStart"/>
      <w:r>
        <w:t>Ahora</w:t>
      </w:r>
      <w:proofErr w:type="spellEnd"/>
      <w:r>
        <w:t xml:space="preserve"> </w:t>
      </w:r>
      <w:proofErr w:type="spellStart"/>
      <w:r>
        <w:t>Ibercaja</w:t>
      </w:r>
      <w:proofErr w:type="spellEnd"/>
      <w:r w:rsidR="000B468E">
        <w:t xml:space="preserve"> </w:t>
      </w:r>
      <w:r>
        <w:t>2024-2026 Strategic Plan.</w:t>
      </w:r>
    </w:p>
    <w:p w14:paraId="2B7B4A70" w14:textId="77777777" w:rsidR="005C2D56" w:rsidRDefault="00000000">
      <w:r>
        <w:t>These multi-year objectives also include sustainability indicators, Implementation of the Climate Transition Plan tasks to be implemented.</w:t>
      </w:r>
    </w:p>
    <w:p w14:paraId="33E37338" w14:textId="77777777" w:rsidR="005C2D56" w:rsidRDefault="00000000">
      <w:r>
        <w:t>Its sustainability strategy includes among its priorities the identification, management, and control of ESG risks for their progressive incorporation into the Entity's global risk framework, committing to contribute to the decarbonization of the economy and promoting sustainable activities, in line with the Paris Agreement and the European Green Deal.</w:t>
      </w:r>
    </w:p>
    <w:p w14:paraId="37C7FE97" w14:textId="53537CFF" w:rsidR="005C2D56" w:rsidRDefault="00000000">
      <w:r>
        <w:t xml:space="preserve">As part of the IN13, Sustainability and Reputation initiative of the 2024-2026 Strategic Plan </w:t>
      </w:r>
      <w:proofErr w:type="spellStart"/>
      <w:r>
        <w:t>Ahora</w:t>
      </w:r>
      <w:proofErr w:type="spellEnd"/>
      <w:r>
        <w:t xml:space="preserve"> </w:t>
      </w:r>
      <w:proofErr w:type="spellStart"/>
      <w:r>
        <w:t>Ibercaja</w:t>
      </w:r>
      <w:proofErr w:type="spellEnd"/>
      <w:r>
        <w:t>,</w:t>
      </w:r>
      <w:r w:rsidR="000B468E">
        <w:t xml:space="preserve"> t</w:t>
      </w:r>
      <w:r>
        <w:t>he Sustainability and Reputation Area Directorate is coordinating the crosscutting challenge of advancing the integration of ESG factors into risk management, responding to supervisory and regulatory expectations.</w:t>
      </w:r>
    </w:p>
    <w:p w14:paraId="0E7EB921" w14:textId="77777777" w:rsidR="005C2D56" w:rsidRDefault="00000000">
      <w:r>
        <w:lastRenderedPageBreak/>
        <w:t>Thus, in its commitment to continue advancing the inclusion of ESG factors in credit risk admission and monitoring processes, in line with the EBA Loan Origination and Monitoring Guide, Ibercaja has continued to make progress this year in integrating sustainability into its policies and manuals, and in developing and improving ESG risk identification, assessment, monitoring, and control exercises, especially in credit risk management, operational risk, and business risk.</w:t>
      </w:r>
    </w:p>
    <w:p w14:paraId="2E90EB66" w14:textId="77777777" w:rsidR="005C2D56" w:rsidRDefault="00000000">
      <w:r>
        <w:t>However, it continues to work on the integration of social factors, such as promoting financial inclusion and diversity, and governance, and has already begun collecting qualitative information from counterparties on the management of these risks through the Ibercaja Group's ESG Exclusion Policy and the completion of ESG Questionnaires.</w:t>
      </w:r>
    </w:p>
    <w:p w14:paraId="08A37BAE" w14:textId="77777777" w:rsidR="005C2D56" w:rsidRDefault="00000000">
      <w:r>
        <w:t>Ibercaja is aware that the management of social and governance risks is constantly evolving, and therefore, progress in identifying and managing these risks will be gradually incorporated into the Bank's processes, in line with regulatory, market, and methodological developments.</w:t>
      </w:r>
    </w:p>
    <w:p w14:paraId="02CC6A9A" w14:textId="77777777" w:rsidR="005C2D56" w:rsidRDefault="00000000">
      <w:r>
        <w:t>Ibercaja Group 211 Pillar 3 Disclosure 2024 In this regard, it strives to stay up-to-date with new regulations and best practices and trends related to social risk management.</w:t>
      </w:r>
    </w:p>
    <w:p w14:paraId="772245BF" w14:textId="77777777" w:rsidR="005C2D56" w:rsidRDefault="00000000">
      <w:r>
        <w:t>This is done by identifying and controlling activities and exposures vulnerable to ESG risks, thanks to the development of action plans on which it has worked in recent years and which will continue to be reviewed and updated periodically with the aim of assessing how these risks may evolve based on technological developments, the political framework, the business environment, stakeholder preferences and changes in the environment.</w:t>
      </w:r>
    </w:p>
    <w:p w14:paraId="78DAAC3E" w14:textId="77777777" w:rsidR="005C2D56" w:rsidRDefault="00000000">
      <w:r>
        <w:t>Market volatility may increase, driven by regulatory changes and demand for sustainable assets.</w:t>
      </w:r>
    </w:p>
    <w:p w14:paraId="780EC107" w14:textId="77777777" w:rsidR="005C2D56" w:rsidRDefault="00000000">
      <w:r>
        <w:t>Reputational risk, Poor climate risk management can damage an entity's perception among its stakeholders.</w:t>
      </w:r>
    </w:p>
    <w:p w14:paraId="69102925" w14:textId="77777777" w:rsidR="005C2D56" w:rsidRDefault="00000000">
      <w:r>
        <w:t>Liquidity risk, Climate impacts can reduce the liquidity of assets exposed to environmental risks.</w:t>
      </w:r>
    </w:p>
    <w:p w14:paraId="2C07572B" w14:textId="77777777" w:rsidR="005C2D56" w:rsidRDefault="00000000">
      <w:r>
        <w:t>Business risk, Regulatory and market changes can affect the strategy and profitability of financial institutions.</w:t>
      </w:r>
    </w:p>
    <w:p w14:paraId="30A7E796" w14:textId="77777777" w:rsidR="005C2D56" w:rsidRDefault="00000000">
      <w:r>
        <w:t>This process allows us to understand the characteristics and specificities of climate risks, identify the main risks that may affect the Group and their transmission channels, and consolidate the risk management model.</w:t>
      </w:r>
    </w:p>
    <w:p w14:paraId="346C2C9A" w14:textId="77777777" w:rsidR="005C2D56" w:rsidRDefault="00000000">
      <w:r>
        <w:t>Considering the current development of policies and regulations in the European Union and the planning of measures for the energy transition and decarbonization by 2050, the orderly transition scenario Net Zero 2050 has been selected as the baseline scenario.</w:t>
      </w:r>
    </w:p>
    <w:p w14:paraId="34F7D1E2" w14:textId="77777777" w:rsidR="005C2D56" w:rsidRDefault="00000000">
      <w:r>
        <w:lastRenderedPageBreak/>
        <w:t>However, there is a possibility that the evolution of these measures could deviate in the future towards a disorderly transition scenario or a Hot House Word scenario, which is why all three scenarios are included in the climate risk impact analysis.</w:t>
      </w:r>
    </w:p>
    <w:p w14:paraId="223B9EF3" w14:textId="77777777" w:rsidR="005C2D56" w:rsidRDefault="00000000">
      <w:r>
        <w:t>Therefore, the Entity has focused on quantifying the potential impacts of climate risks on the productive activities and mortgage loan portfolio and on calculating the capital requirements arising from this exposure.</w:t>
      </w:r>
    </w:p>
    <w:p w14:paraId="644D8D91" w14:textId="4ABBBF30" w:rsidR="005C2D56" w:rsidRDefault="00000000">
      <w:r>
        <w:t>However, climate risks are not the only ones that can be critical to maintaining organizations' value capacity.</w:t>
      </w:r>
    </w:p>
    <w:p w14:paraId="0E3CE3D9" w14:textId="77777777" w:rsidR="005C2D56" w:rsidRDefault="00000000">
      <w:r>
        <w:t>Environmental, social, and governance factors also have the potential to play a crucial role, with a positive or negative impact on their results.</w:t>
      </w:r>
    </w:p>
    <w:p w14:paraId="50FDAC16" w14:textId="77777777" w:rsidR="005C2D56" w:rsidRDefault="00000000">
      <w:r>
        <w:t>The dependence of certain productive activities on nature and natural resources means that any alteration to the environment can have a significant potential impact on the development of goods and services.</w:t>
      </w:r>
    </w:p>
    <w:p w14:paraId="2EBFA0EF" w14:textId="77777777" w:rsidR="005C2D56" w:rsidRDefault="00000000">
      <w:r>
        <w:t>Therefore, this year Ibercaja has deepened its analysis of the materiality of environmental risks in prudential risks, focusing on credit risk, with the aim of understanding the potential impact of environmental risks on the activities it finances.</w:t>
      </w:r>
    </w:p>
    <w:p w14:paraId="088DBB9B" w14:textId="77777777" w:rsidR="005C2D56" w:rsidRDefault="00000000">
      <w:r>
        <w:t>This initial assessment, which resulted in the environmental risk matrix, reveals that, although the sectors analysed show certain impacts on nature and, to a lesser extent, dependencies, the effect of environmental risks on credit risk is limited, given the Bank's medium-low risk profile and the lack of specific information on the production processes of each counterparty.</w:t>
      </w:r>
    </w:p>
    <w:p w14:paraId="4062E76D" w14:textId="77777777" w:rsidR="005C2D56" w:rsidRDefault="00000000">
      <w:r>
        <w:t>However, Ibercaja has designed a roadmap to further deepen the assessment and measurement of environmental risk impacts and dependencies, for their integration into management.</w:t>
      </w:r>
    </w:p>
    <w:p w14:paraId="2D550A54" w14:textId="77777777" w:rsidR="005C2D56" w:rsidRDefault="00000000">
      <w:r>
        <w:t>Taking this into consideration, the short, medium and long term qualitative assessment of the materiality of environmental risks on all categories of financial risk is based on the potential impact of these risks on productive activities, the degree of impact of environmental degradation on the value of collateral or underlying assets, and the growth of regulatory, social, or market trends related to environmental protection.</w:t>
      </w:r>
    </w:p>
    <w:p w14:paraId="327A082A" w14:textId="77777777" w:rsidR="005C2D56" w:rsidRDefault="00000000">
      <w:r>
        <w:t>Failure to meet the expectations generated in accordance with the Entity's defined strategy, loss of the Entity's reputation due to failure to meet stakeholder expectations, primarily those generated by the Strategic Plan.</w:t>
      </w:r>
    </w:p>
    <w:p w14:paraId="0E981052" w14:textId="77777777" w:rsidR="005C2D56" w:rsidRDefault="00000000">
      <w:r>
        <w:t>For this reason, coupled with the fact that climate risks are material to the portfolios of productive activities and mortgage credit risk, the most comprehensive measurement exercises focus on credit risk and on the geographic areas and segments that account for the majority of revenues and assets in that business.</w:t>
      </w:r>
    </w:p>
    <w:p w14:paraId="7AB6E431" w14:textId="77777777" w:rsidR="005C2D56" w:rsidRDefault="00000000">
      <w:r>
        <w:lastRenderedPageBreak/>
        <w:t>Credit linked to companies comprised nearly 30% and is divided into financing for productive activities and real estate development.</w:t>
      </w:r>
    </w:p>
    <w:p w14:paraId="555D13CD" w14:textId="77777777" w:rsidR="005C2D56" w:rsidRDefault="00000000">
      <w:r>
        <w:t>Accordingly, the analysis carried out on the predisposition to climate risks is developed on the retail segment mortgage portfolio and the business segment productive activities and real estate developments of the credit portfolio6, a Retail segment mortgage portfolio The assessment of climate risks in the retail segment focuses on the mortgage portfolio because it accounts for approximately 91% of the entire segment.</w:t>
      </w:r>
    </w:p>
    <w:p w14:paraId="6ECD7DCE" w14:textId="77777777" w:rsidR="005C2D56" w:rsidRDefault="00000000">
      <w:r>
        <w:t>Physical climate risks are assessed based on the location and type of collateral property using a two-pronged approach.</w:t>
      </w:r>
    </w:p>
    <w:p w14:paraId="5C603BF9" w14:textId="77777777" w:rsidR="005C2D56" w:rsidRDefault="00000000">
      <w:r>
        <w:t>Portfolio of productive activities, On the one hand, the Partnership for Carbon Accounting Financials framework is used to assess the climate transition risk of the most carbon-intensive productive activities.</w:t>
      </w:r>
    </w:p>
    <w:p w14:paraId="72E9AE20" w14:textId="77777777" w:rsidR="005C2D56" w:rsidRDefault="00000000">
      <w:r>
        <w:t>This framework captures emissions intensity at the sectoral level, along with specific heat maps for the most intensive activities, following the approach proposed by UNEP FI in Phase II of the project on the assessment and management of financial risks related to climate change for financial institutions.</w:t>
      </w:r>
    </w:p>
    <w:p w14:paraId="09C9E655" w14:textId="77777777" w:rsidR="005C2D56" w:rsidRDefault="00000000">
      <w:r>
        <w:t>This approach makes it possible to measure the predisposition to climate transition risks of economic activity sectors over different time horizons short, medium, and long term.</w:t>
      </w:r>
    </w:p>
    <w:p w14:paraId="21960327" w14:textId="1FA26669" w:rsidR="005C2D56" w:rsidRDefault="00000000">
      <w:r>
        <w:t xml:space="preserve">Illustrative diagram of the climate risk methodology for transitioning productive activities </w:t>
      </w:r>
      <w:proofErr w:type="gramStart"/>
      <w:r>
        <w:t>On</w:t>
      </w:r>
      <w:proofErr w:type="gramEnd"/>
      <w:r>
        <w:t xml:space="preserve"> the other hand, Ibercaja measures the exposure of its portfolio of productive activities to acute or chronic physical risks based on the average maturity of the transactions contracted by clients.</w:t>
      </w:r>
    </w:p>
    <w:p w14:paraId="1303B275" w14:textId="1FA9ACF7" w:rsidR="005C2D56" w:rsidRDefault="00000000">
      <w:r>
        <w:t>Until now, the quantification of capital requirements focused on the most carbon-intensive counterparties, but in 2024 this methodology was enriched by incorporating the prospective approach used in the assessment of transition risks and adding the analysis of physical risks over different time horizons.</w:t>
      </w:r>
    </w:p>
    <w:p w14:paraId="0FE1EA54" w14:textId="77777777" w:rsidR="005C2D56" w:rsidRDefault="00000000">
      <w:r>
        <w:t>Regarding environmental risks, Ibercaja has analysed how it could impact or depend on natural resources through the financing of its portfolio of productive activities.</w:t>
      </w:r>
    </w:p>
    <w:p w14:paraId="68E7585A" w14:textId="4B5D354E" w:rsidR="005C2D56" w:rsidRDefault="00000000">
      <w:r>
        <w:t>Dependencies and impacts of natural capital on the credit portfolio of productive activities In December 2024, the manufacturing, wholesale trade, and agricultural sectors stood out as the most sensitive sectors within the Entity's portfolio, due to their high exposure and strong dependence on natural capital, as well as the significant impact they can have on it.</w:t>
      </w:r>
    </w:p>
    <w:p w14:paraId="0E356B9C" w14:textId="77777777" w:rsidR="005C2D56" w:rsidRDefault="00000000">
      <w:r>
        <w:t>This assessment reveals that, while the sectors analysed show some impacts on nature and, to a lesser extent, dependencies, the effect of environmental risks on credit risk is limited given the Entity's medium-low risk profile and the lack of specific information on the production processes of each counterparty.</w:t>
      </w:r>
    </w:p>
    <w:p w14:paraId="326DFD44" w14:textId="77777777" w:rsidR="005C2D56" w:rsidRDefault="00000000">
      <w:r>
        <w:lastRenderedPageBreak/>
        <w:t>Ibercaja is aware that it must continue to deepen its assessment and measurement of the impacts and dependencies of environmental risks to strengthen these results.</w:t>
      </w:r>
    </w:p>
    <w:p w14:paraId="4099D905" w14:textId="77777777" w:rsidR="005C2D56" w:rsidRDefault="00000000">
      <w:r>
        <w:t>Thus, the Entity ensures adequate identification, evaluation, and monitoring of these C&amp;E risks across all traditional financial risks and achieves a response aligned with sustainability and resilience objectives, while mitigating potential adverse effects on its business.</w:t>
      </w:r>
    </w:p>
    <w:p w14:paraId="69275AF2" w14:textId="77777777" w:rsidR="005C2D56" w:rsidRDefault="00000000">
      <w:r>
        <w:t>This exercise, known as VaR Value at Risk, is an internal calculation methodology that Ibercaja uses to support the analysis and review of its operational results, in addition to the regulatory methodology for calculating capital for Operational Risk using the Standard Method Pillar I of Basel II.</w:t>
      </w:r>
    </w:p>
    <w:p w14:paraId="25D8F6B8" w14:textId="77777777" w:rsidR="005C2D56" w:rsidRDefault="00000000">
      <w:r>
        <w:t>Since the VaR considers, among others, some of the operational risks arising from climate change, this stress test incorporates the potential impact of climate risks in the short term.</w:t>
      </w:r>
    </w:p>
    <w:p w14:paraId="0F7DAD8A" w14:textId="77777777" w:rsidR="005C2D56" w:rsidRDefault="00000000">
      <w:r>
        <w:t>However, to understand and prepare the Entity for the potential impact of climate risks on Ibercaja's operations over a longer time horizon, an additional theoretical stress test is performed, taking into account the NGFS projections in three climate scenarios, Net Zero 2050, Delayed Transition, and Current Policies.</w:t>
      </w:r>
    </w:p>
    <w:p w14:paraId="63773F8D" w14:textId="77777777" w:rsidR="005C2D56" w:rsidRDefault="00000000">
      <w:r>
        <w:t>For this calculation, the Climate VaR method was developed, a methodology for prospectively quantifying the potential impact of climate risks on operational risk.</w:t>
      </w:r>
    </w:p>
    <w:p w14:paraId="70CDFBCE" w14:textId="77777777" w:rsidR="005C2D56" w:rsidRDefault="00000000">
      <w:r>
        <w:t>To do so, the growth estimated by the NGFS for the macroeconomic variables of the REMIND model and the Climate Analytics Institute is used as a reference to assess the impact of climate change on transition and physical risks.</w:t>
      </w:r>
    </w:p>
    <w:p w14:paraId="29420A25" w14:textId="77777777" w:rsidR="005C2D56" w:rsidRDefault="00000000">
      <w:r>
        <w:t>Ibercaja Group 220 Pillar 3 Disclosure 2024 In measuring climate transition risks based on market risk, Ibercaja assesses the concentration in sectors with high CO2 emissions measured as tCO2eq.</w:t>
      </w:r>
    </w:p>
    <w:p w14:paraId="658BEE1A" w14:textId="77777777" w:rsidR="005C2D56" w:rsidRDefault="00000000">
      <w:r>
        <w:t>This analysis, as with the credit-producing activities portfolio, has led to the development of the Climate Transition Risk indicator, which classifies companies based on their National Economic and Social Council .</w:t>
      </w:r>
    </w:p>
    <w:p w14:paraId="443A5248" w14:textId="77777777" w:rsidR="005C2D56" w:rsidRDefault="00000000">
      <w:r>
        <w:t>Regarding its portfolio of productive activities, Ibercaja has an Ibercaja Group ESG Exclusion Policy approved by the Board of Directors in 2024.</w:t>
      </w:r>
    </w:p>
    <w:p w14:paraId="0C737125" w14:textId="77777777" w:rsidR="005C2D56" w:rsidRDefault="00000000">
      <w:r>
        <w:t>In its financial activities, Ibercaja seeks to balance economic growth with social cohesion and environmental protection, aligning its actions with its Corporate Purpose and advancing the integration of ESG criteria into its decision-making.</w:t>
      </w:r>
    </w:p>
    <w:p w14:paraId="43C85BE1" w14:textId="77777777" w:rsidR="005C2D56" w:rsidRDefault="00000000">
      <w:r>
        <w:t>Therefore, the objective of this Policy is to avoid any financing or investment that may be considered inappropriate due to its high environmental, social, ethical, or reputational risk, or due to a significant decrease in the value of assets on the balance sheet and that, therefore, may negatively affect the projection of its financial statements, cash generation, and financial valuation, as well as the Bank's reputation.</w:t>
      </w:r>
    </w:p>
    <w:p w14:paraId="78798C7E" w14:textId="77777777" w:rsidR="005C2D56" w:rsidRDefault="00000000">
      <w:r>
        <w:lastRenderedPageBreak/>
        <w:t>This allows for obtaining residual environmental, social, and governance risk as part of the client and transaction assessment process.</w:t>
      </w:r>
    </w:p>
    <w:p w14:paraId="6A0FC218" w14:textId="77777777" w:rsidR="005C2D56" w:rsidRDefault="00000000">
      <w:r>
        <w:t>Likewise, with the aim of advancing the analysis of all its clients and integrating climate risks into credit risk management, Ibercaja prepares decarbonization sheets to monitor the transition plans of significant counterparties operating in emissions-intensive sectors and/or those for which 2030 decarbonization targets have been defined.</w:t>
      </w:r>
    </w:p>
    <w:p w14:paraId="79960A60" w14:textId="77777777" w:rsidR="005C2D56" w:rsidRDefault="00000000">
      <w:r>
        <w:t>Furthermore, the Entity integrates climate risks as part of the Comprehensive Monitoring Principle within its Credit Risk Monitoring Policy.</w:t>
      </w:r>
    </w:p>
    <w:p w14:paraId="0C190827" w14:textId="77777777" w:rsidR="005C2D56" w:rsidRDefault="00000000">
      <w:r>
        <w:t>Ibercaja Group 221 Pillar 3 Disclosure 2024 To limit exposure to sectors with a high climate transition risk, Ibercaja defined a metric for concentrating exposure to sectors with high CO2 emissions intensity measured as tCO2eq.</w:t>
      </w:r>
    </w:p>
    <w:p w14:paraId="375A7CA3" w14:textId="77777777" w:rsidR="005C2D56" w:rsidRDefault="00000000">
      <w:r>
        <w:t>This metric, which is part of the Risk Appetite Framework, includes thresholds, establishing limits based on the appetite for high-carbon-emitting sectors.</w:t>
      </w:r>
    </w:p>
    <w:p w14:paraId="256C4319" w14:textId="77777777" w:rsidR="005C2D56" w:rsidRDefault="00000000">
      <w:r>
        <w:t>As part of the Risk Appetite Framework, this metric is governed by the RAF in terms of reporting frequency, monitoring, and control, beginning the review chain with the Risk Control Department, whose task is to evaluate the degree of compliance with the metrics, as well as their periodic monitoring.</w:t>
      </w:r>
    </w:p>
    <w:p w14:paraId="4556CD4E" w14:textId="77777777" w:rsidR="005C2D56" w:rsidRDefault="00000000">
      <w:r>
        <w:t>The aim is to improve data quality and raise awareness about the importance of identifying, measuring, and monitoring climate transition risk.</w:t>
      </w:r>
    </w:p>
    <w:p w14:paraId="2E0EFE28" w14:textId="77777777" w:rsidR="005C2D56" w:rsidRDefault="00000000">
      <w:r>
        <w:t>In addition, the Bank develops a transition risk concentration metric by applying the climate transition risk indicator , similar to the one used for credit risk management.</w:t>
      </w:r>
    </w:p>
    <w:p w14:paraId="10390FB0" w14:textId="77777777" w:rsidR="005C2D56" w:rsidRDefault="00000000">
      <w:r>
        <w:t>This metric classifies investee companies based on their exposure to climate transition risks arising from their activities and is integrated into the Bank's Risk Appetite Framework.</w:t>
      </w:r>
    </w:p>
    <w:p w14:paraId="781B8D87" w14:textId="77777777" w:rsidR="005C2D56" w:rsidRDefault="00000000">
      <w:r>
        <w:t>Furthermore, in the area of portfolio management, Ibercaja implements exhaustive monitoring of indicators that define ESG criteria, with a particular focus on aspects related to climate and environmental risks.</w:t>
      </w:r>
    </w:p>
    <w:p w14:paraId="541175E5" w14:textId="77777777" w:rsidR="005C2D56" w:rsidRDefault="00000000">
      <w:r>
        <w:t>Therefore, they have implemented the Ibercaja Group ESG Exclusion Policy and have worked to comply with Regulation 2019/2088 of the European Parliament and of the Council of November 27, 2019, on the disclosure of sustainability-related information in the financial services sector and with Delegated Regulation 2022/1288, analysing the main adverse impacts with the aim of disclosing their Statement of Major Adverse Impacts of investment decisions on sustainability factors.</w:t>
      </w:r>
    </w:p>
    <w:p w14:paraId="3CE4A3CA" w14:textId="77777777" w:rsidR="005C2D56" w:rsidRDefault="00000000">
      <w:r>
        <w:t xml:space="preserve">Reputational Risk For the integration, identification, management and control of reputational risk, in 2024 Ibercaja has updated the reputational risk map, with the assessment of the first lines of defence, including a specific mention of reputational risks </w:t>
      </w:r>
      <w:r>
        <w:lastRenderedPageBreak/>
        <w:t>derived from greenwashing, as defined in EBA/REP/2024/097, and focusing on the identification of other possible reputational risks derived from climate risk.</w:t>
      </w:r>
    </w:p>
    <w:p w14:paraId="2A6C4ECE" w14:textId="77777777" w:rsidR="005C2D56" w:rsidRDefault="00000000">
      <w:r>
        <w:t>In order to control, manage and mitigate the risk of greenwashing, Ibercaja has designed a series of controls that apply both at the entity level disclosure, strategic objectives in terms of sustainability, publications, etc.</w:t>
      </w:r>
    </w:p>
    <w:p w14:paraId="1818072F" w14:textId="77777777" w:rsidR="005C2D56" w:rsidRDefault="00000000">
      <w:r>
        <w:t>Specifically, the role of the Regulatory Compliance Department, which, through its reviews, ensures compliance with applicable laws, rules, regulations, and standards in order to avoid litigation and sanctions arising from the risk of greenwashing and the resulting reputational risk if made public, is worth highlighting.</w:t>
      </w:r>
    </w:p>
    <w:p w14:paraId="6CD86173" w14:textId="77777777" w:rsidR="005C2D56" w:rsidRDefault="00000000">
      <w:r>
        <w:t>In this regard, the Regulatory Compliance Department is assigned responsibilities for, Ensure that the areas involved adopt the necessary measures to adapt their procedures to ESG regulatory provisions, including any new regulations.</w:t>
      </w:r>
    </w:p>
    <w:p w14:paraId="441F6EA4" w14:textId="77777777" w:rsidR="005C2D56" w:rsidRDefault="00000000">
      <w:r>
        <w:t>The objective is to guarantee compliance with applicable sustainability laws, regulations, and standards and transparency in the disclosure of information.</w:t>
      </w:r>
    </w:p>
    <w:p w14:paraId="04E458C8" w14:textId="77777777" w:rsidR="005C2D56" w:rsidRDefault="00000000">
      <w:r>
        <w:t>Their effectiveness must be evaluated in periodic reviews conducted not only by the Regulatory Compliance Department but also by the Internal Audit Department, which has assigned functions for this purpose.</w:t>
      </w:r>
    </w:p>
    <w:p w14:paraId="472EA3E8" w14:textId="77777777" w:rsidR="005C2D56" w:rsidRDefault="00000000">
      <w:r>
        <w:t>Establishes controls to ensure that financial products are in line with reasonable expectations in terms of the best interests of customers in relation to ESG characteristics, In order to prevent and mitigate the existing sources of greenwashing risk in investment products, Ibercaja Gestión, Ibercaja Pensión, Ibercaja Vida and Ibercaja Banco, when providing portfolio management services, have procedures to evaluate the criteria established for all products or services considered sustainable or with sustainability-related implications.</w:t>
      </w:r>
    </w:p>
    <w:p w14:paraId="6352DE69" w14:textId="77777777" w:rsidR="005C2D56" w:rsidRDefault="00000000">
      <w:r>
        <w:t>These developments have associated controls to ensure the inclusion of customers' sustainability preferences in the services provided in accordance with regulations and supervisory guidelines, as well as the governance and documentation specific to each product.</w:t>
      </w:r>
    </w:p>
    <w:p w14:paraId="7D2B47E5" w14:textId="77777777" w:rsidR="005C2D56" w:rsidRDefault="00000000">
      <w:r>
        <w:t>Climate stress testing framework Ibercaja focuses most of its progress on managing C&amp;E risks, following the expectations of the ECB and the recommendations of the EBA.</w:t>
      </w:r>
    </w:p>
    <w:p w14:paraId="00720FA9" w14:textId="77777777" w:rsidR="005C2D56" w:rsidRDefault="00000000">
      <w:r>
        <w:t>In this regard, the Bank has been working on a climate stress testing framework as a methodological document that establishes the basic principles for the various internal processes in which climate stress tests are used, as well as for the design of potential exercises that can be implemented.</w:t>
      </w:r>
    </w:p>
    <w:p w14:paraId="32CF766D" w14:textId="77777777" w:rsidR="005C2D56" w:rsidRDefault="00000000">
      <w:r>
        <w:t>Its main objectives are to inventory climate-related exercises, provide basic criteria and principles, and ensure consistency in the Bank's climate stress tests by establishing general principles related to key factors to be considered.</w:t>
      </w:r>
    </w:p>
    <w:p w14:paraId="5BFEF7A2" w14:textId="77777777" w:rsidR="005C2D56" w:rsidRDefault="00000000">
      <w:r>
        <w:lastRenderedPageBreak/>
        <w:t>Although the sectoral component has a minor impact on these risks, challenges such as financial inclusion stand out as key challenges for the financial sector.</w:t>
      </w:r>
    </w:p>
    <w:p w14:paraId="5F6EE47E" w14:textId="51D2C64E" w:rsidR="005C2D56" w:rsidRDefault="00000000">
      <w:r>
        <w:t>Entity has developed a sector-specific project to conduct an initial identification of sectors that could be most vulnerable to social risks.</w:t>
      </w:r>
    </w:p>
    <w:p w14:paraId="3C40A7D1" w14:textId="77777777" w:rsidR="005C2D56" w:rsidRDefault="00000000">
      <w:r>
        <w:t>A dual materiality perspective has been adopted, considering both the impact of the sectors' social factors on their stakeholders and the way in which social risks can influence the activities of companies in the sector.</w:t>
      </w:r>
    </w:p>
    <w:p w14:paraId="1772C1F0" w14:textId="77777777" w:rsidR="005C2D56" w:rsidRDefault="00000000">
      <w:r>
        <w:t>Ibercaja assesses its contribution to the financial inclusion impact area by periodically reviewing products and services focused on the two most important segments of individuals in its customer base and potentially the most vulnerable within the financial system younger and older individuals.</w:t>
      </w:r>
    </w:p>
    <w:p w14:paraId="2886D2D4" w14:textId="77777777" w:rsidR="005C2D56" w:rsidRDefault="00000000">
      <w:r>
        <w:t>Ibercaja, steadfast in its social commitment to supporting the region and the business community since its inception, seeks to balance economic growth with social cohesion in its financial activities, aligning its actions with its corporate purpose and advancing the integration of ESG criteria into its decision-making.</w:t>
      </w:r>
    </w:p>
    <w:p w14:paraId="5752E329" w14:textId="77777777" w:rsidR="005C2D56" w:rsidRDefault="00000000">
      <w:r>
        <w:t>As with environmental risks, all of the social risk management exercises explained above are subject to the guidelines outlined in the ESG Risk Governance Policy.</w:t>
      </w:r>
    </w:p>
    <w:p w14:paraId="21E17510" w14:textId="77777777" w:rsidR="005C2D56" w:rsidRDefault="00000000">
      <w:r>
        <w:t>Identification Failure to comply with good governance practices represents a significant risk for financial institutions, as it can negatively impact both their counterparties and the assets they manage or invest.</w:t>
      </w:r>
    </w:p>
    <w:p w14:paraId="6154A022" w14:textId="1E0E776E" w:rsidR="005C2D56" w:rsidRDefault="00000000">
      <w:r>
        <w:t>Governance risk materiality matrix Similar to the analysis of social risks, the sectoral project also addressed governance risks.</w:t>
      </w:r>
    </w:p>
    <w:p w14:paraId="06901079" w14:textId="77777777" w:rsidR="005C2D56" w:rsidRDefault="00000000">
      <w:r>
        <w:t>The main features of the analysis are as follows, Governance risks have been assessed in line with the Dual Materiality analysis, with a primary focus on aspects related to business conduct.</w:t>
      </w:r>
    </w:p>
    <w:p w14:paraId="5FD49672" w14:textId="77777777" w:rsidR="005C2D56" w:rsidRDefault="00000000">
      <w:r>
        <w:t>A dual materiality perspective has been adopted, analysing both the impact of sector governance factors on their stakeholders and how these risks may affect the activity of companies in the sector.</w:t>
      </w:r>
    </w:p>
    <w:p w14:paraId="799C7EDC" w14:textId="77777777" w:rsidR="005C2D56" w:rsidRDefault="00000000">
      <w:r>
        <w:t>Management and monitoring The ESG Exclusion Policies in force seek to reduce exposure to governance risks by including limits on financing or investment in companies that do not meet minimum international standards, such as compliance with Human Rights, Labor Rights according to the ILO, or the provisions contained in the OECD Guidelines for Multinational Enterprises.</w:t>
      </w:r>
    </w:p>
    <w:p w14:paraId="03BBA9E6" w14:textId="77777777" w:rsidR="005C2D56" w:rsidRDefault="00000000">
      <w:r>
        <w:t xml:space="preserve">In this regard, Ibercaja currently has the information contained in this IRP regarding ESG risk management and continues to define action plans to collect more detailed data, </w:t>
      </w:r>
      <w:r>
        <w:lastRenderedPageBreak/>
        <w:t>primarily related to climate, environmental, social, and governance risks, from its counterparties.</w:t>
      </w:r>
    </w:p>
    <w:p w14:paraId="5171864A" w14:textId="77777777" w:rsidR="005C2D56" w:rsidRDefault="00000000">
      <w:r>
        <w:t>This includes the role of the highest governing body in the presentation of non-financial information, as well as to integrate this information and results into its internal management processes, in accordance with the evolution of the regulatory framework and sectoral developments.</w:t>
      </w:r>
    </w:p>
    <w:p w14:paraId="0B39A565" w14:textId="77777777" w:rsidR="005C2D56" w:rsidRDefault="00000000">
      <w:r>
        <w:t>As an example, some of the fields obtained are related to the environment, such as the availability of environmental policies, waste management plan and breakdown of these, polluting emissions, water and energy consumption or ISO14001 certification, among others.</w:t>
      </w:r>
    </w:p>
    <w:p w14:paraId="3D8AC55F" w14:textId="77777777" w:rsidR="005C2D56" w:rsidRDefault="00000000">
      <w:r>
        <w:t>In the social area, information fields such as the wage gap, work-life balance measures, job creation, training, percentage of male and female employees, etc.</w:t>
      </w:r>
    </w:p>
    <w:p w14:paraId="0FC29166" w14:textId="77777777" w:rsidR="005C2D56" w:rsidRDefault="00000000">
      <w:r>
        <w:t>Ibercaja Group 229 Pillar 3 Disclosure 2024 The ESG data to be prioritized has been determined based on its implementation needs for generating external reports, developing internal processes, responding to regulatory requirements, and implementing supervisory expectations.</w:t>
      </w:r>
    </w:p>
    <w:p w14:paraId="3650BF43" w14:textId="77777777" w:rsidR="005C2D56" w:rsidRDefault="00000000">
      <w:r>
        <w:t>The results reflect the impact of the credit portfolio in terms of financed emissions, allowing the identification of sectors with higher carbon intensity and the assessment of potential decarbonization strategies.</w:t>
      </w:r>
    </w:p>
    <w:p w14:paraId="52C63293" w14:textId="77777777" w:rsidR="005C2D56" w:rsidRDefault="00000000">
      <w:r>
        <w:t>However, in line with the Entity's commitment to continuous improvement in ESG metric disclosure, methodological enhancements have been introduced this year in the calculation of the financed footprint and the definition of the coverage perimeter, progressively advancing toward greater alignment with regulatory standards and best practices in the financial sector.</w:t>
      </w:r>
    </w:p>
    <w:p w14:paraId="188F04F3" w14:textId="77777777" w:rsidR="005C2D56" w:rsidRDefault="00000000">
      <w:r>
        <w:t>Based on its commitment to reducing GHG emissions and in alignment with global climate objectives, during 2024 it has expanded this first list of sectoral decarbonization targets to all its material portfolios, , Intensity metrics and 2030 targets for each priority sector, These four sectors, with the agricultural sector and the phase out in coal mining are the sectors considered material after studying Ibercaja's exposure in the emissions-intensive part of the sectors defined by the NZBA as the most polluting.</w:t>
      </w:r>
    </w:p>
    <w:p w14:paraId="41BDA60F" w14:textId="77777777" w:rsidR="005C2D56" w:rsidRDefault="00000000">
      <w:r>
        <w:t>Exceptions will be those clients who have a diversification or decarbonization strategy, in line with the provisions of the Paris Agreement and can demonstrate progress in it.</w:t>
      </w:r>
    </w:p>
    <w:p w14:paraId="239867BD" w14:textId="77777777" w:rsidR="005C2D56" w:rsidRDefault="00000000">
      <w:r>
        <w:t>The initial decarbonization targets were defined for the Electricity Generation, Iron and Steel Production, and Residential Real Estate sectors due to their high GHG emissions intensity, their relevance to the Entity's credit portfolio, and the existence of sufficiently developed scenarios, metrics, and methodologies in these sectors.</w:t>
      </w:r>
    </w:p>
    <w:p w14:paraId="28D092C8" w14:textId="77777777" w:rsidR="005C2D56" w:rsidRDefault="00000000">
      <w:r>
        <w:lastRenderedPageBreak/>
        <w:t>To identify the material sectors for setting new decarbonization targets, the materiality threshold of 0.</w:t>
      </w:r>
    </w:p>
    <w:p w14:paraId="649BC351" w14:textId="77777777" w:rsidR="005C2D56" w:rsidRDefault="00000000">
      <w:r>
        <w:t>In particular, the IEA's NZE 2050 scenario establishes a detailed roadmap to achieve net-zero emissions globally by 2050, promoting electrification, increasing renewable energy, and reducing emissions in sectors such as power generation, iron and steel production, and the residential sector.</w:t>
      </w:r>
    </w:p>
    <w:p w14:paraId="46A0F143" w14:textId="77777777" w:rsidR="005C2D56" w:rsidRDefault="00000000">
      <w:r>
        <w:t>The initial 1% decrease in 2023 is attributed to the increase in homes with A, B, and C energy certifications, as well as a greater share of renewable energy in residential consumption.</w:t>
      </w:r>
    </w:p>
    <w:p w14:paraId="27547454" w14:textId="77777777" w:rsidR="005C2D56" w:rsidRDefault="00000000">
      <w:r>
        <w:t>The path proposed for the Entity takes into account compliance with the National Integrated Energy and Climate Plan 2021-2030, which provides for constant natural gas consumption and a 32% penetration of renewable energy in electricity consumption.</w:t>
      </w:r>
    </w:p>
    <w:p w14:paraId="6DFF7DF3" w14:textId="77777777" w:rsidR="005C2D56" w:rsidRDefault="00000000">
      <w:r>
        <w:t>Clients whose revenue from thermal coal mining, destined for the exploitation, development, or export of coal for energy purposes, represents more than 10% of their total revenue are considered eligible as stipulated in Ibercaja's current Exclusions Policy.</w:t>
      </w:r>
    </w:p>
    <w:p w14:paraId="7D8FBF65" w14:textId="77777777" w:rsidR="005C2D56" w:rsidRDefault="00000000">
      <w:r>
        <w:t>An exception would be allowed for those clients who present a diversification or decarbonization strategy aligned with the Paris Agreement and can demonstrate progress in its implementation.</w:t>
      </w:r>
    </w:p>
    <w:p w14:paraId="0EAE8A18" w14:textId="77777777" w:rsidR="005C2D56" w:rsidRDefault="00000000">
      <w:r>
        <w:t>Ibercaja assesses acute and chronic climate-related physical risks using two distinct approaches for its portfolio of productive activities and real estate collateral.</w:t>
      </w:r>
    </w:p>
    <w:p w14:paraId="58F46CB2" w14:textId="77777777" w:rsidR="005C2D56" w:rsidRDefault="00000000">
      <w:r>
        <w:t>Furthermore, this year a new methodological approach has been adopted to more accurately reflect the vulnerability of credit exposure to physical climate events.</w:t>
      </w:r>
    </w:p>
    <w:p w14:paraId="33FAC86C" w14:textId="77777777" w:rsidR="005C2D56" w:rsidRDefault="00000000">
      <w:r>
        <w:t>Limiting the analysis to these contracts allows for optimized risk management and ensures more detailed monitoring of the assets that require greater attention.</w:t>
      </w:r>
    </w:p>
    <w:p w14:paraId="36E7B652" w14:textId="77777777" w:rsidR="005C2D56" w:rsidRDefault="00000000">
      <w:r>
        <w:t>The data is broken down by asset type, specifying their eligibility and alignment with climate objectives, Credit Portfolio NFRD Companies The eligibility and alignment of financing to counterparties subject to the NFRD has been assessed using two external data providers.</w:t>
      </w:r>
    </w:p>
    <w:p w14:paraId="724A2E85" w14:textId="7861E001" w:rsidR="005C2D56" w:rsidRDefault="00000000">
      <w:r>
        <w:t xml:space="preserve">GAR compared to total covered assets in the denominator Disclosure reference date 2024, KPIs on stock of eligible assets funding taxonomy relevant sectors Proportion of eligible assets funding taxonomy relevant sectors </w:t>
      </w:r>
      <w:r w:rsidR="0039193F">
        <w:t>o</w:t>
      </w:r>
      <w:r>
        <w:t xml:space="preserve">f which environmentally sustainable </w:t>
      </w:r>
      <w:r w:rsidR="0039193F">
        <w:t>o</w:t>
      </w:r>
      <w:r>
        <w:t>f which environmentally sustainabl</w:t>
      </w:r>
      <w:r w:rsidR="0039193F">
        <w:t>e.</w:t>
      </w:r>
    </w:p>
    <w:p w14:paraId="22E79024" w14:textId="77777777" w:rsidR="005C2D56" w:rsidRDefault="00000000">
      <w:r>
        <w:t>Syndicated financing aimed at climate change mitigation and adaptation projects or featuring key performance indicators KPIs related to climate change mitigation objectives.</w:t>
      </w:r>
    </w:p>
    <w:p w14:paraId="2891773E" w14:textId="77777777" w:rsidR="005C2D56" w:rsidRDefault="00000000">
      <w:r>
        <w:lastRenderedPageBreak/>
        <w:t>The Entity continues to make efforts to identify the sustainable operations in its portfolio and prioritize the granting of loans aimed at supporting adaptation and mitigation processes toward a more resilient environment in the face of climate change.</w:t>
      </w:r>
    </w:p>
    <w:p w14:paraId="6F9847E8" w14:textId="77777777" w:rsidR="005C2D56" w:rsidRDefault="00000000">
      <w:r>
        <w:t>Regarding counterparty types, Ibercaja publishes its exposure in the non-financial companies’ section, with financing linked to activities to improve the energy efficiency of buildings and support companies in their decarbonization processes, objectives, and strategies.</w:t>
      </w:r>
    </w:p>
    <w:p w14:paraId="400B8CF0" w14:textId="77777777" w:rsidR="005C2D56" w:rsidRDefault="00000000">
      <w:r>
        <w:t>Syndicated financing aimed at climate change mitigation and adaptation projects or with key performance indicators KPIs related to climate change mitigation targets.</w:t>
      </w:r>
    </w:p>
    <w:p w14:paraId="162A9E32" w14:textId="77777777" w:rsidR="005C2D56" w:rsidRDefault="00000000">
      <w:r>
        <w:t>Remunerations This section covers the REMA requirement Remuneration policy.</w:t>
      </w:r>
    </w:p>
    <w:p w14:paraId="7C0390D1" w14:textId="1ECB477F" w:rsidR="005C2D56" w:rsidRDefault="00000000">
      <w:r>
        <w:t>This section details the quantitative and qualitative aspects of Ibercaja Banco's remuneration policy for members of the organization included in the so-called Identified Group,</w:t>
      </w:r>
      <w:r w:rsidR="00587C5F">
        <w:t xml:space="preserve"> </w:t>
      </w:r>
      <w:r>
        <w:t>due to their significant impact on the Entity's risk profile.</w:t>
      </w:r>
    </w:p>
    <w:p w14:paraId="2FD7AC05" w14:textId="77777777" w:rsidR="005C2D56" w:rsidRDefault="00000000">
      <w:r>
        <w:t>The compensation policy covers all Ibercaja Banco employees, and the principles set forth in the consolidated group's compensation policies must be consistent with the parent company's compensation policies.</w:t>
      </w:r>
    </w:p>
    <w:p w14:paraId="7FEF0CA9" w14:textId="77777777" w:rsidR="005C2D56" w:rsidRDefault="00000000">
      <w:r>
        <w:t>In addition, it has a Remuneration Policy for Board Members, which is available on the Entity's website.</w:t>
      </w:r>
    </w:p>
    <w:p w14:paraId="10C5AF3A" w14:textId="77777777" w:rsidR="005C2D56" w:rsidRDefault="00000000">
      <w:r>
        <w:t>The aforementioned risk appetite framework also extends to the Entity's remuneration practices, which, in accordance with article 29.</w:t>
      </w:r>
    </w:p>
    <w:p w14:paraId="0ADFF2E7" w14:textId="77777777" w:rsidR="005C2D56" w:rsidRDefault="00000000">
      <w:r>
        <w:t>For these purposes, the list of people who, due to their professional activity, have or may have a significant impact on the Entity's risk profile Identified Group has been identified, to whom deferral measures apply in the receipt of part of the variable component of remuneration, the possibility of applying malus clauses and ex post adjustments, in the terms established in the current regulations and in the aforementioned EBA Guidelines.</w:t>
      </w:r>
    </w:p>
    <w:p w14:paraId="4C764F8D" w14:textId="095A7584" w:rsidR="005C2D56" w:rsidRDefault="00000000">
      <w:r>
        <w:t xml:space="preserve">In this sense, with some exceptions, the following are part of the identified group, </w:t>
      </w:r>
      <w:r w:rsidR="00AA3B31">
        <w:t>b</w:t>
      </w:r>
      <w:r>
        <w:t>ased on qualitative criteria,</w:t>
      </w:r>
      <w:r w:rsidR="00587C5F">
        <w:t xml:space="preserve"> </w:t>
      </w:r>
      <w:r w:rsidR="00AA3B31">
        <w:t>t</w:t>
      </w:r>
      <w:r>
        <w:t xml:space="preserve">he members of the Board of Directors, </w:t>
      </w:r>
      <w:proofErr w:type="gramStart"/>
      <w:r>
        <w:t>whether or not</w:t>
      </w:r>
      <w:proofErr w:type="gramEnd"/>
      <w:r>
        <w:t xml:space="preserve"> they are executives.</w:t>
      </w:r>
    </w:p>
    <w:p w14:paraId="71D6A092" w14:textId="77777777" w:rsidR="005C2D56" w:rsidRDefault="00000000">
      <w:r>
        <w:t>Furthermore, the remuneration model is consistent with the Sustainability Policy and with the Entity's principles and values in the management of environmental, social and corporate governance risks, and complies with the provisions of Regulation 2019/2088 of the European Parliament and of the Council of 27 November 2019 on the disclosure of information relating to sustainability in the financial services sector, insofar as it establishes a remuneration system based on equal opportunities and non-discrimination, contributes to the Entity's good corporate governance, as it is also aligned with the internal code of conduct.</w:t>
      </w:r>
    </w:p>
    <w:p w14:paraId="51DB04C3" w14:textId="77777777" w:rsidR="005C2D56" w:rsidRDefault="00000000">
      <w:r>
        <w:lastRenderedPageBreak/>
        <w:t>Indeed, in those cases in which the staff remuneration schemes have a fixed component and a variable component, the Policy establishes that, The relationship between them will be balanced and efficient, so that the fixed component constitutes a sufficiently high part of the total remuneration.</w:t>
      </w:r>
    </w:p>
    <w:p w14:paraId="5A52931E" w14:textId="77777777" w:rsidR="005C2D56" w:rsidRDefault="00000000">
      <w:r>
        <w:t>Ibercaja Group 257 Pillar 3 Disclosure 2024 The variable component of remuneration will, in all cases, be referenced to the performance of the recipients thereof, which will be assessed based on the results of the Entity, the business units and the employee and will take into account the risks assumed.</w:t>
      </w:r>
    </w:p>
    <w:p w14:paraId="2CE2BD6B" w14:textId="77777777" w:rsidR="005C2D56" w:rsidRDefault="00000000">
      <w:r>
        <w:t>Guaranteed variable remuneration is not compatible with sound risk management or the principle of rewarding performance and will not be included in any potential remuneration plans.</w:t>
      </w:r>
    </w:p>
    <w:p w14:paraId="11896B58" w14:textId="77777777" w:rsidR="005C2D56" w:rsidRDefault="00000000">
      <w:r>
        <w:t>Promote sound and effective risk management that does not involve excessive risktaking by the Identified Group.</w:t>
      </w:r>
    </w:p>
    <w:p w14:paraId="5FE7CEA8" w14:textId="77777777" w:rsidR="005C2D56" w:rsidRDefault="00000000">
      <w:r>
        <w:t>The fixed component represents a sufficiently high proportion of total remuneration to allow for a fully flexible policy regarding variable remuneration components, to the extent that it may be possible not to pay those components.</w:t>
      </w:r>
    </w:p>
    <w:p w14:paraId="5AEFEC01" w14:textId="77777777" w:rsidR="005C2D56" w:rsidRDefault="00000000">
      <w:r>
        <w:t>The variable component of the remuneration of Identified Group members who hold managerial responsibilities or who participate in control procedures is determined based on the achievement of objectives linked to their role, regardless of the results achieved by the business units they control, and without prejudice to the fact that they may be considered the Entity's overall results.</w:t>
      </w:r>
    </w:p>
    <w:p w14:paraId="413DCE8F" w14:textId="77777777" w:rsidR="005C2D56" w:rsidRDefault="00000000">
      <w:r>
        <w:t>Special mention should be made of the inclusion in the Identified Group of heads of units whose functions have a material impact on the Entity's control structure and whose remuneration is determined based on the achievement of objectives linked to their functions, regardless of the results achieved by the business units they control.</w:t>
      </w:r>
    </w:p>
    <w:p w14:paraId="7B2A28E0" w14:textId="77777777" w:rsidR="005C2D56" w:rsidRDefault="00000000">
      <w:r>
        <w:t>The individuals who comprise the Identified Group, as well as the quantitative and qualitative criteria to be taken into consideration for the inclusion or exclusion of employees from it, are described in the Entity's General Compensation Policy.</w:t>
      </w:r>
    </w:p>
    <w:p w14:paraId="1B6F0CEB" w14:textId="77777777" w:rsidR="005C2D56" w:rsidRDefault="00000000">
      <w:r>
        <w:t>Even if they are not part of the Identified Staff, the principles underlying the General Compensation Policy apply to all Central Services employees included in the variable remuneration based on objectives .</w:t>
      </w:r>
    </w:p>
    <w:p w14:paraId="0E4F4A4C" w14:textId="3250E81E" w:rsidR="005C2D56" w:rsidRDefault="00000000">
      <w:r>
        <w:t xml:space="preserve">In compliance with current regulations, part of the VRM of the CEO and the members of the Management Committee is paid in the form of instruments based on the revaluation or depreciation of theoretical shares into which the share capital is divided </w:t>
      </w:r>
      <w:r w:rsidR="00587C5F">
        <w:t xml:space="preserve"> </w:t>
      </w:r>
      <w:r>
        <w:t xml:space="preserve"> phantom shares, 50% of non-deferred variable remuneration and 55% of deferred variable remuneration will be paid in the form of these instruments.</w:t>
      </w:r>
    </w:p>
    <w:p w14:paraId="12E1FE8F" w14:textId="77777777" w:rsidR="005C2D56" w:rsidRDefault="00000000">
      <w:r>
        <w:lastRenderedPageBreak/>
        <w:t>At a meeting held by the Board of Directors on February 22, 2024, changes were made to the General Remuneration Policy regarding, Amount of compensation for termination of contract Post-contractual non-competition agreements Non-application of the computation requirements for the maximum ratio, deferral and payment in instruments Tools for measuring and evaluating performance Long-term incentive 16.</w:t>
      </w:r>
    </w:p>
    <w:p w14:paraId="02EF693A" w14:textId="5871030A" w:rsidR="005C2D56" w:rsidRDefault="00000000">
      <w:r>
        <w:t>Where applicable, the variable component of remuneration,</w:t>
      </w:r>
      <w:r w:rsidR="00587C5F">
        <w:t xml:space="preserve"> </w:t>
      </w:r>
      <w:r w:rsidR="00AA3B31">
        <w:t>i</w:t>
      </w:r>
      <w:r>
        <w:t>t will be referenced, in any case, to the performance of the recipients based on the global and specific objectives.</w:t>
      </w:r>
    </w:p>
    <w:p w14:paraId="35A48F2B" w14:textId="77777777" w:rsidR="005C2D56" w:rsidRDefault="00000000">
      <w:r>
        <w:t>Promoting appropriate and effective risk management within the risk appetite framework defined by the Entity, which is consistent with the capital self-assessment process and does not encourage the assumption of risks incompatible with said risk profile.</w:t>
      </w:r>
    </w:p>
    <w:p w14:paraId="051527D7" w14:textId="77777777" w:rsidR="005C2D56" w:rsidRDefault="00000000">
      <w:r>
        <w:t>Additionally, the policies establish the following criteria regarding the granting of guaranteed variable remuneration and severance pay, Guaranteed variable remuneration is not compatible with sound risk management or the principle of rewarding performance and is not part of any potential compensation plans.</w:t>
      </w:r>
    </w:p>
    <w:p w14:paraId="17A6049A" w14:textId="77777777" w:rsidR="005C2D56" w:rsidRDefault="00000000">
      <w:r>
        <w:t>It will be flexible enough to allow for its modulation, to the point of being able to eliminate it completely, if necessary, and may not, under any circumstances, exceed 40% of the fixed remuneration established for each management level.</w:t>
      </w:r>
    </w:p>
    <w:p w14:paraId="570B42D6" w14:textId="77777777" w:rsidR="005C2D56" w:rsidRDefault="00000000">
      <w:r>
        <w:t>Transparency of remuneration and compliance with the remuneration policy established by the Entity.</w:t>
      </w:r>
    </w:p>
    <w:p w14:paraId="6610031A" w14:textId="77777777" w:rsidR="005C2D56" w:rsidRDefault="00000000">
      <w:r>
        <w:t>The main activities carried out by the Committee's responsibilities regarding remuneration have consisted of informing the Board of Directors about the degree of monitoring and compliance with the objectives established in the previous year, as well as determining the objectives that will determine, where appropriate, the accrual of variable remuneration for the Identified Group.</w:t>
      </w:r>
    </w:p>
    <w:p w14:paraId="0F53E3DA" w14:textId="77777777" w:rsidR="005C2D56" w:rsidRDefault="00000000">
      <w:r>
        <w:t>Furthermore, at least once a year, the Internal Audit Department conducts an independent assessment of the implementation of the remuneration policy to verify compliance with the adopted remuneration guidelines and procedures.</w:t>
      </w:r>
    </w:p>
    <w:p w14:paraId="2058C8C9" w14:textId="77777777" w:rsidR="005C2D56" w:rsidRDefault="00000000">
      <w:r>
        <w:t>Regarding the control and supervision of the policy, the Ibercaja Board of Directors is responsible for establishing a control and supervision system for the specific requirements of the Remuneration Policy applicable to the Identified Group, ensuring compliance with and effective application of the provisions established in the Policy.</w:t>
      </w:r>
    </w:p>
    <w:p w14:paraId="091B8F67" w14:textId="77777777" w:rsidR="005C2D56" w:rsidRDefault="00000000">
      <w:r>
        <w:t>The Remuneration Committee is responsible for monitoring and overseeing the implementation of this system, establishing periodic controls and evaluations of its effectiveness in order to adopt appropriate measures to address its shortcomings.</w:t>
      </w:r>
    </w:p>
    <w:p w14:paraId="015927BB" w14:textId="77777777" w:rsidR="005C2D56" w:rsidRDefault="00000000">
      <w:r>
        <w:t xml:space="preserve">This evaluation is submitted to the Remuneration Committee to verify compliance with the remuneration guidelines and procedures adopted by the Board of Directors in its oversight </w:t>
      </w:r>
      <w:r>
        <w:lastRenderedPageBreak/>
        <w:t>role, in accordance with the terms established in the LOSS and its implementing regulations, as well as in the EBA Guide.</w:t>
      </w:r>
    </w:p>
    <w:p w14:paraId="5455E515" w14:textId="77777777" w:rsidR="005C2D56" w:rsidRDefault="00000000">
      <w:r>
        <w:t>The conclusions of the evaluation are reported to the Remuneration Committee and the Board of Directors, and any appropriate measures are proposed.</w:t>
      </w:r>
    </w:p>
    <w:p w14:paraId="7E4240A6" w14:textId="77777777" w:rsidR="005C2D56" w:rsidRDefault="00000000">
      <w:r>
        <w:t>The establishment of global and specific objectives for variable remuneration is linked to prudent risk management, and some of its main characteristics in relation to ex ante adjustments are the following, Dependent and appropriate to the individual performance of employees and the results of the Entity, considering the impact of the underlying economic cycle, as well as present and future risks.</w:t>
      </w:r>
    </w:p>
    <w:p w14:paraId="4EB72CCB" w14:textId="77777777" w:rsidR="005C2D56" w:rsidRDefault="00000000">
      <w:r>
        <w:t>For the remaining members of the Identified Collective who receive variable remuneration based on objectives, corporate objectives are weighted at 30 percent and specific objectives are weighted at 70 percent.</w:t>
      </w:r>
    </w:p>
    <w:p w14:paraId="643E57C3" w14:textId="77777777" w:rsidR="005C2D56" w:rsidRDefault="00000000">
      <w:r>
        <w:t>The definition of these objectives will be based on the decisions adopted by the Board of Directors, within the framework of the General Remuneration Policy approved by the General Meeting.</w:t>
      </w:r>
    </w:p>
    <w:p w14:paraId="46B9C2E2" w14:textId="77777777" w:rsidR="005C2D56" w:rsidRDefault="00000000">
      <w:r>
        <w:t>The variable component of the remuneration of the Identified Group members who participate in the control procedures will be determined based on the achievement of objectives linked to their role, regardless of the results achieved by the business units they control, and without prejudice to the fact that they may be considered the Entity's overall results.</w:t>
      </w:r>
    </w:p>
    <w:p w14:paraId="5F763948" w14:textId="77777777" w:rsidR="005C2D56" w:rsidRDefault="00000000">
      <w:r>
        <w:t>Ibercaja Group 264 Pillar 3 Disclosure 2024 Ibercaja has established pre-malus, malus, and clawback clauses that may apply up to 100% of the total variable remuneration.</w:t>
      </w:r>
    </w:p>
    <w:p w14:paraId="55806F8C" w14:textId="77777777" w:rsidR="005C2D56" w:rsidRDefault="00000000">
      <w:r>
        <w:t>The variable component of remuneration is determined based on the achievement by the member of the Identified Group of the Global Objectives and the Specific Objectives that have been approved for each financial year by the Board of Directors, at the proposal of the CEO and following a favorable report from the Remuneration Committee, and which will be weighted with special attention to the professional category of the person considered.</w:t>
      </w:r>
    </w:p>
    <w:p w14:paraId="3B443962" w14:textId="77777777" w:rsidR="005C2D56" w:rsidRDefault="00000000">
      <w:r>
        <w:t>The evaluation of the results used to determine variable remuneration will be part of the multiannual framework consistent with the Strategic Plan to ensure that the evaluation process is based on long-term results and takes into account the Entity's underlying economic cycle and its risks.</w:t>
      </w:r>
    </w:p>
    <w:p w14:paraId="435A312E" w14:textId="77777777" w:rsidR="005C2D56" w:rsidRDefault="00000000">
      <w:r>
        <w:t xml:space="preserve">When during the deferral period until the consolidation of the variable remuneration, there is a reformulation of the annual accounts that does not arise from a regulatory change and provided that, in accordance with said reformulation, the variable remuneration to be settled is lower than that initially accrued or no payment of remuneration has been made in accordance with Ibercaja's variable remuneration system, the deferred variable remuneration, whether in cash or in instruments, that is pending payment, will be subject to </w:t>
      </w:r>
      <w:r>
        <w:lastRenderedPageBreak/>
        <w:t>reduction in a proportion equivalent to the impact that the reformulation of the annual accounts has had on the level of achievement of the variable remuneration of the member of the Identified Group.</w:t>
      </w:r>
    </w:p>
    <w:p w14:paraId="761D7D9C" w14:textId="77777777" w:rsidR="005C2D56" w:rsidRDefault="00000000">
      <w:r>
        <w:t>Thus, the variable remuneration of a member of the Identified Staff may be reduced at the time of their performance evaluation if the entity's results or capital ratios are observed to be negative, whether relative to previous years or those of similar entities, or if other parameters such as the degree of achievement of budgeted objectives are observed to be negative, provided that a requirement or recommendation from the competent authority for the entity to restrict its dividend policy is in effect.</w:t>
      </w:r>
    </w:p>
    <w:p w14:paraId="6468C9F2" w14:textId="77777777" w:rsidR="005C2D56" w:rsidRDefault="00000000">
      <w:r>
        <w:t>When during the deferral period and the retention period of the instruments applicable to the variable remuneration granted for the performance of a given year, it is demonstrated that the payment of the variable remuneration was due to objectives whose fulfillment was achieved as a consequence, direct or indirect, of fraudulent action by the member of the Identified Collective that gives rise to the Commission of a serious or minor infraction in accordance with the provisions of the collective agreement for savings banks and financial institutions, the gross variable remuneration already paid, both in cash and in instruments, whether deferred or not, will be subject to recovery in the proportion that the Board of Directors determines in each case.</w:t>
      </w:r>
    </w:p>
    <w:p w14:paraId="231847EB" w14:textId="77777777" w:rsidR="005C2D56" w:rsidRDefault="00000000">
      <w:r>
        <w:t>The determination by the Board of Directors, following a report from the Remuneration Committee, that the circumstances that should trigger the application of this clause have occurred and the percentage that should be returned to the Entity, based on the provisions set forth above, as well as the procedure by which the Entity may claim a proportional refund of the gross amount paid or even offset it against other remuneration of any nature that the individual is entitled to receive, as well as the obligation on the part of the latter to reimburse the Entity part or all of his gross amount, will be made in accordance with the policy for the application of the remuneration refund clause.</w:t>
      </w:r>
    </w:p>
    <w:p w14:paraId="758BD7A3" w14:textId="77777777" w:rsidR="005C2D56" w:rsidRDefault="00000000">
      <w:r>
        <w:t>The multi-year objectives, all of which are linked to the Group, are as follows, Compliance with the Bank's shareholder return target for the period 2024-2026.</w:t>
      </w:r>
    </w:p>
    <w:p w14:paraId="10DC7D2E" w14:textId="094C448C" w:rsidR="005C2D56" w:rsidRDefault="00000000">
      <w:r>
        <w:t xml:space="preserve">This distinction is intended to adequately compensate the senior </w:t>
      </w:r>
      <w:r w:rsidR="00AA3B31">
        <w:t>management services</w:t>
      </w:r>
      <w:r>
        <w:t xml:space="preserve"> provided by Directors, </w:t>
      </w:r>
      <w:proofErr w:type="gramStart"/>
      <w:r>
        <w:t>taking into account</w:t>
      </w:r>
      <w:proofErr w:type="gramEnd"/>
      <w:r>
        <w:t>, in all cases, not only the principles underlying this Policy but also the remuneration concepts used by other entities in the sector.</w:t>
      </w:r>
    </w:p>
    <w:p w14:paraId="75BB1604" w14:textId="77777777" w:rsidR="005C2D56" w:rsidRDefault="00000000">
      <w:r>
        <w:t>As a result of this adaptation, Article 34 of Ibercaja Banco's Bylaws was amended, establishing that the remuneration of directors in their capacity as such shall consist of, a fixed annual allowances for their status as members of the Board of Directors and, where applicable, their committees.</w:t>
      </w:r>
    </w:p>
    <w:p w14:paraId="25487C29" w14:textId="77777777" w:rsidR="005C2D56" w:rsidRDefault="00000000">
      <w:r>
        <w:t>The maximum remuneration that the Company may pay to all directors in their capacity as such shall not exceed the amount determined for such purposes by the Remuneration Policy approved by the General Shareholders' Meeting and shall remain in effect until the General Meeting agrees to amend it.</w:t>
      </w:r>
    </w:p>
    <w:p w14:paraId="68CFE92A" w14:textId="77777777" w:rsidR="005C2D56" w:rsidRDefault="00000000">
      <w:r>
        <w:lastRenderedPageBreak/>
        <w:t>Likewise, and taking into account the special dedication, functions and responsibilities inherent to the performance of the Presidency and membership of the internal committees of the Board of Directors Delegated Committee, Audit and Compliance Committee, Major Risks and Solvency Committee, Strategy Committee, Appointments Committee and Remuneration Committee, the remuneration for the positions held in each of them will consist of a fixed annual amount, as set out in Article 7 of the Remuneration Policy.</w:t>
      </w:r>
    </w:p>
    <w:p w14:paraId="0B30D9E9" w14:textId="77777777" w:rsidR="005C2D56" w:rsidRDefault="00000000">
      <w:r>
        <w:t>The Board of Directors is responsible for determining the exact amount to be paid within this limit, its distribution among the various directors, and the frequency of its collection.</w:t>
      </w:r>
    </w:p>
    <w:p w14:paraId="6C247777" w14:textId="77777777" w:rsidR="005C2D56" w:rsidRDefault="00000000">
      <w:r>
        <w:t>In defining the Entity's remuneration policy, comparable credit institutions peers were taken into account, with the collaboration of the firm EY, as an external advisor, in the initial design phase of the Policy approved in fiscal year 2018.</w:t>
      </w:r>
    </w:p>
    <w:p w14:paraId="4E07F66F" w14:textId="77777777" w:rsidR="005C2D56" w:rsidRDefault="00000000">
      <w:r>
        <w:t>Particularly in the update of the Directors' Remuneration Policy that was carried out in fiscal year 2022, and is currently in force, in relation to the remuneration of the members of the Board of Directors, the provisions applied by other comparable credit institutions peers and other entities with a level of capitalization similar to what the Entity would have if it were listed on the Stock Exchange were taken into account.</w:t>
      </w:r>
    </w:p>
    <w:p w14:paraId="2285D0E0" w14:textId="77777777" w:rsidR="005C2D56" w:rsidRDefault="00000000">
      <w:r>
        <w:t>For these purposes, in adapting the remuneration policy to the best practices of the market and the financial sector, the Entity commissioned the firm Spencer Stuart to prepare a report to comparatively analyze the remuneration of Ibercaja's external directors, as well as of the members of the Board and its committees, with that of other comparable companies.</w:t>
      </w:r>
    </w:p>
    <w:p w14:paraId="02AADEF8" w14:textId="77777777" w:rsidR="005C2D56" w:rsidRDefault="00000000">
      <w:r>
        <w:t>Policy on diversity of Board membership, objectives, and achievement status.</w:t>
      </w:r>
    </w:p>
    <w:p w14:paraId="70388F68" w14:textId="77777777" w:rsidR="005C2D56" w:rsidRDefault="00000000">
      <w:r>
        <w:t>Disclosure of own funds requirements and risk-weighted exposure amounts 438 Institutions shall disclose the following information regarding the compliance by the institution with the requirements laid down in Article 92 of this Regulation and in Article 73 of Directive 2013/36/EU, 438.</w:t>
      </w:r>
    </w:p>
    <w:p w14:paraId="44E27548" w14:textId="4EEE7B84" w:rsidR="005C2D56" w:rsidRDefault="00000000">
      <w:r>
        <w:t>A summary of their approach to assessing the adequacy of their internal capital to support current and future activities.</w:t>
      </w:r>
    </w:p>
    <w:p w14:paraId="3EBA1629" w14:textId="77777777" w:rsidR="005C2D56" w:rsidRDefault="00000000">
      <w:r>
        <w:t>Operational risk 446 Institutions shall disclose the following information about their operational risk management, 446.</w:t>
      </w:r>
    </w:p>
    <w:p w14:paraId="03F0F5EB" w14:textId="2E054C00" w:rsidR="005C2D56" w:rsidRDefault="00000000">
      <w:r>
        <w:t>The approaches for the assessment of own funds requirements for operation risk that the institution qualifies for.</w:t>
      </w:r>
    </w:p>
    <w:p w14:paraId="61DE246E" w14:textId="0DF38D64" w:rsidR="005C2D56" w:rsidRDefault="00AA3B31">
      <w:r>
        <w:t>The</w:t>
      </w:r>
      <w:r w:rsidR="00000000">
        <w:t xml:space="preserve"> aggregate amount of securitisation positions where institutions act as originator or sponsor and the associated risk-weighted assets and capital requirements by regulatory approaches, including exposures deducted from own funds or risk weighted at 250 %, broken down between traditional and synthetic securitisations and between securitisation and re-securitisation exposures, separately for STS and non-STS positions, and further </w:t>
      </w:r>
      <w:r w:rsidR="00000000">
        <w:lastRenderedPageBreak/>
        <w:t>broken down into a meaningful number of risk-weight or capital requirement bands and by approach used to calculate the capital requirements.</w:t>
      </w:r>
    </w:p>
    <w:p w14:paraId="222888D3" w14:textId="5383DB51" w:rsidR="005C2D56" w:rsidRDefault="00000000">
      <w:r>
        <w:t>The aggregate amount of securitisation positions where institutions act as investor and the associated risk-weighted assets and capital requirements by regulatory approaches, including exposures deducted from own funds or risk weighted at 1 250 %, broken down between traditional and synthetic securitisations, securitisation and re-securitisation positions, and STS and non-STS positions, and further broken down into a meaningful number of risk weight or capital requirement bands and by approach used to calculate the capital requirements.</w:t>
      </w:r>
    </w:p>
    <w:p w14:paraId="0815B99B" w14:textId="77777777" w:rsidR="005C2D56" w:rsidRDefault="00000000">
      <w:r>
        <w:t>Disclosure of environmental, social and governance risks ESG risks 449.</w:t>
      </w:r>
    </w:p>
    <w:p w14:paraId="447E3691" w14:textId="77777777" w:rsidR="005C2D56" w:rsidRDefault="00000000">
      <w:r>
        <w:t>A From 28 June 2022, large institutions which have issued securities that are admitted to trading on a regulated market of any Member State, as defined in point, of Article 4, of Directive 2014/65/EU, shall disclose information on ESG risks, including physical risks and transition risks, as defined in the report referred to in Article 98, of Directive 2013/36/EU.</w:t>
      </w:r>
    </w:p>
    <w:sectPr w:rsidR="005C2D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45109700">
    <w:abstractNumId w:val="8"/>
  </w:num>
  <w:num w:numId="2" w16cid:durableId="928656289">
    <w:abstractNumId w:val="6"/>
  </w:num>
  <w:num w:numId="3" w16cid:durableId="1364593824">
    <w:abstractNumId w:val="5"/>
  </w:num>
  <w:num w:numId="4" w16cid:durableId="662054543">
    <w:abstractNumId w:val="4"/>
  </w:num>
  <w:num w:numId="5" w16cid:durableId="2142308137">
    <w:abstractNumId w:val="7"/>
  </w:num>
  <w:num w:numId="6" w16cid:durableId="1516307383">
    <w:abstractNumId w:val="3"/>
  </w:num>
  <w:num w:numId="7" w16cid:durableId="1486125400">
    <w:abstractNumId w:val="2"/>
  </w:num>
  <w:num w:numId="8" w16cid:durableId="478807606">
    <w:abstractNumId w:val="1"/>
  </w:num>
  <w:num w:numId="9" w16cid:durableId="19211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68E"/>
    <w:rsid w:val="0015074B"/>
    <w:rsid w:val="001C302F"/>
    <w:rsid w:val="0029639D"/>
    <w:rsid w:val="00326F90"/>
    <w:rsid w:val="0039193F"/>
    <w:rsid w:val="00541FDD"/>
    <w:rsid w:val="00587C5F"/>
    <w:rsid w:val="005C2D56"/>
    <w:rsid w:val="00AA1D8D"/>
    <w:rsid w:val="00AA3B31"/>
    <w:rsid w:val="00B47730"/>
    <w:rsid w:val="00CB0664"/>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BAD36"/>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38</Pages>
  <Words>15098</Words>
  <Characters>86062</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2025-07-24T19:13:00Z</dcterms:modified>
  <cp:category/>
</cp:coreProperties>
</file>