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Considering macroeconomic developments and the outlook for the future, the ECB considers that policy rates are at sufficiently restrictive levels for inflation to converge to its medium-term target levels.</w:t>
      </w:r>
    </w:p>
    <w:p>
      <w:r>
        <w:t>During 2023, significant progress was made in the digital strategy based on the implementation and development of key digital capabilities in Digital Onboarding, the Virtual Assistant as a marketing and customer service channel, the Digital Consumer Platform, the Digital Account Transfer service, the deployment of Remote Sales services, as well as the activation of all the capabilities of the Marketing Automation platform, managing the entire offer aimed at customers in an automated way, with an omnichannel vision and based on Artificial Intelligence models.</w:t>
      </w:r>
    </w:p>
    <w:p>
      <w:r>
        <w:t>Within the framework of its co-innovation laboratories, work continued the design of solutions that help our regulatory compliance processes more efficient.</w:t>
      </w:r>
    </w:p>
    <w:p>
      <w:r>
        <w:t>Sustainability Regarding sustainable and responsible banking, the following notable activities were carried out in the fourth quarter of the year, In order to make further progress in sustainable development, the policy of exclusions from financing for environmental and social risks was approved, committing the Bank not to finance activities that may be contrary to the Bank's principles of sustainability.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