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8A732" w14:textId="3C69D55B" w:rsidR="000726F2" w:rsidRDefault="00000000">
      <w:r>
        <w:t xml:space="preserve">Finally, this Disclosure </w:t>
      </w:r>
      <w:proofErr w:type="gramStart"/>
      <w:r>
        <w:t>takes into account</w:t>
      </w:r>
      <w:proofErr w:type="gramEnd"/>
      <w:r>
        <w:t xml:space="preserve"> the indications contained in the document Enhancing the risk disclosures of banks prepared by the international Enhanced Disclosure Task Force EDTF established under the auspices of the Financial Stability Board and published in 2012.</w:t>
      </w:r>
    </w:p>
    <w:p w14:paraId="5C32E914" w14:textId="45E14D04" w:rsidR="000726F2" w:rsidRDefault="00000000">
      <w:r>
        <w:t>Please note that the disclosure of the Group is prepared in accordance with a formal policy Internal Regulation adopted in the application of the CRR Article 431</w:t>
      </w:r>
      <w:r w:rsidR="00C10070">
        <w:t xml:space="preserve"> </w:t>
      </w:r>
      <w:r>
        <w:t>that sets out the internal controls and procedures.</w:t>
      </w:r>
    </w:p>
    <w:p w14:paraId="0E33AC77" w14:textId="77777777" w:rsidR="000726F2" w:rsidRDefault="00000000">
      <w:r>
        <w:t>Market risk EU MR1 Market risk under the standardised approach Market risk EU ORA Qualitative information on operational risk Risk management objectives and policies.</w:t>
      </w:r>
    </w:p>
    <w:p w14:paraId="6F6C13D7" w14:textId="77777777" w:rsidR="000726F2" w:rsidRDefault="00000000">
      <w:r>
        <w:t>Key metrics 439 Disclosure of exposures to counterparty credit risk Risk management objectives and policies.</w:t>
      </w:r>
    </w:p>
    <w:p w14:paraId="20420B4E" w14:textId="77777777" w:rsidR="000726F2" w:rsidRDefault="00000000">
      <w:r>
        <w:t>Exposures to counterparty credit risk 440 Disclosure of countercyclical capital buffers Countercyclical capital buffers 441 Disclosure of indicators of global systemic importance Not applicable 442 Disclosure of exposures to credit risk and dilution risk Risk management objectives and policies.</w:t>
      </w:r>
    </w:p>
    <w:p w14:paraId="20B86DE7" w14:textId="77777777" w:rsidR="000726F2" w:rsidRDefault="00000000">
      <w:r>
        <w:t>Exposures to credit risk and dilution risk 443 Disclosure of encumbered and unencumbered assets Encumbered and unencumbered assets 444 Disclosure of the use of the Standardised Approach Disclosure of the use of the Standardised Approach 445 Disclosure of exposure to market risk Risk management objectives and policies.</w:t>
      </w:r>
    </w:p>
    <w:p w14:paraId="5E5D0418" w14:textId="56EC0596" w:rsidR="000726F2" w:rsidRDefault="00000000">
      <w:proofErr w:type="gramStart"/>
      <w:r>
        <w:t>With regard to</w:t>
      </w:r>
      <w:proofErr w:type="gramEnd"/>
      <w:r>
        <w:t xml:space="preserve"> risk measurement systems, please refer to the chapters dedicated to individual risks, namely Credit and dilution risk exposures, Exposures to counterparty risk, Operational risk management and Market risk.</w:t>
      </w:r>
    </w:p>
    <w:p w14:paraId="3172EA01" w14:textId="77777777" w:rsidR="000726F2" w:rsidRDefault="00000000">
      <w:r>
        <w:t>In order to ensure that business activities are in line with corporate strategies and policies and based on sound and prudent management, FinecoBank, as the Parent Company of the FinecoBank Group, has equipped the Group with a single Internal Control System that allows effective control over both the strategic choices of the Group as a whole and the managerial balance of the individual Group entities.</w:t>
      </w:r>
    </w:p>
    <w:p w14:paraId="208807AD" w14:textId="213B018B" w:rsidR="000726F2" w:rsidRDefault="00000000">
      <w:r>
        <w:t>Specifically, in accordance with the provisions of Supervisory Authorities, the Group's Internal Control System consists of all the rules, functions, structures, resources, processes and procedures aimed at ensuring that the following objectives are achieved</w:t>
      </w:r>
      <w:r w:rsidR="00C10070">
        <w:t xml:space="preserve"> </w:t>
      </w:r>
      <w:r>
        <w:t>containment of risk within the limits set out in the Group Risk Appetite Framework RAF.</w:t>
      </w:r>
    </w:p>
    <w:p w14:paraId="1D9B2D20" w14:textId="64EA9CFE" w:rsidR="000726F2" w:rsidRDefault="00000000">
      <w:r>
        <w:t>The CRO Department, as the risk management function, controls market, credit and operational risks, as regards compliance with limits assigned to operating functions and the consistency of operations of individual production areas with established risk</w:t>
      </w:r>
      <w:r w:rsidR="00C10070">
        <w:t xml:space="preserve"> </w:t>
      </w:r>
      <w:r>
        <w:t>return objectives.</w:t>
      </w:r>
    </w:p>
    <w:p w14:paraId="651EDDB8" w14:textId="77777777" w:rsidR="000726F2" w:rsidRDefault="00000000">
      <w:r>
        <w:t xml:space="preserve">In order to verify the compliance of the Group’s Legal Entities with Parent Company guidelines as well as the effectiveness of the internal control framework, the internal audit </w:t>
      </w:r>
      <w:r>
        <w:lastRenderedPageBreak/>
        <w:t>function of FinecoBank, on a consolidated level, periodically carries out on-site controls on the Group’s Legal Entities, taking into account the importance of the different types of risk assumed by the entities.</w:t>
      </w:r>
    </w:p>
    <w:p w14:paraId="6C2CC56A" w14:textId="77777777" w:rsidR="000726F2" w:rsidRDefault="00000000">
      <w:r>
        <w:t>Risk governance The requirement for a comprehensive and functional internal control framework is the existence of an appropriate business organization suited to ensure sound and prudent management.</w:t>
      </w:r>
    </w:p>
    <w:p w14:paraId="0C9E7117" w14:textId="77777777" w:rsidR="000726F2" w:rsidRDefault="00000000">
      <w:r>
        <w:t>The statement certifies that the risk governance, the risk management systems and the Group's Internal Capital are adequate to cover the Group's risk profile and the activities deriving from its business model.</w:t>
      </w:r>
    </w:p>
    <w:p w14:paraId="08D44A9A" w14:textId="6FB6EF4F" w:rsidR="000726F2" w:rsidRDefault="00000000">
      <w:r>
        <w:t>As the corporate Body responsible for the internal control system, the Chief Executive Officer annually approves the document Managerial Assessment of the Internal Control System and Risks, aimed at evaluating the adequacy of the Group’s risk management measures.</w:t>
      </w:r>
    </w:p>
    <w:p w14:paraId="533EB70F" w14:textId="77777777" w:rsidR="000726F2" w:rsidRDefault="00000000">
      <w:r>
        <w:t>Eventually, as a member of the Board of Directors, the Chief Executive Officer and General Manager approves the annual report on the Group’s Risks Exposures, a document prepared by the Parent Company's CRO Department that summarizes the Group's overall risk profile, with a specific focus on risk indicators included in the Risk Appetite Framework.</w:t>
      </w:r>
    </w:p>
    <w:p w14:paraId="28018E5F" w14:textId="77777777" w:rsidR="000726F2" w:rsidRDefault="00000000">
      <w:r>
        <w:t>The risk management systems described in the following paragraphs are aligned with the Group's risk strategy and consistent with its risk profile.</w:t>
      </w:r>
    </w:p>
    <w:p w14:paraId="5EBF96C5" w14:textId="375CF38E" w:rsidR="000726F2" w:rsidRDefault="00000000">
      <w:r>
        <w:t>In order to internalize these principles</w:t>
      </w:r>
      <w:r w:rsidR="00E64D5F">
        <w:t xml:space="preserve"> </w:t>
      </w:r>
      <w:r>
        <w:t>values and implement the risk culture in daily activities, several initiatives have been developed, in particular</w:t>
      </w:r>
      <w:r w:rsidR="00E64D5F">
        <w:t xml:space="preserve"> </w:t>
      </w:r>
      <w:r>
        <w:t xml:space="preserve"> it has been adopted a Global Policy Charter of Integrity and Code of Conduct of the </w:t>
      </w:r>
      <w:proofErr w:type="spellStart"/>
      <w:r>
        <w:t>FinecoBank</w:t>
      </w:r>
      <w:proofErr w:type="spellEnd"/>
      <w:r>
        <w:t xml:space="preserve"> Group which defines the principles and values with which the Group wishes to conform its operations, as well as the set of rights, duties and responsibilities it assumes towards of all stakeholders, whom it undertakes to respect, and who represent a decisive guide in corporate decisions and conduct.</w:t>
      </w:r>
    </w:p>
    <w:p w14:paraId="7707EF9C" w14:textId="4F14CF0F" w:rsidR="000726F2" w:rsidRDefault="00000000">
      <w:r>
        <w:t xml:space="preserve">Risk management objectives and policies 14 Public </w:t>
      </w:r>
      <w:proofErr w:type="spellStart"/>
      <w:r>
        <w:t>disclosureFinecoBank</w:t>
      </w:r>
      <w:proofErr w:type="spellEnd"/>
      <w:r>
        <w:t xml:space="preserve"> </w:t>
      </w:r>
      <w:r>
        <w:t xml:space="preserve"> Managerial Committees were set up </w:t>
      </w:r>
      <w:proofErr w:type="gramStart"/>
      <w:r>
        <w:t>in order to</w:t>
      </w:r>
      <w:proofErr w:type="gramEnd"/>
      <w:r>
        <w:t xml:space="preserve"> ensure a widespread level of risk awareness at all organizational levels, with the involvement of both business and control structures so-called tone from the top.</w:t>
      </w:r>
    </w:p>
    <w:p w14:paraId="06803108" w14:textId="77777777" w:rsidR="000726F2" w:rsidRDefault="00000000">
      <w:r>
        <w:t>Risk appetite setting and relevant risk management processes The Risk Appetite Framework is an integral part of the Internal Control System and represents the reference framework that defines in line with the maximum risk capacity, the business model and the Multi-year Plan the risk profile, the tolerance thresholds, the risk limits, risk governance policies and the reference processes necessary to define and implement them.</w:t>
      </w:r>
    </w:p>
    <w:p w14:paraId="7EE5AF08" w14:textId="2A5A86B3" w:rsidR="000726F2" w:rsidRDefault="00000000">
      <w:r>
        <w:t xml:space="preserve">In line with the principle of progressive integration of the environmental and social sustainability set out in the risk appetite statement, and in accordance with the most recent </w:t>
      </w:r>
      <w:r>
        <w:lastRenderedPageBreak/>
        <w:t xml:space="preserve">indications issued by regulators on the subject, the Risk Appetite Dashboard integrates some risk </w:t>
      </w:r>
      <w:r w:rsidR="0054562D">
        <w:t xml:space="preserve"> </w:t>
      </w:r>
      <w:r>
        <w:t xml:space="preserve"> performance indicators aimed at monitoring the risks and performance of the Bank in this domain.</w:t>
      </w:r>
    </w:p>
    <w:p w14:paraId="4C78CFC6" w14:textId="77777777" w:rsidR="000726F2" w:rsidRDefault="00000000">
      <w:r>
        <w:t>Thresholds are set on a case-by-case basis, also through managerial decisions by the Board of Directors, always in compliance with regulatory requirements and the instructions received from supervisory bodies.</w:t>
      </w:r>
    </w:p>
    <w:p w14:paraId="51C7C129" w14:textId="6D0FC0A7" w:rsidR="000726F2" w:rsidRDefault="00000000">
      <w:r>
        <w:t>Risk management objectives and policies 16 Public disclosure</w:t>
      </w:r>
      <w:r w:rsidR="00E64D5F">
        <w:t xml:space="preserve"> </w:t>
      </w:r>
      <w:proofErr w:type="spellStart"/>
      <w:r>
        <w:t>FinecoBank</w:t>
      </w:r>
      <w:proofErr w:type="spellEnd"/>
      <w:r>
        <w:t xml:space="preserve"> monitor credit risk and country risk deriving from the Group's strategic investments, taking into adequate consideration the exposure of counterparties to environmental, social and governance risks, and their ability to deal with them.</w:t>
      </w:r>
    </w:p>
    <w:p w14:paraId="774A20C0" w14:textId="77777777" w:rsidR="000726F2" w:rsidRDefault="00000000">
      <w:r>
        <w:t>The Group measures and monitors interest rate risk every day within the methodological framework and the related limits or thresholds approved by the Board of Directors.</w:t>
      </w:r>
    </w:p>
    <w:p w14:paraId="193A83CE" w14:textId="77777777" w:rsidR="000726F2" w:rsidRDefault="00000000">
      <w:r>
        <w:t>Controls inherent in the operational processes and aimed at ensuring compliance with liquidity risk limits through the correct performance of management from an operational and regulatory point of view.</w:t>
      </w:r>
    </w:p>
    <w:p w14:paraId="74DF3EBD" w14:textId="74EC1C19" w:rsidR="000726F2" w:rsidRDefault="00000000">
      <w:r>
        <w:t xml:space="preserve">First level controls consist of monitoring and analysing regulatory and managerial liquidity metrics and in </w:t>
      </w:r>
      <w:r w:rsidR="00B34BAE">
        <w:t>particular daily</w:t>
      </w:r>
      <w:r>
        <w:t xml:space="preserve"> </w:t>
      </w:r>
      <w:proofErr w:type="spellStart"/>
      <w:r>
        <w:t>analysing</w:t>
      </w:r>
      <w:proofErr w:type="spellEnd"/>
      <w:r>
        <w:t xml:space="preserve"> of the Operative Maturity Ladder report to ensure that the cumulative liquidity balance is positive in all time buckets.</w:t>
      </w:r>
    </w:p>
    <w:p w14:paraId="3376CEC0" w14:textId="2394EE86" w:rsidR="000726F2" w:rsidRDefault="00000000">
      <w:r>
        <w:t>The regulatory indicator Net Stable Funding Ratio is also supported by a managerial indicator called Structural Ratio, which shares its objectives and most of the logics.</w:t>
      </w:r>
    </w:p>
    <w:p w14:paraId="6FE6596A" w14:textId="77777777" w:rsidR="000726F2" w:rsidRDefault="00000000">
      <w:r>
        <w:t>Consequently, the Group has not changed the strategies, objectives or policies for liquidity and market risk management, measurement and control.</w:t>
      </w:r>
    </w:p>
    <w:p w14:paraId="73012427" w14:textId="77777777" w:rsidR="000726F2" w:rsidRDefault="00000000">
      <w:r>
        <w:t>For example, operational losses may be losses deriving from internal or external fraud, employment relationship and workplace safety, customer complaints, product distribution, fines and other penalties deriving from regulatory violations, damage to the company's assets, interruptions of the operation and dysfunction of the systems, management of the processes.</w:t>
      </w:r>
    </w:p>
    <w:p w14:paraId="0DD4D48C" w14:textId="2681629C" w:rsidR="000726F2" w:rsidRDefault="00000000">
      <w:r>
        <w:t>As far as the CRO Department is concerned, the changes to the ICT and Cyber risk management framework entail</w:t>
      </w:r>
      <w:r w:rsidR="00C07CB6">
        <w:t xml:space="preserve"> </w:t>
      </w:r>
      <w:r>
        <w:t>expanding ICT and Cyber risk monitoring and control tasks, ensuring that these risks are identified, measured, assessed, managed, monitored as well as reported and maintained within the Risk Appetite limits established by the Bank.</w:t>
      </w:r>
    </w:p>
    <w:p w14:paraId="38EAB363" w14:textId="1BC67C9E" w:rsidR="000726F2" w:rsidRDefault="00000000">
      <w:r>
        <w:t>As far as the Compliance Department is concerned, the changes to the ICT and Cyber risk management framework entail</w:t>
      </w:r>
      <w:r w:rsidR="0054562D">
        <w:t xml:space="preserve"> </w:t>
      </w:r>
      <w:r>
        <w:t>further responsibilities by ensuring compliance of ICT systems and projects, as well as of all activities carried out within the information system, with legal, regulatory or statutory provisions and with internal regulations and codes applicable to the bank Compliance direct regulatory oversight.</w:t>
      </w:r>
    </w:p>
    <w:p w14:paraId="1EF09D1B" w14:textId="2A3C79BB" w:rsidR="000726F2" w:rsidRDefault="00000000">
      <w:r>
        <w:lastRenderedPageBreak/>
        <w:t xml:space="preserve">Risk management objectives and policies </w:t>
      </w:r>
      <w:proofErr w:type="spellStart"/>
      <w:r>
        <w:t>FinecoBankPublic</w:t>
      </w:r>
      <w:proofErr w:type="spellEnd"/>
      <w:r>
        <w:t xml:space="preserve"> disclosure Operational interruptions and system malfunctions losses due to operational interruptions, malfunctions or unavailability of systems.</w:t>
      </w:r>
    </w:p>
    <w:p w14:paraId="0FC7DADF" w14:textId="2C49B5D5" w:rsidR="000726F2" w:rsidRDefault="00000000">
      <w:r>
        <w:t xml:space="preserve">Monitoring of operational and reputational risks is the responsibility of the Operational, Reputational, ICT &amp; Cyber Risk Team, which </w:t>
      </w:r>
      <w:proofErr w:type="gramStart"/>
      <w:r>
        <w:t>is in charge of</w:t>
      </w:r>
      <w:proofErr w:type="gramEnd"/>
      <w:r w:rsidR="000F3D4E">
        <w:t xml:space="preserve"> </w:t>
      </w:r>
      <w:r>
        <w:t>define the operational risk mitigation and control system, in compliance with the provisions of external legislation and, in accordance with the indications of the Board of Directors, with the operational evolution of the Group.</w:t>
      </w:r>
    </w:p>
    <w:p w14:paraId="01244A1F" w14:textId="77777777" w:rsidR="000726F2" w:rsidRDefault="00000000">
      <w:r>
        <w:t>In addition to the aforementioned controls, reputational risks are monitored through the risk assessment carried out by the risk management function throughout the definition, development and approval phase of the Group's products and with the participation in the Products Committee of the Chief Risk Officer.</w:t>
      </w:r>
    </w:p>
    <w:p w14:paraId="683C4813" w14:textId="77777777" w:rsidR="000726F2" w:rsidRDefault="00000000">
      <w:r>
        <w:t>With particular reference to money laundering risks, the composition of the Board of Directors must be such as to ensure the presence of adequate knowledge, skills and experience to understand such risks related to the bank's business and business model.</w:t>
      </w:r>
    </w:p>
    <w:p w14:paraId="6BA5DF50" w14:textId="77777777" w:rsidR="000726F2" w:rsidRDefault="00000000">
      <w:r>
        <w:t>Risk and Related Parties Committee The Board of Directors has set up an internal Risk and Related Parties Committee whose composition, functioning, organisation and activities are governed by the Corporate Bodies’ Regulation.</w:t>
      </w:r>
    </w:p>
    <w:p w14:paraId="5574E045" w14:textId="25A59F2B" w:rsidR="000726F2" w:rsidRDefault="00000000">
      <w:r>
        <w:t xml:space="preserve">Risk management objectives and policies </w:t>
      </w:r>
      <w:proofErr w:type="spellStart"/>
      <w:r>
        <w:t>FinecoBankPublic</w:t>
      </w:r>
      <w:proofErr w:type="spellEnd"/>
      <w:r>
        <w:t xml:space="preserve"> disclosure 23 With reference to the 2022 ICAAP process, concerning the data as </w:t>
      </w:r>
      <w:proofErr w:type="gramStart"/>
      <w:r>
        <w:t>at</w:t>
      </w:r>
      <w:proofErr w:type="gramEnd"/>
      <w:r>
        <w:t xml:space="preserve"> 31 December 2022, the Group confirmed its capital adequacy.</w:t>
      </w:r>
    </w:p>
    <w:p w14:paraId="7FCC9998" w14:textId="77777777" w:rsidR="000726F2" w:rsidRDefault="00000000">
      <w:r>
        <w:t>All the indicators relating to the Economic and Regulatory perspective are above the minimum regulatory levels and the objectives defined in the Risk Appetite.</w:t>
      </w:r>
    </w:p>
    <w:p w14:paraId="672D56F3" w14:textId="77777777" w:rsidR="000726F2" w:rsidRDefault="00000000">
      <w:r>
        <w:t>The elements subject to assessment in the SREP process are the feasibility and sustainability of the business model, the adequacy of governance and risk management, capital risk assessment, liquidity and funding risk assessment.</w:t>
      </w:r>
    </w:p>
    <w:p w14:paraId="516D9659" w14:textId="3FFE0C99" w:rsidR="000726F2" w:rsidRDefault="00000000">
      <w:r>
        <w:t xml:space="preserve">Risk management objectives and policies 24 Public </w:t>
      </w:r>
      <w:proofErr w:type="spellStart"/>
      <w:r>
        <w:t>disclosureFinecoBank</w:t>
      </w:r>
      <w:proofErr w:type="spellEnd"/>
      <w:r>
        <w:t xml:space="preserve"> Scope of application </w:t>
      </w:r>
      <w:proofErr w:type="spellStart"/>
      <w:r>
        <w:t>FinecoBankPublic</w:t>
      </w:r>
      <w:proofErr w:type="spellEnd"/>
      <w:r>
        <w:t xml:space="preserve"> disclosure 25 Scope of application Name of the bank to which the disclosure requirements apply FinecoBank S.</w:t>
      </w:r>
    </w:p>
    <w:p w14:paraId="742DA7A6" w14:textId="3C767EFD" w:rsidR="000726F2" w:rsidRDefault="00000000">
      <w:r>
        <w:t xml:space="preserve">Scope of application 26 Public </w:t>
      </w:r>
      <w:proofErr w:type="spellStart"/>
      <w:r>
        <w:t>disclosureFinecoBank</w:t>
      </w:r>
      <w:proofErr w:type="spellEnd"/>
      <w:r>
        <w:t xml:space="preserve"> EU LI1 Differences between the accounting scope and the scope of prudential consolidation and mapping of financial statement categories with regulatory risk categories Amounts in € thousand Carrying values as reported in published financial statement and under scope of prudential consolidation Carrying values items subject to the credit risk framework subject to the CCR framework subject to the securitisation framework subject to the market risk framework not subject to own funds requirements or subject to deduction from own funds Breakdown by asset classes according to the balance sheet in the published financial statement</w:t>
      </w:r>
      <w:r w:rsidR="000F3D4E">
        <w:t>s.</w:t>
      </w:r>
    </w:p>
    <w:p w14:paraId="16858AE9" w14:textId="0758BF27" w:rsidR="000726F2" w:rsidRDefault="00000000">
      <w:r>
        <w:lastRenderedPageBreak/>
        <w:t xml:space="preserve">Own Funds </w:t>
      </w:r>
      <w:proofErr w:type="spellStart"/>
      <w:r>
        <w:t>FinecoBankPublic</w:t>
      </w:r>
      <w:proofErr w:type="spellEnd"/>
      <w:r>
        <w:t xml:space="preserve"> disclosure 39 EU CC2 Reconciliation of regulatory own funds to balance sheet in the audited financial statements Amounts in € thousand Balance sheet as in published financial statements Under regulatory scope of consolidation Ref.</w:t>
      </w:r>
    </w:p>
    <w:p w14:paraId="1C2ECD03" w14:textId="02FA8B6F" w:rsidR="000726F2" w:rsidRDefault="00000000">
      <w:r>
        <w:t xml:space="preserve">Reserves 890,106 890,106 2 and 3 Own Funds 40 Public </w:t>
      </w:r>
      <w:proofErr w:type="spellStart"/>
      <w:r>
        <w:t>disclosureFinecoBank</w:t>
      </w:r>
      <w:proofErr w:type="spellEnd"/>
      <w:r>
        <w:t xml:space="preserve"> continued EU CC2 Reconciliation of regulatory own funds to balance sheet in the audited financial statements Amounts in € thousand Balance sheet as in published financial statements Under regulatory scope of consolidation</w:t>
      </w:r>
      <w:r w:rsidR="00E35306">
        <w:t>.</w:t>
      </w:r>
    </w:p>
    <w:p w14:paraId="4A7BA0B0" w14:textId="77777777" w:rsidR="000726F2" w:rsidRDefault="00000000">
      <w:r>
        <w:t>In the dynamic management of capital, the Group draws up the capital plan and monitors the regulatory capital requirements, anticipating the appropriate actions to achieve the targets.</w:t>
      </w:r>
    </w:p>
    <w:p w14:paraId="03D06D69" w14:textId="77777777" w:rsidR="000726F2" w:rsidRDefault="00000000">
      <w:r>
        <w:t>Capital at risk is measured according to risk management techniques, for which risk capital is defined as internal capital, on the one hand, and supervisory regulations, for which risk capital is defined as regulatory capital, on the other.</w:t>
      </w:r>
    </w:p>
    <w:p w14:paraId="6E021714" w14:textId="5807A448" w:rsidR="000726F2" w:rsidRDefault="00000000">
      <w:r>
        <w:t xml:space="preserve">The process of capital allocation is based on a dual track logic, considering both economic </w:t>
      </w:r>
      <w:proofErr w:type="gramStart"/>
      <w:r>
        <w:t>capital</w:t>
      </w:r>
      <w:proofErr w:type="gramEnd"/>
      <w:r>
        <w:t>, measured through the full evaluation of risks via risk management models, and regulatory capital, quantified applying internal capitalisation targets to regulatory capital requirements.</w:t>
      </w:r>
    </w:p>
    <w:p w14:paraId="613C5479" w14:textId="77777777" w:rsidR="000726F2" w:rsidRDefault="00000000">
      <w:r>
        <w:t>The Group dynamically manages its capital base by monitoring regulatory capital ratios, anticipating the appropriate changes necessary to achieve its defined targets, and optimising the composition of its assets and equity.</w:t>
      </w:r>
    </w:p>
    <w:p w14:paraId="1E8BF5B6" w14:textId="6B299371" w:rsidR="000726F2" w:rsidRDefault="00000000">
      <w:r>
        <w:t xml:space="preserve">With reference to </w:t>
      </w:r>
      <w:proofErr w:type="gramStart"/>
      <w:r>
        <w:t>particular socio-economic</w:t>
      </w:r>
      <w:proofErr w:type="gramEnd"/>
      <w:r>
        <w:t xml:space="preserve"> scenarios, characterized by a high degree severity, the Group, considering the role and social responsibility it is invested in, may join initiatives aimed at supporting families and </w:t>
      </w:r>
      <w:r w:rsidR="0054562D">
        <w:t xml:space="preserve"> </w:t>
      </w:r>
      <w:r>
        <w:t xml:space="preserve"> or companies in temporary difficulty.</w:t>
      </w:r>
    </w:p>
    <w:p w14:paraId="7A5E199C" w14:textId="77777777" w:rsidR="000726F2" w:rsidRDefault="00000000">
      <w:r>
        <w:t>It should also be noted that the LGD model for mortgage loans considers climate and environmental risks into the assessment, with particular reference to physical risk.</w:t>
      </w:r>
    </w:p>
    <w:p w14:paraId="0709755A" w14:textId="77777777" w:rsidR="000726F2" w:rsidRDefault="00000000">
      <w:r>
        <w:t>Process of transfer of the issuer or issue credit ratings to comparable assets not included in the regulatory trading book In compliance with CRR, the criteria have been defined, as described below, for the use of issue and issuer credit ratings for the assessment of exposure risks.</w:t>
      </w:r>
    </w:p>
    <w:p w14:paraId="10E7C4F5" w14:textId="77777777" w:rsidR="000726F2" w:rsidRDefault="00000000">
      <w:r>
        <w:t>Credit protection is a recognized regulatory tool used by credit institutions to reduce credit risk associated with their exposures.</w:t>
      </w:r>
    </w:p>
    <w:p w14:paraId="267B9484" w14:textId="77777777" w:rsidR="000726F2" w:rsidRDefault="00000000">
      <w:r>
        <w:t>This mitigation tool ensure compliance with the regulatory limit on large exposures enshrined in art.</w:t>
      </w:r>
    </w:p>
    <w:p w14:paraId="6DFD578E" w14:textId="1545663C" w:rsidR="000726F2" w:rsidRDefault="00000000">
      <w:r>
        <w:t xml:space="preserve">As far as credit business with institutional counterparties is concerned, the Group assesses the technical feasibility of new business proposals with institutional counterparties and the compliance with regulatory requirements through the involvement of the proposing </w:t>
      </w:r>
      <w:r>
        <w:lastRenderedPageBreak/>
        <w:t>functions of the CFO Department mainly the Finance function, the CRO Department, as the risk management function, the CLO Department, in its role of assignee of the risk ceiling, and other technical support functions.</w:t>
      </w:r>
    </w:p>
    <w:p w14:paraId="2B14C6FE" w14:textId="7C3AC15A" w:rsidR="000726F2" w:rsidRDefault="00000000">
      <w:r>
        <w:t xml:space="preserve">Disclosure of the use of credit risk mitigation techniques </w:t>
      </w:r>
      <w:proofErr w:type="spellStart"/>
      <w:r>
        <w:t>FinecoBankPublic</w:t>
      </w:r>
      <w:proofErr w:type="spellEnd"/>
      <w:r>
        <w:t xml:space="preserve"> disclosure 73 With regard to financial collateral acquired as a pledge to guarantee overdraft facilities, the CRO Department regularly carries out second-level monitoring on the degree of concentration towards individual issuers or groups of issuers and informs the Board of Directors of the Parent Company in the quarterly report on the Group's risk exposures.</w:t>
      </w:r>
    </w:p>
    <w:p w14:paraId="5722C109" w14:textId="60C3E582" w:rsidR="000726F2" w:rsidRDefault="00000000">
      <w:r>
        <w:t>Risk limits are established according to a prudential approach, always in compliance with Exposures to counterparty credit risk 76 Public disclosure</w:t>
      </w:r>
      <w:r w:rsidR="00E35306">
        <w:t xml:space="preserve"> </w:t>
      </w:r>
      <w:proofErr w:type="spellStart"/>
      <w:r>
        <w:t>FinecoBank</w:t>
      </w:r>
      <w:proofErr w:type="spellEnd"/>
      <w:r>
        <w:t xml:space="preserve"> the regulatory limits on large exposures.</w:t>
      </w:r>
    </w:p>
    <w:p w14:paraId="6B544A09" w14:textId="77777777" w:rsidR="000726F2" w:rsidRDefault="00000000">
      <w:r>
        <w:t>Compliance with the assigned ceilings and the regulatory limits is ensured by both business and operating units through line controls and by control functions through second level controls.</w:t>
      </w:r>
    </w:p>
    <w:p w14:paraId="195A2B99" w14:textId="64298092" w:rsidR="000726F2" w:rsidRDefault="00000000">
      <w:r>
        <w:t xml:space="preserve">For SFT transactions, in addition to the adoption of the </w:t>
      </w:r>
      <w:proofErr w:type="gramStart"/>
      <w:r>
        <w:t>aforementioned standard</w:t>
      </w:r>
      <w:proofErr w:type="gramEnd"/>
      <w:r>
        <w:t xml:space="preserve"> contracts</w:t>
      </w:r>
      <w:r w:rsidR="0054562D">
        <w:t xml:space="preserve"> </w:t>
      </w:r>
      <w:r>
        <w:t xml:space="preserve">framework agreements, the Parent Company's Risk Management function has identified a series of minimum contractual safeguards without which the exposures cannot benefit from the recognition of risk mitigation techniques </w:t>
      </w:r>
      <w:r w:rsidR="00B34BAE">
        <w:t>a</w:t>
      </w:r>
      <w:r>
        <w:t xml:space="preserve">s </w:t>
      </w:r>
      <w:proofErr w:type="gramStart"/>
      <w:r>
        <w:t>at</w:t>
      </w:r>
      <w:proofErr w:type="gramEnd"/>
      <w:r>
        <w:t xml:space="preserve"> 31 December 2023, for the purposes of calculating the regulatory requirement for operational risk, the Group applies the Standardized Approach.</w:t>
      </w:r>
    </w:p>
    <w:p w14:paraId="33473E8F" w14:textId="3385780D" w:rsidR="000726F2" w:rsidRDefault="00000000">
      <w:r>
        <w:t>Although the adoption of the standardized method does not require it, the Group maintains the governance, the controls and the reporting framework of the AMA Advanced Measurement Approach method, previously adopted for the measurement of the capital requirements.</w:t>
      </w:r>
    </w:p>
    <w:p w14:paraId="4F37D3B5" w14:textId="38363E4A" w:rsidR="000726F2" w:rsidRDefault="00000000">
      <w:r>
        <w:t>As described in the chapter Risk management objectives and policies, the database of internal loss data was also used to develop a pillar II internal capital calculation model.</w:t>
      </w:r>
    </w:p>
    <w:p w14:paraId="2BC1A5D7" w14:textId="77777777" w:rsidR="000726F2" w:rsidRDefault="00000000">
      <w:r>
        <w:t>For the purposes of calculating own funds requirement according to the Standardized Approach, the Group's activities have been classified into business lines, based on a procedure approved by the Board of Directors, and in accordance with the principles set out in Articles 317 and 318 CRR.</w:t>
      </w:r>
    </w:p>
    <w:p w14:paraId="3F03EFD7" w14:textId="77777777" w:rsidR="000726F2" w:rsidRDefault="00000000">
      <w:r>
        <w:t>Interest rate risk management in FinecoBank aims to ensure financial stability in the financial statement, regardless of the variation effects of interest rates on the net interest income and the economic value.</w:t>
      </w:r>
    </w:p>
    <w:p w14:paraId="1514D091" w14:textId="33F7AEA7" w:rsidR="000726F2" w:rsidRDefault="00000000">
      <w:proofErr w:type="gramStart"/>
      <w:r>
        <w:t>In particular, in</w:t>
      </w:r>
      <w:proofErr w:type="gramEnd"/>
      <w:r>
        <w:t xml:space="preserve"> full compliance with the regulatory provisions, FinecoBank assesses interest rate risk according to two different but complementary perspectives</w:t>
      </w:r>
      <w:r w:rsidR="0054562D">
        <w:t xml:space="preserve"> </w:t>
      </w:r>
      <w:r>
        <w:t>Economic value perspective and Income perspective.</w:t>
      </w:r>
    </w:p>
    <w:p w14:paraId="5A920CC3" w14:textId="77777777" w:rsidR="000726F2" w:rsidRDefault="00000000">
      <w:r>
        <w:lastRenderedPageBreak/>
        <w:t>In particular, the Policy describes the management of liquidity and its risks in standard conditions and in crisis conditions, the first and second level control activities and the Group governance on the matter, defining the roles and responsibilities of the corporate Bodies and functions of the Parent Company.</w:t>
      </w:r>
    </w:p>
    <w:p w14:paraId="3000769F" w14:textId="14007873" w:rsidR="000726F2" w:rsidRDefault="00000000">
      <w:r>
        <w:t>The regulatory indicator is also complemented by a managerial indicator called structural ratio, which shares most of its objectives and logics.</w:t>
      </w:r>
    </w:p>
    <w:p w14:paraId="1CD38D2D" w14:textId="77777777" w:rsidR="000726F2" w:rsidRDefault="00000000">
      <w:r>
        <w:t>The compliance with this regulatory requirement is constantly monitored by setting internal limits within the risk appetite framework that are above the minimum regulatory level of 100%.</w:t>
      </w:r>
    </w:p>
    <w:p w14:paraId="7ADBC1E6" w14:textId="1AEA4BDC" w:rsidR="000726F2" w:rsidRDefault="00000000">
      <w:r>
        <w:t>The regulatory framework applied is represented by</w:t>
      </w:r>
      <w:r w:rsidR="00741DC5">
        <w:t xml:space="preserve"> </w:t>
      </w:r>
      <w:r>
        <w:t xml:space="preserve">with reference to the requirements to </w:t>
      </w:r>
      <w:proofErr w:type="spellStart"/>
      <w:r>
        <w:t>beC</w:t>
      </w:r>
      <w:proofErr w:type="spellEnd"/>
      <w:r w:rsidR="00741DC5">
        <w:t xml:space="preserve"> </w:t>
      </w:r>
      <w:r>
        <w:t>RR article 412 Liquidity coverage requirement.</w:t>
      </w:r>
    </w:p>
    <w:p w14:paraId="5BAA8A7E" w14:textId="225B61DE" w:rsidR="000726F2" w:rsidRDefault="00000000">
      <w:r>
        <w:t>As for the regulatory indicators, the effectiveness of the funding measures provided by FinecoBank is demonstrated by the levels well above the regulatory limits of the calculated and monitored liquidity ratios LCR and NSFR.</w:t>
      </w:r>
    </w:p>
    <w:p w14:paraId="388FD9DE" w14:textId="1C014525" w:rsidR="000726F2" w:rsidRDefault="00000000">
      <w:r>
        <w:t xml:space="preserve">The underlying regulatory framework is represented </w:t>
      </w:r>
      <w:proofErr w:type="gramStart"/>
      <w:r>
        <w:t>b</w:t>
      </w:r>
      <w:r w:rsidR="00741DC5">
        <w:t xml:space="preserve">y </w:t>
      </w:r>
      <w:r>
        <w:t xml:space="preserve"> with</w:t>
      </w:r>
      <w:proofErr w:type="gramEnd"/>
      <w:r>
        <w:t xml:space="preserve"> reference to the requirements to be</w:t>
      </w:r>
      <w:r w:rsidR="00741DC5">
        <w:t xml:space="preserve"> </w:t>
      </w:r>
      <w:r>
        <w:t>CRR article 413 Stable funding requirement and the new Articles 428a et seq.</w:t>
      </w:r>
    </w:p>
    <w:p w14:paraId="01A5E82D" w14:textId="77777777" w:rsidR="000726F2" w:rsidRDefault="00000000">
      <w:r>
        <w:t>Processes used to manage the risk of excessive leverage The Group’s Risk Appetite Framework is the foundation for risk management in the FinecoBank Group.</w:t>
      </w:r>
    </w:p>
    <w:p w14:paraId="54C8C79C" w14:textId="77777777" w:rsidR="000726F2" w:rsidRDefault="00000000">
      <w:r>
        <w:t>The Framework sets out governance mechanisms, processes, instruments and procedures for the overall management of the Group’s risks.</w:t>
      </w:r>
    </w:p>
    <w:p w14:paraId="359E8D88" w14:textId="77777777" w:rsidR="000726F2" w:rsidRDefault="00000000">
      <w:r>
        <w:t>The results of periodic monitoring and reporting are presented on a quarterly basis to the Board of Directors of the Parent Company within the Report on the Group’s risk exposure.</w:t>
      </w:r>
    </w:p>
    <w:p w14:paraId="1EA861E4" w14:textId="296CF5A3" w:rsidR="000726F2" w:rsidRDefault="00000000">
      <w:r>
        <w:t>Leverage 104 Public disclosure</w:t>
      </w:r>
      <w:r w:rsidR="00741DC5">
        <w:t xml:space="preserve"> </w:t>
      </w:r>
      <w:proofErr w:type="spellStart"/>
      <w:r>
        <w:t>FinecoBank</w:t>
      </w:r>
      <w:proofErr w:type="spellEnd"/>
      <w:r>
        <w:t xml:space="preserve"> Disclosure of environmental, social and governance risks </w:t>
      </w:r>
      <w:proofErr w:type="spellStart"/>
      <w:r>
        <w:t>FinecoBankPublic</w:t>
      </w:r>
      <w:proofErr w:type="spellEnd"/>
      <w:r>
        <w:t xml:space="preserve"> disclosure 105 Disclosure of environmental, social and governance risks Information on environmental, social and governance risks required under Article 449a of the CRR is described below.</w:t>
      </w:r>
    </w:p>
    <w:p w14:paraId="3CC0263E" w14:textId="1635500E" w:rsidR="000726F2" w:rsidRDefault="00000000">
      <w:r>
        <w:t>The orientation towards sustainable growth is a fundamental element of the long-term value creation strategy for the Group and for all its stakeholders, which Fineco pursues by operating in line with its corporate purpose revised in December 2023</w:t>
      </w:r>
      <w:r w:rsidR="0054562D">
        <w:t xml:space="preserve"> </w:t>
      </w:r>
      <w:r>
        <w:t xml:space="preserve">to support customers in taking a responsible approach to their financial life </w:t>
      </w:r>
      <w:proofErr w:type="gramStart"/>
      <w:r>
        <w:t>in order to</w:t>
      </w:r>
      <w:proofErr w:type="gramEnd"/>
      <w:r>
        <w:t xml:space="preserve"> create the conditions for a more prosperous and fairer society.</w:t>
      </w:r>
    </w:p>
    <w:p w14:paraId="3287FE21" w14:textId="77777777" w:rsidR="000726F2" w:rsidRDefault="00000000">
      <w:r>
        <w:t xml:space="preserve">The adoption, in 2022, of a Sustainability Policy14 defined the reference and linking framework for all the commitments signed by the Group on sustainability, as well as for defining the governance structure and compliance monitoring with respect to Environmental, Social and Governance matters , for regulating the process of identifying </w:t>
      </w:r>
      <w:r>
        <w:lastRenderedPageBreak/>
        <w:t>and managing ESG risks and for identifying the main areas of integration of sustainability factors into the Group's business and activities.</w:t>
      </w:r>
    </w:p>
    <w:p w14:paraId="262CF728" w14:textId="77777777" w:rsidR="000726F2" w:rsidRDefault="00000000">
      <w:r>
        <w:t>Adherence to the most important sustainability initiatives of the United Nations, in particular the Principles of the Global Compact, the Principles for Responsible Banking and the Principles for Responsible Investment, allows the commitments signed by the Group to be placed within the political-institutional framework outlined by the Paris Agreement and the 2030 Agenda for Sustainable Development and to increasingly integrate ESG risks and factors in business decisions.</w:t>
      </w:r>
    </w:p>
    <w:p w14:paraId="261271BB" w14:textId="77777777" w:rsidR="000726F2" w:rsidRDefault="00000000">
      <w:r>
        <w:t>Qualitative information on environmental risk This section provides qualitative information on environmental risk describing the integration of such risks, including specific information on climate change risks, into the FinecoBank Group's strategy and business processes, governance and risk management.</w:t>
      </w:r>
    </w:p>
    <w:p w14:paraId="2CA1CF41" w14:textId="77777777" w:rsidR="000726F2" w:rsidRDefault="00000000">
      <w:r>
        <w:t>Strategy and business processes In 2020, the Group adopted an Environmental Policy, which formalises Fineco's overall intentions and direction with respect to its environmental performance, including compliance with all relevant environmental regulatory obligations and a commitment to continuous improvement in environmental performance.</w:t>
      </w:r>
    </w:p>
    <w:p w14:paraId="5698AC8E" w14:textId="26C63EA4" w:rsidR="000726F2" w:rsidRDefault="00000000">
      <w:proofErr w:type="gramStart"/>
      <w:r>
        <w:t>In order to</w:t>
      </w:r>
      <w:proofErr w:type="gramEnd"/>
      <w:r>
        <w:t xml:space="preserve"> ensure an increasing integration of environmental, social and governance aspects within the strategy, in December 2019 Fineco approved an initial set of sustainability objectives to be pursued in the years 2020-2023 2020-2023 ESG Plan.</w:t>
      </w:r>
    </w:p>
    <w:p w14:paraId="3A20A96A" w14:textId="3F414670" w:rsidR="000726F2" w:rsidRDefault="00000000">
      <w:r>
        <w:t>The ESG objectives include specific activities in six macro-areas</w:t>
      </w:r>
      <w:r w:rsidR="0054562D">
        <w:t xml:space="preserve"> </w:t>
      </w:r>
      <w:r>
        <w:t>human resources, responsible finance, financial education</w:t>
      </w:r>
      <w:r w:rsidR="0054562D">
        <w:t xml:space="preserve"> </w:t>
      </w:r>
      <w:r>
        <w:t>community support projects, supply chain, shareholders and environment.</w:t>
      </w:r>
    </w:p>
    <w:p w14:paraId="12101B95" w14:textId="37E9EBD2" w:rsidR="000726F2" w:rsidRDefault="00000000">
      <w:r>
        <w:t xml:space="preserve">From an environmental standpoint, in addition to the objectives related to reducing impacts related to internal operations, those formalised </w:t>
      </w:r>
      <w:proofErr w:type="gramStart"/>
      <w:r>
        <w:t>in the area of</w:t>
      </w:r>
      <w:proofErr w:type="gramEnd"/>
      <w:r>
        <w:t xml:space="preserve"> responsible finance include the increase of social and environmental product offer among mortgages and loans.</w:t>
      </w:r>
    </w:p>
    <w:p w14:paraId="0EFECEF7" w14:textId="77777777" w:rsidR="000726F2" w:rsidRDefault="00000000">
      <w:r>
        <w:t>The goal is to achieve net zero emissions status by 2050, including both operational and financed emissions.</w:t>
      </w:r>
    </w:p>
    <w:p w14:paraId="6056972C" w14:textId="77777777" w:rsidR="000726F2" w:rsidRDefault="00000000">
      <w:r>
        <w:t>In particular, the Bank is committed to ensuring that its balance sheet assets, and more specifically its sovereign and bank debt securities, are 100% aligned with the net zero emissions target by 2050, coherently with the Paris Agreement.</w:t>
      </w:r>
    </w:p>
    <w:p w14:paraId="74F24AB9" w14:textId="77777777" w:rsidR="000726F2" w:rsidRDefault="00000000">
      <w:r>
        <w:t>In terms of operational emissions, the Bank is committed to a 55% reduction by 2026 in operational emissions for Scope 1 and 2 and a to a 20% reduction in operational emissions by 2030 for Scope 3.</w:t>
      </w:r>
    </w:p>
    <w:p w14:paraId="0E298FF3" w14:textId="1E5DEDE0" w:rsidR="000726F2" w:rsidRDefault="00000000">
      <w:r>
        <w:t>Since 2020, the Group aligns the ESG Plan targets with the UN Sustainable Development Goals SDGs deemed most relevant based on the commonalities between the 169 targets and the Group’s material topics.</w:t>
      </w:r>
    </w:p>
    <w:p w14:paraId="6B84109A" w14:textId="77777777" w:rsidR="000726F2" w:rsidRDefault="00000000">
      <w:r>
        <w:lastRenderedPageBreak/>
        <w:t>Overall, Fineco's exposure to climate and environmental risks is limited by the internal characteristics of its business model and the analyses conducted show a low impact of environmental risks on the Group's risk profile.</w:t>
      </w:r>
    </w:p>
    <w:p w14:paraId="447DCE0B" w14:textId="77777777" w:rsidR="000726F2" w:rsidRDefault="00000000">
      <w:r>
        <w:t>In defining and implementing its business strategy, Fineco integrates climate and environmental risks that may have an impact on its business environment in the short, medium and long term.</w:t>
      </w:r>
    </w:p>
    <w:p w14:paraId="29565DA1" w14:textId="77777777" w:rsidR="000726F2" w:rsidRDefault="00000000">
      <w:r>
        <w:t>Analysis of the regulatory and competitive landscape on climate and, more generally, sustainability matters, in order to assess the impact of related risks on the Group, is carried out on a regular basis.</w:t>
      </w:r>
    </w:p>
    <w:p w14:paraId="7152B6F6" w14:textId="1F4FAC8B" w:rsidR="000726F2" w:rsidRDefault="00000000">
      <w:r>
        <w:t xml:space="preserve">In addition, to regulate the process of defining and implementing the Bank's ESG Plan and Environmental Programme, a specific procedure has been adopted that requires, among other things, that the objectives defined are consistent with the Group's strategic guidelines, including through dialogue with the Chief Risk Officer Available on the </w:t>
      </w:r>
      <w:proofErr w:type="spellStart"/>
      <w:r>
        <w:t>FinecoBank</w:t>
      </w:r>
      <w:proofErr w:type="spellEnd"/>
      <w:r>
        <w:t xml:space="preserve"> website at the link section Sustainability.</w:t>
      </w:r>
    </w:p>
    <w:p w14:paraId="0D41F488" w14:textId="4E9B20E5" w:rsidR="000726F2" w:rsidRDefault="00000000">
      <w:r>
        <w:t>Disclosure of environmental, social and governance risks 106 Public disclosure</w:t>
      </w:r>
      <w:r w:rsidR="002645BF">
        <w:t xml:space="preserve"> </w:t>
      </w:r>
      <w:proofErr w:type="spellStart"/>
      <w:r>
        <w:t>FinecoBank</w:t>
      </w:r>
      <w:proofErr w:type="spellEnd"/>
      <w:r>
        <w:t xml:space="preserve"> Department.</w:t>
      </w:r>
    </w:p>
    <w:p w14:paraId="364EADF2" w14:textId="77777777" w:rsidR="000726F2" w:rsidRDefault="00000000">
      <w:r>
        <w:t>To ensure an increasing integration of environmental, social and governance aspects into its Investment Plan, since 2019 Fineco has started to allocate a portion of its financial resources to the subscription of green, sustainable and social bonds.</w:t>
      </w:r>
    </w:p>
    <w:p w14:paraId="0373DAA9" w14:textId="147B6B1E" w:rsidR="000726F2" w:rsidRDefault="00000000">
      <w:r>
        <w:t>Regarding counterparty engagement on environmental risk management, the Bank's lending policy is geared towards lending to retail customers and investment in central government financial instruments sovereign bonds, as reflected in the share of exposures to central governments, central banks and supranational issuers.</w:t>
      </w:r>
    </w:p>
    <w:p w14:paraId="0E982C49" w14:textId="77777777" w:rsidR="000726F2" w:rsidRDefault="00000000">
      <w:r>
        <w:t>Considering this, FinecoBank's business model has little exposure to climate and environmental risk factors, as detailed in the Risk Management section.</w:t>
      </w:r>
    </w:p>
    <w:p w14:paraId="7EE7AA68" w14:textId="77777777" w:rsidR="000726F2" w:rsidRDefault="00000000">
      <w:r>
        <w:t>Specifically, it oversees the evolution of the Group's Sustainability strategy, assesses the risks related to Sustainability issues, examines and, where appropriate, formulates proposals regarding corporate plans, objectives, rules and procedures on social and environmental issues, also playing a support role to the Board of Directors for the approval of policies aimed at promoting diversity and inclusiveness, monitors the positioning of the Company and the Group with respect to the financial markets on Sustainability issues and Stakeholder relations, and examines and advises on the policy for managing relations with all the Shareholders.</w:t>
      </w:r>
    </w:p>
    <w:p w14:paraId="18815956" w14:textId="77777777" w:rsidR="000726F2" w:rsidRDefault="00000000">
      <w:r>
        <w:t>The Management Committee is also in charge of monitoring the progress of the defined Sustainability strategy.</w:t>
      </w:r>
    </w:p>
    <w:p w14:paraId="354CEDF7" w14:textId="2C256DCE" w:rsidR="000726F2" w:rsidRDefault="00000000">
      <w:r>
        <w:lastRenderedPageBreak/>
        <w:t xml:space="preserve">Disclosure of environmental, social and governance risks </w:t>
      </w:r>
      <w:proofErr w:type="spellStart"/>
      <w:r>
        <w:t>FinecoBankPublic</w:t>
      </w:r>
      <w:proofErr w:type="spellEnd"/>
      <w:r>
        <w:t xml:space="preserve"> disclosure 107 the Compliance function ensures second-level compliance controls for regulations within its competence, such as investment services or banking products.</w:t>
      </w:r>
    </w:p>
    <w:p w14:paraId="6351FFA2" w14:textId="43086CC4" w:rsidR="000726F2" w:rsidRDefault="00000000">
      <w:r>
        <w:t xml:space="preserve">With reference to each </w:t>
      </w:r>
      <w:proofErr w:type="gramStart"/>
      <w:r>
        <w:t>Subsidiary</w:t>
      </w:r>
      <w:r w:rsidR="002645BF">
        <w:t xml:space="preserve"> </w:t>
      </w:r>
      <w:r>
        <w:t xml:space="preserve"> it</w:t>
      </w:r>
      <w:proofErr w:type="gramEnd"/>
      <w:r>
        <w:t xml:space="preserve"> is required to identify an organizational structure within each subsidiary to assume the role of the main Coordinator of the implementation and ongoing supervision of Sustainability-related activities.</w:t>
      </w:r>
    </w:p>
    <w:p w14:paraId="5BC8E110" w14:textId="77777777" w:rsidR="000726F2" w:rsidRDefault="00000000">
      <w:r>
        <w:t>Assigning this role to a centralized function is intended to ensure that a consistent ESG approach is adopted towards all Stakeholders.</w:t>
      </w:r>
    </w:p>
    <w:p w14:paraId="446EFC47" w14:textId="1038606A" w:rsidR="000726F2" w:rsidRDefault="00000000">
      <w:r>
        <w:t>In addition, a dedicated ESG regulatory oversight organisational model has been established in the parent company, divided into seven macro-areas</w:t>
      </w:r>
      <w:r w:rsidR="002645BF">
        <w:t xml:space="preserve"> </w:t>
      </w:r>
      <w:proofErr w:type="gramStart"/>
      <w:r>
        <w:t>Non-financial</w:t>
      </w:r>
      <w:proofErr w:type="gramEnd"/>
      <w:r>
        <w:t xml:space="preserve"> disclosure.</w:t>
      </w:r>
    </w:p>
    <w:p w14:paraId="70D104FC" w14:textId="77777777" w:rsidR="000726F2" w:rsidRDefault="00000000">
      <w:r>
        <w:t>With reference to the frequency and method of external and internal reporting on environmental risk, the Risk Management team illustrates to the Corporate Bodies the results of the control and monitoring of such risks on quarterly basis, in its Report on Risk Exposures.</w:t>
      </w:r>
    </w:p>
    <w:p w14:paraId="1DB9258B" w14:textId="77777777" w:rsidR="000726F2" w:rsidRDefault="00000000">
      <w:r>
        <w:t>Finally, regarding remuneration policy, the alignment of top management incentive systems with the RAF favours a conservative approach to risktaking and the maintenance of adequate risk levels.</w:t>
      </w:r>
    </w:p>
    <w:p w14:paraId="62E211D9" w14:textId="77777777" w:rsidR="000726F2" w:rsidRDefault="00000000">
      <w:r>
        <w:t>Indeed, the incentive systems are consistent with corporate values and objectives, including those of sustainable finance that take ESG factors into account, with long-term strategies linked to corporate performance and with prudent risk management policies.</w:t>
      </w:r>
    </w:p>
    <w:p w14:paraId="15D38F32" w14:textId="77777777" w:rsidR="000726F2" w:rsidRDefault="00000000">
      <w:r>
        <w:t>The Group is committed to developing sound and effective risk management, providing correction mechanisms for the systems themselves, in order to make them consistent with the reference framework for determining risk appetite and with the levels of capital and liquidity required to meet the activities undertaken and, in any case, such as to avoid distorted incentives that could lead to regulatory violations or excessive risk-taking.</w:t>
      </w:r>
    </w:p>
    <w:p w14:paraId="70293113" w14:textId="77777777" w:rsidR="000726F2" w:rsidRDefault="00000000">
      <w:r>
        <w:t>In particular, the individual objectives of the Chief Executive Officer and General Manager and other Identified Staff, depending on the specificity of the role, in relation to the short-term incentive system are integrated with objectives related to sustainability.</w:t>
      </w:r>
    </w:p>
    <w:p w14:paraId="774CA3C7" w14:textId="4D8C7EE7" w:rsidR="000726F2" w:rsidRDefault="00000000">
      <w:r>
        <w:t>Within the specific objective Stakeholder Value, in line with the Group's ESG Plan 2020-2023, in 2023, the environmental objectives inherent to the improvement of Fineco's environmental performance, through the maintenance of the EMAS registration and the achievement of the Environmental Programme objectives, have been confirmed, in continuity with 2022.</w:t>
      </w:r>
    </w:p>
    <w:p w14:paraId="52340F7D" w14:textId="77777777" w:rsidR="000726F2" w:rsidRDefault="00000000">
      <w:r>
        <w:t>With reference to the long-term variable remuneration, the 2021-2023 Long Term Incentive Plan includes, among the performance objectives, specific environmental parameters inherent to the extension of the ESG rating to all new funds, in line with the Multi-Year Plan.</w:t>
      </w:r>
    </w:p>
    <w:p w14:paraId="3243148A" w14:textId="77777777" w:rsidR="000726F2" w:rsidRDefault="00000000">
      <w:r>
        <w:lastRenderedPageBreak/>
        <w:t>Risk Management Climate change and environmental degradation give rise to structural changes that affect the economy and, consequently, the financial system.</w:t>
      </w:r>
    </w:p>
    <w:p w14:paraId="5277BBB6" w14:textId="77777777" w:rsidR="000726F2" w:rsidRDefault="00000000">
      <w:r>
        <w:t>In particular, the transition to a low-carbon and more circular economy entails both risks and opportunities for the whole economic system and for financial institutions, while the physical damages caused by climate change and environmental degradation might have a significant impact on the real economy and the financial sector.</w:t>
      </w:r>
    </w:p>
    <w:p w14:paraId="56691D31" w14:textId="24D7E079" w:rsidR="000726F2" w:rsidRDefault="00000000">
      <w:r>
        <w:t xml:space="preserve">Disclosure of environmental, social and governance risks 108 Public </w:t>
      </w:r>
      <w:proofErr w:type="spellStart"/>
      <w:r>
        <w:t>disclosureFinecoBank</w:t>
      </w:r>
      <w:proofErr w:type="spellEnd"/>
      <w:r>
        <w:t xml:space="preserve"> Climate change commonly gives rise to two risk factors</w:t>
      </w:r>
      <w:r w:rsidR="00356178">
        <w:t xml:space="preserve"> </w:t>
      </w:r>
      <w:r>
        <w:t>physical risk, which stands for the financial impact of climate change, including more frequent extreme weather events and gradual climate change, as well as environmental degradation, such as air, water and soil pollution, water stress, biodiversity loss and deforestation.</w:t>
      </w:r>
    </w:p>
    <w:p w14:paraId="1991C61B" w14:textId="77777777" w:rsidR="000726F2" w:rsidRDefault="00000000">
      <w:r>
        <w:t>Based on the latter, institutions are required to assess the impact of climate and environmental risks on their business model and operating context in the short, medium and long term, and to integrate them within their risk management framework, so that they can be managed, monitored and mitigated like every other risk category.</w:t>
      </w:r>
    </w:p>
    <w:p w14:paraId="0869C378" w14:textId="7AF82503" w:rsidR="000726F2" w:rsidRDefault="00000000">
      <w:r>
        <w:t xml:space="preserve">Since the first ECB consultation on its guide on climate and environmental risks, the </w:t>
      </w:r>
      <w:proofErr w:type="spellStart"/>
      <w:r>
        <w:t>Fineco</w:t>
      </w:r>
      <w:proofErr w:type="spellEnd"/>
      <w:r>
        <w:t xml:space="preserve"> Group has launched a process of progressive integration of climate and environmental risks within its risk management framework, based on the most recent indications published by supervisory authorities and by European and international standard setters16.</w:t>
      </w:r>
    </w:p>
    <w:p w14:paraId="5C7C74E9" w14:textId="77777777" w:rsidR="000726F2" w:rsidRDefault="00000000">
      <w:r>
        <w:t>The RAF is made up of the Risk Appetite Statement, which qualitatively defines FinecoBank's positioning in terms of strategic objectives and related risk profiles, and the Risk Dashboard, which is made up of a set of quantitative indicators.</w:t>
      </w:r>
    </w:p>
    <w:p w14:paraId="2D9DEFD4" w14:textId="77777777" w:rsidR="000726F2" w:rsidRDefault="00000000">
      <w:r>
        <w:t>The RAF statement 2024, in continuity with the RAF 2023, envisages a set of commitments and objectives concerning climate and environmental risks.</w:t>
      </w:r>
    </w:p>
    <w:p w14:paraId="1F06620C" w14:textId="4AE731E8" w:rsidR="000726F2" w:rsidRDefault="00000000">
      <w:r>
        <w:t>In such context the Group is committed to</w:t>
      </w:r>
      <w:r w:rsidR="0054562D">
        <w:t xml:space="preserve"> </w:t>
      </w:r>
      <w:r>
        <w:t>face its business and operational management choices, complementing the strategy, oriented towards stable and organic growth, with the progressive integration of the principles of environmental and social sustainability</w:t>
      </w:r>
    </w:p>
    <w:p w14:paraId="52EC2B84" w14:textId="77777777" w:rsidR="000726F2" w:rsidRDefault="00000000">
      <w:r>
        <w:t>An indicator is aimed at ensuring, through quantitative thresholds, that a portion of the investments is made in ESG bonds, instruments intended to support projects or activities aimed at promoting social and environmental sustainability.</w:t>
      </w:r>
    </w:p>
    <w:p w14:paraId="494E59E5" w14:textId="5DC90EFA" w:rsidR="000726F2" w:rsidRDefault="00000000">
      <w:r>
        <w:t>The new version of the indicator, which will be better described in the following pages, envisages the transition from a territorial approach to an analytical approach, and replace the former version being used from the RAF 2020 in the 2024 risk dashboard.</w:t>
      </w:r>
    </w:p>
    <w:p w14:paraId="5DDB7218" w14:textId="5E62F810" w:rsidR="000726F2" w:rsidRDefault="00000000">
      <w:r>
        <w:t xml:space="preserve">Disclosure of environmental, social and governance risks </w:t>
      </w:r>
      <w:proofErr w:type="spellStart"/>
      <w:r>
        <w:t>FinecoBankPublic</w:t>
      </w:r>
      <w:proofErr w:type="spellEnd"/>
      <w:r>
        <w:t xml:space="preserve"> disclosure 109 In addition to the objectives set out in the Risk Appetite Statement and the indicators integrated in the Risk Appetite Dashboard, the Group Sustainability Policy describes the </w:t>
      </w:r>
      <w:r>
        <w:lastRenderedPageBreak/>
        <w:t>process of identifying, managing and integrating ESG risks into the Group's risk management framework.</w:t>
      </w:r>
    </w:p>
    <w:p w14:paraId="46B4DCA2" w14:textId="0E5AE430" w:rsidR="000726F2" w:rsidRDefault="00000000">
      <w:r>
        <w:t>This process involves the analysis of best practices and regulations ii the identification and mapping of ESG risks, their integration into the RAF and the internal control framework the conduct of stress tests</w:t>
      </w:r>
      <w:r w:rsidR="004A1393">
        <w:t xml:space="preserve"> </w:t>
      </w:r>
      <w:r>
        <w:t>the reporting activity.</w:t>
      </w:r>
    </w:p>
    <w:p w14:paraId="23810B7E" w14:textId="77777777" w:rsidR="000726F2" w:rsidRDefault="00000000">
      <w:r>
        <w:t>Since these are transversal risks, the analysis has as its object the assessment of the impact of environmental, social and governance risk factors on the traditional risk categories already managed and monitored by the Group.</w:t>
      </w:r>
    </w:p>
    <w:p w14:paraId="28A2B60B" w14:textId="3CB7C89D" w:rsidR="000726F2" w:rsidRDefault="00000000">
      <w:r>
        <w:t xml:space="preserve">For the year 2024, the assessment of ESG risks, in line with the priorities highlighted by the Regulators, was carried out considering different time horizons </w:t>
      </w:r>
      <w:proofErr w:type="gramStart"/>
      <w:r>
        <w:t>Short and medium</w:t>
      </w:r>
      <w:r w:rsidR="0054562D">
        <w:t xml:space="preserve"> </w:t>
      </w:r>
      <w:r>
        <w:t>long</w:t>
      </w:r>
      <w:proofErr w:type="gramEnd"/>
      <w:r>
        <w:t xml:space="preserve"> term and focused on climate and environmental risks.</w:t>
      </w:r>
    </w:p>
    <w:p w14:paraId="052E929A" w14:textId="77777777" w:rsidR="000726F2" w:rsidRDefault="00000000">
      <w:r>
        <w:t>This approach prevents the Group from being exposed to several climate risk factors, including, for example, drought or biodiversity loss.</w:t>
      </w:r>
    </w:p>
    <w:p w14:paraId="66BABFD0" w14:textId="56EE357A" w:rsidR="000726F2" w:rsidRDefault="00000000">
      <w:r>
        <w:t>In particular, the performance of investment products that do not promote social and</w:t>
      </w:r>
      <w:r w:rsidR="00185414">
        <w:t xml:space="preserve"> </w:t>
      </w:r>
      <w:r>
        <w:t>or environmental characteristics or that do not have sustainable investment objectives, offered by the Legal Entity Fineco Asset Management, may be affected by certain transition risks, such as for example the change of preference of customers, who could shift towards products with greater sustainability characteristics offered by other asset managers.</w:t>
      </w:r>
    </w:p>
    <w:p w14:paraId="255D6C4D" w14:textId="4FF0CCC5" w:rsidR="000726F2" w:rsidRDefault="00000000">
      <w:r>
        <w:t xml:space="preserve">Disclosure of environmental, social and governance risks Public </w:t>
      </w:r>
      <w:proofErr w:type="spellStart"/>
      <w:r>
        <w:t>disclosureFinecoBank</w:t>
      </w:r>
      <w:proofErr w:type="spellEnd"/>
      <w:r>
        <w:t xml:space="preserve"> developed by a team of researchers from the US University of Notre Dame.</w:t>
      </w:r>
    </w:p>
    <w:p w14:paraId="0C10825E" w14:textId="77777777" w:rsidR="000726F2" w:rsidRDefault="00000000">
      <w:r>
        <w:t>The outcome of the stress tests highlighted the Group's limited exposure to environmental risk factors.</w:t>
      </w:r>
    </w:p>
    <w:p w14:paraId="7066130F" w14:textId="74E69A12" w:rsidR="000726F2" w:rsidRDefault="00000000">
      <w:r>
        <w:t xml:space="preserve">Considering the limited exposure of Fineco's business model to climate change, </w:t>
      </w:r>
      <w:proofErr w:type="gramStart"/>
      <w:r>
        <w:t>in order to</w:t>
      </w:r>
      <w:proofErr w:type="gramEnd"/>
      <w:r>
        <w:t xml:space="preserve"> achieve non-viability, the climate reverse stress test assumes the occurrence of a series of extreme events, whose probability of occurrence is currently considered very remote.</w:t>
      </w:r>
    </w:p>
    <w:p w14:paraId="16F60829" w14:textId="45D59CD1" w:rsidR="000726F2" w:rsidRDefault="00000000">
      <w:proofErr w:type="gramStart"/>
      <w:r>
        <w:t>In particular, in</w:t>
      </w:r>
      <w:proofErr w:type="gramEnd"/>
      <w:r>
        <w:t xml:space="preserve"> line with the climate forecasts of the CMCC Euro-Mediterranean Center on Climate Change, the stress test hypothesized a flood sufficiently violent and extensive to flood all the Bank's Data Processing Centers for a substantial </w:t>
      </w:r>
      <w:proofErr w:type="gramStart"/>
      <w:r>
        <w:t>period of time</w:t>
      </w:r>
      <w:proofErr w:type="gramEnd"/>
      <w:r>
        <w:t>, also assuming the total failure of the existing security measures.</w:t>
      </w:r>
    </w:p>
    <w:p w14:paraId="77A3BAF9" w14:textId="77777777" w:rsidR="000726F2" w:rsidRDefault="00000000">
      <w:r>
        <w:t>In order to improve monitoring and reporting on climate and environmental risks, the FinecoBank Group collects specific information from customers, including, by way of example, the data on the energy class of real estate collateral for mortgage loans.</w:t>
      </w:r>
    </w:p>
    <w:p w14:paraId="5F48D77E" w14:textId="2EEDD824" w:rsidR="000726F2" w:rsidRDefault="00000000">
      <w:r>
        <w:t>Strategy and business processes Organic and sustainable growth in the long term is the key element of Fineco's development strategy and is achieved through the practical application of the three strategic pillars efficiency, innovation, transparency mentioned.</w:t>
      </w:r>
    </w:p>
    <w:p w14:paraId="087FF257" w14:textId="4A1908D3" w:rsidR="000726F2" w:rsidRDefault="00000000">
      <w:r>
        <w:lastRenderedPageBreak/>
        <w:t xml:space="preserve">To achieve this goal </w:t>
      </w:r>
      <w:r w:rsidR="00573345">
        <w:t xml:space="preserve"> </w:t>
      </w:r>
      <w:r>
        <w:t xml:space="preserve">in line with the principles and rules of conduct enshrined in the Group's Code of Ethics, Integrity Charter and Code of Conduct </w:t>
      </w:r>
      <w:proofErr w:type="spellStart"/>
      <w:r>
        <w:t>Fineco</w:t>
      </w:r>
      <w:proofErr w:type="spellEnd"/>
      <w:r>
        <w:t xml:space="preserve"> has combined its commitment to environmental matters with a series of commitments, also from a social point of view, through the adoption of a specific commitment to Human Rights and a series of internal policies aimed at ensuring correct approaches, systems and models of behaviour in the field of gender equality, combating harassment, sexually inappropriate behaviour and bullying, Privacy, Remuneration policies.</w:t>
      </w:r>
    </w:p>
    <w:p w14:paraId="2F80A6DC" w14:textId="463810E7" w:rsidR="000726F2" w:rsidRDefault="00000000">
      <w:proofErr w:type="gramStart"/>
      <w:r>
        <w:t>In order to</w:t>
      </w:r>
      <w:proofErr w:type="gramEnd"/>
      <w:r>
        <w:t xml:space="preserve"> ensure an increasing integration of ESG aspects within the strategy, the ESG Plan 2020-2023 provides for specific activities in six macroareas, which include social issues human resources, responsible finance, financial education</w:t>
      </w:r>
      <w:r w:rsidR="0054562D">
        <w:t xml:space="preserve"> </w:t>
      </w:r>
      <w:r>
        <w:t>community support projects, supply chain, shareholding and environment.</w:t>
      </w:r>
    </w:p>
    <w:p w14:paraId="758E02B0" w14:textId="38B2D210" w:rsidR="000726F2" w:rsidRDefault="00000000">
      <w:r>
        <w:t>From a social point of view, the following objectives are important, among others</w:t>
      </w:r>
      <w:r w:rsidR="00B871AB">
        <w:t xml:space="preserve"> </w:t>
      </w:r>
      <w:r>
        <w:t>human resources, through performance management and employee retention programs and initiatives, and the development of the welfare plan.</w:t>
      </w:r>
    </w:p>
    <w:p w14:paraId="6409FFB0" w14:textId="6A2A20F5" w:rsidR="000726F2" w:rsidRDefault="00000000">
      <w:r>
        <w:t xml:space="preserve">Disclosure of environmental, social and governance risks </w:t>
      </w:r>
      <w:proofErr w:type="spellStart"/>
      <w:r>
        <w:t>FinecoBankPublic</w:t>
      </w:r>
      <w:proofErr w:type="spellEnd"/>
      <w:r>
        <w:t xml:space="preserve"> disclosure 111 diversity and equal opportunities, through monitoring and continuous attention to the issue of the Gender Pay Gap.</w:t>
      </w:r>
    </w:p>
    <w:p w14:paraId="6EA2F666" w14:textId="7589AB3A" w:rsidR="000726F2" w:rsidRDefault="00000000">
      <w:r>
        <w:t xml:space="preserve">Starting from 2020, the Group aligns the objectives of the ESG Plan with the Sustainable Development Goals SDGs considered most relevant </w:t>
      </w:r>
      <w:proofErr w:type="gramStart"/>
      <w:r>
        <w:t>on the basis of</w:t>
      </w:r>
      <w:proofErr w:type="gramEnd"/>
      <w:r>
        <w:t xml:space="preserve"> the commonalities between the 169 targets and the material themes.</w:t>
      </w:r>
    </w:p>
    <w:p w14:paraId="7CD3A3BB" w14:textId="05F19741" w:rsidR="000726F2" w:rsidRDefault="00000000">
      <w:r>
        <w:t>The ESG 24-26 MYP includes</w:t>
      </w:r>
      <w:proofErr w:type="gramStart"/>
      <w:r>
        <w:t>, in particular, the</w:t>
      </w:r>
      <w:proofErr w:type="gramEnd"/>
      <w:r>
        <w:t xml:space="preserve"> objectives and targets that the Bank has set as part of its gender equality management system, which was certified in accordance with UNI </w:t>
      </w:r>
      <w:proofErr w:type="spellStart"/>
      <w:r>
        <w:t>PdR</w:t>
      </w:r>
      <w:proofErr w:type="spellEnd"/>
      <w:r>
        <w:t xml:space="preserve"> 125</w:t>
      </w:r>
      <w:r w:rsidR="0054562D">
        <w:t xml:space="preserve"> </w:t>
      </w:r>
      <w:r>
        <w:t>2022 in December 2023.</w:t>
      </w:r>
    </w:p>
    <w:p w14:paraId="5E3D46BA" w14:textId="3D7ABB38" w:rsidR="000726F2" w:rsidRDefault="00000000">
      <w:proofErr w:type="gramStart"/>
      <w:r>
        <w:t>In particular, with</w:t>
      </w:r>
      <w:proofErr w:type="gramEnd"/>
      <w:r>
        <w:t xml:space="preserve"> reference to the engagement of counterparties in the management of social risks, the Bank's lending policy is based, as detailed in the previous sections, on the granting of credit to retail customers and investment in financial instruments of Central Administrations Government Securities.</w:t>
      </w:r>
    </w:p>
    <w:p w14:paraId="6FCF28E8" w14:textId="77777777" w:rsidR="000726F2" w:rsidRDefault="00000000">
      <w:r>
        <w:t>As for climate and environmental risks, social risk factors also impact on the traditional risk categories managed by the Group, reflecting in particular on operational risks and reputational risks, as described in detail in the sections dedicated to risk management.</w:t>
      </w:r>
    </w:p>
    <w:p w14:paraId="7961363A" w14:textId="77777777" w:rsidR="000726F2" w:rsidRDefault="00000000">
      <w:r>
        <w:t>In defining and implementing its corporate strategy, Fineco integrates social risks that may have an impact on its business context in the short, medium and long term.</w:t>
      </w:r>
    </w:p>
    <w:p w14:paraId="216A4921" w14:textId="77777777" w:rsidR="000726F2" w:rsidRDefault="00000000">
      <w:r>
        <w:t>The analysis of the regulatory and competitive sustainability landscape, in order to assess the impact of the associated risks on the Bank, is carried out on a regular basis.</w:t>
      </w:r>
    </w:p>
    <w:p w14:paraId="05844CC9" w14:textId="205F84EC" w:rsidR="000726F2" w:rsidRDefault="00000000">
      <w:r>
        <w:t xml:space="preserve">In the framework described, the Risk and Related Parties Committee has the task of contributing to the definition of the guidelines of the Internal Control System, so that the main risks relating to the Company and the Group, including social risks, are correctly </w:t>
      </w:r>
      <w:r>
        <w:lastRenderedPageBreak/>
        <w:t>identified, as well as adequately measured, managed and monitored, and of supporting the Board of Directors in the evaluation of periodic non-financial reports, in addition to financial ones.</w:t>
      </w:r>
    </w:p>
    <w:p w14:paraId="3F826DAC" w14:textId="77777777" w:rsidR="000726F2" w:rsidRDefault="00000000">
      <w:r>
        <w:t>In this general framework, the consideration of social risks is fully integrated both in the strategic objectives set out in the Risk Appetite Statement and in the indicators of the Risk Dashboard, as detailed below in the Risk Management section.</w:t>
      </w:r>
    </w:p>
    <w:p w14:paraId="09B6313C" w14:textId="7D2CB508" w:rsidR="000726F2" w:rsidRDefault="00000000">
      <w:r>
        <w:t>In line with the lending policy outlined based on granting credit only to retail customers and investing in government bond financial instruments</w:t>
      </w:r>
      <w:r w:rsidR="009B6113">
        <w:t xml:space="preserve"> </w:t>
      </w:r>
      <w:r>
        <w:t>social risk factors are essentially reflected in operational risks and reputational risks.</w:t>
      </w:r>
    </w:p>
    <w:p w14:paraId="2D8B84CB" w14:textId="77777777" w:rsidR="000726F2" w:rsidRDefault="00000000">
      <w:r>
        <w:t>The other risk categories traditionally managed by the Group have little impact on social risks, as detailed below in the Risk Management section.</w:t>
      </w:r>
    </w:p>
    <w:p w14:paraId="5C7229D9" w14:textId="77777777" w:rsidR="000726F2" w:rsidRDefault="00000000">
      <w:r>
        <w:t>With reference to the frequency and methods of external and internal reporting on social risk, Risk Management illustrates to the Corporate Bodies the results of the control and monitoring of these risks in its Quarterly Report.</w:t>
      </w:r>
    </w:p>
    <w:p w14:paraId="22BC5C53" w14:textId="77777777" w:rsidR="000726F2" w:rsidRDefault="00000000">
      <w:r>
        <w:t>Finally, regarding the remuneration policy, the alignment of top management incentive systems with the RAF favours a conservative approach to risktaking and the maintenance of adequate risk levels.</w:t>
      </w:r>
    </w:p>
    <w:p w14:paraId="2F2EA49C" w14:textId="77777777" w:rsidR="000726F2" w:rsidRDefault="00000000">
      <w:r>
        <w:t>In particular, the individual objectives of the Chief Executive Officer, the General Manager and the other Identified Staff, depending on the specificity of the role, with regard to the short-term incentive system, are integrated with objectives related to sustainability.</w:t>
      </w:r>
    </w:p>
    <w:p w14:paraId="2B6DC0F3" w14:textId="30AE4552" w:rsidR="000726F2" w:rsidRDefault="00000000">
      <w:r>
        <w:t>Within the specific objective Stakeholder Value, in line with the Group's ESG Plan 2020-2023, in 2023, the social objectives relating to the enhancement of diversity in the field of Gender Pay Gap and Gender Balance were confirmed in continuity with 2022.</w:t>
      </w:r>
    </w:p>
    <w:p w14:paraId="2C9000AC" w14:textId="77777777" w:rsidR="000726F2" w:rsidRDefault="00000000">
      <w:r>
        <w:t>With reference to long-term variable remuneration, the 2021-2023 Long Term Incentive Plan for employees includes, among its performance objectives, specific social parameters related to customer satisfaction and employee engagement, as well as the extension of the ESG rating to all new funds in line with the Multi-Year Plan.</w:t>
      </w:r>
    </w:p>
    <w:p w14:paraId="7DACE774" w14:textId="204452D6" w:rsidR="000726F2" w:rsidRDefault="00000000">
      <w:r>
        <w:t xml:space="preserve">Among the strategic objectives set out in the Risk Appetite Statement, in continuity with 2023, </w:t>
      </w:r>
      <w:proofErr w:type="gramStart"/>
      <w:r>
        <w:t>in the area of</w:t>
      </w:r>
      <w:proofErr w:type="gramEnd"/>
      <w:r>
        <w:t xml:space="preserve"> social risks, the Bank's objective is to maintain and, if possible, increase the levels of customer satisfaction at the highest levels, </w:t>
      </w:r>
      <w:proofErr w:type="gramStart"/>
      <w:r>
        <w:t>in particular for</w:t>
      </w:r>
      <w:proofErr w:type="gramEnd"/>
      <w:r>
        <w:t xml:space="preserve"> transparency, quality and completeness of the offer.</w:t>
      </w:r>
    </w:p>
    <w:p w14:paraId="6D3856DB" w14:textId="70FE7EDB" w:rsidR="000726F2" w:rsidRDefault="00000000">
      <w:r>
        <w:t>As part of its business and operational management choices, accompany its strategy, oriented towards stable and organic growth, with the progressive integration of the principles of environmental and social sustainability</w:t>
      </w:r>
    </w:p>
    <w:p w14:paraId="25690A38" w14:textId="77777777" w:rsidR="000726F2" w:rsidRDefault="00000000">
      <w:r>
        <w:lastRenderedPageBreak/>
        <w:t>The achievement of the thresholds identified for the indicators included in the Risk Dashboard determines the activation of an escalation process towards the top management and ultimately the competent corporate bodies.</w:t>
      </w:r>
    </w:p>
    <w:p w14:paraId="49B9C728" w14:textId="77777777" w:rsidR="000726F2" w:rsidRDefault="00000000">
      <w:r>
        <w:t>Just like for climate and environmental risks, social risk factors also impact on the traditional risk categories already managed by the Banks, reflecting in particular on compliance risks and reputational risks.</w:t>
      </w:r>
    </w:p>
    <w:p w14:paraId="771A27F0" w14:textId="77777777" w:rsidR="000726F2" w:rsidRDefault="00000000">
      <w:r>
        <w:t>Compliance risk is the risk of incurring in legal or administrative sanctions, significant financial losses or reputational damage as a result of violations of laws, regulations, or self-regulatory rules or codes of conduct, and could arise from various social risk factors, where there are statutory or regulatory requirements.</w:t>
      </w:r>
    </w:p>
    <w:p w14:paraId="417B1D4C" w14:textId="286D2372" w:rsidR="000726F2" w:rsidRDefault="00000000">
      <w:r>
        <w:t>Reputational risk, on the other hand, shall be regarded as the current or forward-looking risk of a decline in profits or capital deriving from a negative perception of the company's image by customers, counterparties, shareholders, investors or supervisory authorities, and could arise either from risk that the Group does not comply with legal or regulatory requirements compliance risk, or from other social risk factors not subject to regulatory requirements.</w:t>
      </w:r>
    </w:p>
    <w:p w14:paraId="2B1FB0DF" w14:textId="015419BD" w:rsidR="000726F2" w:rsidRDefault="00000000">
      <w:r>
        <w:t xml:space="preserve">Disclosure of environmental, social and governance risks </w:t>
      </w:r>
      <w:proofErr w:type="spellStart"/>
      <w:r>
        <w:t>FinecoBankPublic</w:t>
      </w:r>
      <w:proofErr w:type="spellEnd"/>
      <w:r>
        <w:t xml:space="preserve"> disclosure 113 Furthermore, monitoring of the calculation of the gender pay gap is envisaged.</w:t>
      </w:r>
    </w:p>
    <w:p w14:paraId="79D120B1" w14:textId="076F6201" w:rsidR="000726F2" w:rsidRDefault="00000000">
      <w:proofErr w:type="gramStart"/>
      <w:r>
        <w:t>With regard to</w:t>
      </w:r>
      <w:proofErr w:type="gramEnd"/>
      <w:r>
        <w:t xml:space="preserve"> the introduction of new products, the Group has a Global Policy New product process which provides for the sharing of documentation relating to new products to various corporate functions, including the Compliance and Risk Management functions, for risk assessment competence.</w:t>
      </w:r>
    </w:p>
    <w:p w14:paraId="66E023A7" w14:textId="77777777" w:rsidR="000726F2" w:rsidRDefault="00000000">
      <w:r>
        <w:t>In order to ensure adequate monitoring of relevant social risk factors, in the context of monitoring a series of operational and reputational risk indicators called Key Risk Indicators , the CRO Department of FinecoBank continuously feeds and monitors an ESG dashboard.</w:t>
      </w:r>
    </w:p>
    <w:p w14:paraId="790E2D2E" w14:textId="77777777" w:rsidR="000726F2" w:rsidRDefault="00000000">
      <w:r>
        <w:t>As far as liquidity risk is concerned, funding derives mainly from customers' sight deposits, which proved to be stable also for the entire duration of the health emergency resulting from the spread of COVID-19 As at December 31st, 2023, in line with the indications provided by Regulators and European and international standard setters, the Group's commitment to integrate ESG risks into the risk management framework mainly focused on climate and environmental risks.</w:t>
      </w:r>
    </w:p>
    <w:p w14:paraId="2FE8464E" w14:textId="77777777" w:rsidR="000726F2" w:rsidRDefault="00000000">
      <w:r>
        <w:t>However, the Group carefully monitors regulatory changes and market best practices through the specialist supervision of the Risk Management function and the Compliance function.</w:t>
      </w:r>
    </w:p>
    <w:p w14:paraId="7CDDFD44" w14:textId="77777777" w:rsidR="000726F2" w:rsidRDefault="00000000">
      <w:r>
        <w:lastRenderedPageBreak/>
        <w:t>Qualitative information on governance risk This section provides qualitative information on governance risk that describes the integration of these risks into the governance and risk management of the FinecoBank Group.</w:t>
      </w:r>
    </w:p>
    <w:p w14:paraId="6B4A1F39" w14:textId="4B9F9007" w:rsidR="000726F2" w:rsidRDefault="00000000">
      <w:r>
        <w:t>To this end, the Group has adopted an effective and efficient unitary Internal Control System, aimed at ensuring that the company's activities are based on sound and prudent management that guarantee the financial solidity and profitability of the company and ensure, at the same time, a conscious assumption of risks and operational conduct based on fairness, as well as compliance with internal and external regulations.</w:t>
      </w:r>
    </w:p>
    <w:p w14:paraId="159CC1C6" w14:textId="5EF87851" w:rsidR="000726F2" w:rsidRDefault="00000000">
      <w:r>
        <w:t xml:space="preserve">In addition to considering environmental and social risks, the RAF also fully integrates the risks associated with governance factors, both in terms of the strategic objectives set out in the </w:t>
      </w:r>
      <w:proofErr w:type="spellStart"/>
      <w:r>
        <w:t>Statementwhich</w:t>
      </w:r>
      <w:proofErr w:type="spellEnd"/>
      <w:r>
        <w:t xml:space="preserve"> express the Bank's desire to accompany its strategy with the progressive integration of ESG </w:t>
      </w:r>
      <w:proofErr w:type="spellStart"/>
      <w:r>
        <w:t>principlesand</w:t>
      </w:r>
      <w:proofErr w:type="spellEnd"/>
      <w:r>
        <w:t xml:space="preserve"> through the monitoring, in the Risk Dashboard, of indicators to monitor ESG risks.</w:t>
      </w:r>
    </w:p>
    <w:p w14:paraId="39C28A58" w14:textId="668754B9" w:rsidR="000726F2" w:rsidRDefault="00000000">
      <w:r>
        <w:t>More specifically, the six indicators analysed monitor how governments are composed, their ability to effectively implement sound policies and the respect that citizens have for the institutions that govern them, in terms of Voice and Accountability captures citizens' perception of participating in the selection of their government, of enjoying freedom of expression and association.</w:t>
      </w:r>
    </w:p>
    <w:p w14:paraId="77421B65" w14:textId="77777777" w:rsidR="000726F2" w:rsidRDefault="00000000">
      <w:r>
        <w:t>Finally, with respect to the remuneration policy, as described in the previous sections, the alignment of the Top Management incentive systems with the RAF favours a conservative approach to risk-taking and the maintenance of adequate risk levels.</w:t>
      </w:r>
    </w:p>
    <w:p w14:paraId="3E21F232" w14:textId="4F37F3FD" w:rsidR="000726F2" w:rsidRDefault="00000000">
      <w:proofErr w:type="gramStart"/>
      <w:r>
        <w:t>In particular, within</w:t>
      </w:r>
      <w:proofErr w:type="gramEnd"/>
      <w:r>
        <w:t xml:space="preserve"> the specific objective Stakeholder Value described in the previous sections in line with the Group's ESG Plan 2020-2023, in 2023 a specific objective concerning integrity in the conduct and dissemination of compliance culture within the organization continued to be envisaged Tone from the top initiative.</w:t>
      </w:r>
    </w:p>
    <w:p w14:paraId="5A09121B" w14:textId="77777777" w:rsidR="000726F2" w:rsidRDefault="00000000">
      <w:r>
        <w:t>Governance factors relate to governance practices, including leadership, executive compensation, audits, internal controls, anti-tax avoidance, board independence, shareholder rights, anti-tax corruption and bribery, as well as how companies or entities include environmental and social factors in their policies and procedures.</w:t>
      </w:r>
    </w:p>
    <w:p w14:paraId="290887C7" w14:textId="30981B3C" w:rsidR="000726F2" w:rsidRDefault="00000000">
      <w:r>
        <w:t>As anticipated in the sections on climate, environmental and social risks, FinecoBank's strategy does not contemplate credit origination to corporate customers, and the Credit Origination policy specifically provides that the Bank refrains from financing companies operating in highly climate and environmental risk for example the energy or steel sector, as well as in ethically controversial activities, such as the financing of the defense and armaments sector.</w:t>
      </w:r>
    </w:p>
    <w:p w14:paraId="474D9B55" w14:textId="77777777" w:rsidR="000726F2" w:rsidRDefault="00000000">
      <w:r>
        <w:t>In terms of counterparty commitment to environmental risk management, the Bank's credit policy is oriented towards loans to retail customers and investments in financial instruments of central governments, central banks and supranational issuers.</w:t>
      </w:r>
    </w:p>
    <w:p w14:paraId="074CF502" w14:textId="64D76CE9" w:rsidR="000726F2" w:rsidRDefault="00000000">
      <w:r>
        <w:lastRenderedPageBreak/>
        <w:t xml:space="preserve">Disclosure of environmental, social and governance risks </w:t>
      </w:r>
      <w:proofErr w:type="spellStart"/>
      <w:r>
        <w:t>FinecoBankPublic</w:t>
      </w:r>
      <w:proofErr w:type="spellEnd"/>
      <w:r>
        <w:t xml:space="preserve"> disclosure</w:t>
      </w:r>
      <w:r w:rsidR="003473DE">
        <w:t xml:space="preserve"> </w:t>
      </w:r>
      <w:r>
        <w:t>in a proactive and conservative manner, has also acquired from the external provider another set of indicators useful for assessing the exposure of real estate collateralised loans to other types of risks</w:t>
      </w:r>
      <w:r w:rsidR="006C3028">
        <w:t>.</w:t>
      </w:r>
    </w:p>
    <w:p w14:paraId="3332240A" w14:textId="77777777" w:rsidR="000726F2" w:rsidRDefault="00000000">
      <w:proofErr w:type="gramStart"/>
      <w:r>
        <w:t>In particular, in</w:t>
      </w:r>
      <w:proofErr w:type="gramEnd"/>
      <w:r>
        <w:t xml:space="preserve"> relation to the climate mitigation and adaptation targets, eligibility data were collected </w:t>
      </w:r>
      <w:proofErr w:type="gramStart"/>
      <w:r>
        <w:t>on the basis of</w:t>
      </w:r>
      <w:proofErr w:type="gramEnd"/>
      <w:r>
        <w:t xml:space="preserve"> the Turnover KPI published by the NFRD counterparties present in the prudential consolidated perimeter as </w:t>
      </w:r>
      <w:proofErr w:type="gramStart"/>
      <w:r>
        <w:t>at</w:t>
      </w:r>
      <w:proofErr w:type="gramEnd"/>
      <w:r>
        <w:t xml:space="preserve"> 31 December 2023.</w:t>
      </w:r>
    </w:p>
    <w:p w14:paraId="259D618F" w14:textId="1CC9D4B8" w:rsidR="000726F2" w:rsidRDefault="00000000">
      <w:r>
        <w:t>These exposures are considered as other climate change related mitigation actions not covered by Regulation 2020</w:t>
      </w:r>
      <w:r w:rsidR="0054562D">
        <w:t xml:space="preserve"> </w:t>
      </w:r>
      <w:r>
        <w:t>852</w:t>
      </w:r>
      <w:r w:rsidR="006C3028">
        <w:t xml:space="preserve"> </w:t>
      </w:r>
      <w:r>
        <w:t xml:space="preserve"> with regard to sovereign bonds, on the basis of Article 7</w:t>
      </w:r>
      <w:r w:rsidR="006C3028">
        <w:t xml:space="preserve"> </w:t>
      </w:r>
      <w:r>
        <w:t>of Delegated Regulation 2021</w:t>
      </w:r>
      <w:r w:rsidR="0054562D">
        <w:t xml:space="preserve"> </w:t>
      </w:r>
      <w:r>
        <w:t>2178, supplementing Regulation 2020</w:t>
      </w:r>
      <w:r w:rsidR="0054562D">
        <w:t xml:space="preserve"> </w:t>
      </w:r>
      <w:r>
        <w:t>852, according to which exposures to central governments, central banks and supranational issuers are excluded from the calculation of the numerator and denominator of the key performance indicators of financial undertakings to be reported under Article 8 of Regulation 2020</w:t>
      </w:r>
      <w:r w:rsidR="0054562D">
        <w:t xml:space="preserve"> </w:t>
      </w:r>
      <w:r>
        <w:t>852, corresponding to Models 7 and 8 of Implementing Regulation 2022</w:t>
      </w:r>
      <w:r w:rsidR="0054562D">
        <w:t xml:space="preserve"> </w:t>
      </w:r>
      <w:r>
        <w:t>2453.</w:t>
      </w:r>
    </w:p>
    <w:p w14:paraId="21B48132" w14:textId="2CA65C6B" w:rsidR="000726F2" w:rsidRDefault="00000000">
      <w:r>
        <w:t>For further details, please refer to the Remuneration policy and report, available on FinecoBank's website at EU REMA Remuneration policy This section provides qualitative information on the main elements of the FinecoBank Group's remuneration policies and how these policies are implemented</w:t>
      </w:r>
      <w:r w:rsidR="006C3028">
        <w:t xml:space="preserve"> </w:t>
      </w:r>
      <w:proofErr w:type="spellStart"/>
      <w:proofErr w:type="gramStart"/>
      <w:r w:rsidR="006C3028">
        <w:t>a</w:t>
      </w:r>
      <w:proofErr w:type="spellEnd"/>
      <w:proofErr w:type="gramEnd"/>
      <w:r>
        <w:t xml:space="preserve"> Information relating to the bodies that oversee remuneration.</w:t>
      </w:r>
    </w:p>
    <w:p w14:paraId="24CD1144" w14:textId="77777777" w:rsidR="000726F2" w:rsidRDefault="00000000">
      <w:r>
        <w:t>The body that oversees the application of the Remuneration Policy and the design of the compensation systems is the Remuneration Committee.</w:t>
      </w:r>
    </w:p>
    <w:p w14:paraId="6A1C16B9" w14:textId="16A8E312" w:rsidR="000726F2" w:rsidRDefault="00000000">
      <w:r>
        <w:t>As required by the Corporate Governance Rules internal regulation, the Committee has the role of presenting proposals and issuing opinions to the Board of Directors in relation to the Group's remuneration strategy, including, by way of example, the criteria for determining remuneration, performance targets, equity incentive plans etc.</w:t>
      </w:r>
    </w:p>
    <w:p w14:paraId="76399BE6" w14:textId="153084A2" w:rsidR="000726F2" w:rsidRDefault="00000000">
      <w:r>
        <w:t xml:space="preserve">The remuneration policy of the FinecoBank Group applies to the company </w:t>
      </w:r>
      <w:proofErr w:type="spellStart"/>
      <w:r>
        <w:t>FinecoBank</w:t>
      </w:r>
      <w:proofErr w:type="spellEnd"/>
      <w:r>
        <w:t xml:space="preserve"> SA, the parent company of the Group, with reference to the employees, </w:t>
      </w:r>
      <w:proofErr w:type="gramStart"/>
      <w:r>
        <w:t>taking into account</w:t>
      </w:r>
      <w:proofErr w:type="gramEnd"/>
      <w:r>
        <w:t xml:space="preserve"> the specifics of their roles and duties, and to the Financial Advisors in line with the specific remuneration of the latter.</w:t>
      </w:r>
    </w:p>
    <w:p w14:paraId="1B1EB082" w14:textId="77777777" w:rsidR="000726F2" w:rsidRDefault="00000000">
      <w:r>
        <w:t>Specific provisions contained in the Remuneration Policy apply exclusively to the Group's Identified Staff, as identified according to the criteria established by the relevant legislation.</w:t>
      </w:r>
    </w:p>
    <w:p w14:paraId="03661890" w14:textId="77777777" w:rsidR="000726F2" w:rsidRDefault="00000000">
      <w:r>
        <w:t>FinecoBank, in its capacity as parent company, ensures that the remuneration in the group companies, with specific reference to the subsidiary Fineco Asset Management DAC, is compliant with the principles and rules established by the Group Remuneration Policy and with the specific industry and local regulatory framework.</w:t>
      </w:r>
    </w:p>
    <w:p w14:paraId="7EC8FBAA" w14:textId="77777777" w:rsidR="000726F2" w:rsidRDefault="00000000">
      <w:r>
        <w:t>The principles established by the Remuneration Policy are the pillars used to define the remuneration systems.</w:t>
      </w:r>
    </w:p>
    <w:p w14:paraId="7F6BA12A" w14:textId="77777777" w:rsidR="000726F2" w:rsidRDefault="00000000">
      <w:r>
        <w:lastRenderedPageBreak/>
        <w:t>Fineco's approach to remuneration, consistent with the legislation and best market practices, ensures the link to performance, external context and market practices, business strategies and long-term interests of shareholders.</w:t>
      </w:r>
    </w:p>
    <w:p w14:paraId="5F12C490" w14:textId="77777777" w:rsidR="000726F2" w:rsidRDefault="00000000">
      <w:r>
        <w:t>Appropriate remuneration and incentive mechanisms strive to support the creation of a working environment that is inclusive of any form of diversity and capable of encouraging the expression of individual potential, attracting, retaining and motivating highly qualified resources.</w:t>
      </w:r>
    </w:p>
    <w:p w14:paraId="6E0BAF56" w14:textId="6D788A35" w:rsidR="000726F2" w:rsidRDefault="00000000">
      <w:r>
        <w:t xml:space="preserve">Remuneration policy Public </w:t>
      </w:r>
      <w:proofErr w:type="spellStart"/>
      <w:r>
        <w:t>disclosureFinecoBank</w:t>
      </w:r>
      <w:proofErr w:type="spellEnd"/>
      <w:r>
        <w:t xml:space="preserve"> In line with our remuneration governance model characterized by clarity, reliability and transparency in the decision-making processes, the Remuneration Policy is drawn up by the Human Resources function, with the involvement of the other company functions based on the area of expertise and validated by the Compliance and Risk Management function before being submitted to the Remuneration Committee.</w:t>
      </w:r>
    </w:p>
    <w:p w14:paraId="51526D14" w14:textId="77777777" w:rsidR="000726F2" w:rsidRDefault="00000000">
      <w:r>
        <w:t>The link between profitability, risk and remuneration is guaranteed by directly linking the bonus pool with company results and relevant risk profiles as defined in the reference framework for determining the risk appetite.</w:t>
      </w:r>
    </w:p>
    <w:p w14:paraId="622F7540" w14:textId="77777777" w:rsidR="000726F2" w:rsidRDefault="00000000">
      <w:r>
        <w:t>Once the bonus pool is defined, individual bonuses are determined within the annual performance appraisal process, based on the principles of transparency and clarity to ensure a direct link between variable remuneration and performance.</w:t>
      </w:r>
    </w:p>
    <w:p w14:paraId="51B2020C" w14:textId="77777777" w:rsidR="000726F2" w:rsidRDefault="00000000">
      <w:r>
        <w:t>Notably, these measures make it possible to reduce, cancel or request the return of any form of variable remuneration.</w:t>
      </w:r>
    </w:p>
    <w:p w14:paraId="2D05B6A5" w14:textId="77777777" w:rsidR="000726F2" w:rsidRDefault="00000000">
      <w:r>
        <w:t>In 2023, the Remuneration Committee reviewed the 2022 Remuneration Policy making appropriate changes to further align with market practices and the expectations and indications of investors and proxy advisors.</w:t>
      </w:r>
    </w:p>
    <w:p w14:paraId="4F3CA93D" w14:textId="6EEAE657" w:rsidR="000726F2" w:rsidRDefault="00000000">
      <w:r>
        <w:t>The following are the main changes introduced compared to 2022</w:t>
      </w:r>
      <w:r w:rsidR="0054562D">
        <w:t xml:space="preserve"> i</w:t>
      </w:r>
      <w:r>
        <w:t>n line with the pay for sustainable performance principle and to further strengthen the alignment of managerial interests with those of the shareholders, effective January 1st 2023, the share ownership requirements for the Chief Executive Officer and General Manager were increased from 100% to 200% of the fixed remuneration and for Executives with strategic responsibilities from 50% to 100% of the fixed remuneration.</w:t>
      </w:r>
    </w:p>
    <w:p w14:paraId="65356612" w14:textId="3CB50AF8" w:rsidR="000726F2" w:rsidRDefault="00000000">
      <w:r>
        <w:t>Additionally, the variable remuneration of Identified Staff of the Company Control Functions cannot exceed 1</w:t>
      </w:r>
      <w:r w:rsidR="0054562D">
        <w:t xml:space="preserve"> </w:t>
      </w:r>
      <w:r>
        <w:t>3 of the fixed remuneration in line with the applicable regulatory framework and the incentive systems reflect the nature of their responsibilities and consistent with market practices.</w:t>
      </w:r>
    </w:p>
    <w:p w14:paraId="4C99A35E" w14:textId="77777777" w:rsidR="000726F2" w:rsidRDefault="00000000">
      <w:r>
        <w:t>In addition, the Corporate Bodies Regulation provides that the Risk and Related Parties Committee is involved in setting and evaluating performance goals and in defining the overall remuneration of the Heads of corporate control functions.</w:t>
      </w:r>
    </w:p>
    <w:p w14:paraId="3D1D3D64" w14:textId="77777777" w:rsidR="000726F2" w:rsidRDefault="00000000">
      <w:r>
        <w:lastRenderedPageBreak/>
        <w:t>Economic goals are also avoided for the Head of Human Resources and the Manager in charge of financial statements, whose remuneration is predominantly fixed.</w:t>
      </w:r>
    </w:p>
    <w:p w14:paraId="25C902EA" w14:textId="77777777" w:rsidR="000726F2" w:rsidRDefault="00000000">
      <w:r>
        <w:t>For the Identified Staff belonging to the Control Functions, Human Resources and Manager in Charge, any implications on the annual bonus of the application of the Zero Factor clause, which is activated in the event of failure to achieve at least one of the access conditions, are assessed in a manner specifically by the Board of Directors, considering their independence from the economic results of the areas under their control.</w:t>
      </w:r>
    </w:p>
    <w:p w14:paraId="2B819FD4" w14:textId="77777777" w:rsidR="000726F2" w:rsidRDefault="00000000">
      <w:r>
        <w:t>The other forms of remuneration are in any case granted in compliance with the regulations in force and the governance processes of FinecoBank S.</w:t>
      </w:r>
    </w:p>
    <w:p w14:paraId="26DD532C" w14:textId="45817CEB" w:rsidR="000726F2" w:rsidRDefault="00000000">
      <w:r>
        <w:t xml:space="preserve">Remuneration policy </w:t>
      </w:r>
      <w:proofErr w:type="spellStart"/>
      <w:r>
        <w:t>FinecoBankPublic</w:t>
      </w:r>
      <w:proofErr w:type="spellEnd"/>
      <w:r>
        <w:t xml:space="preserve"> disclosure 135 With reference to severance pay, the Shareholders' Meeting of 10 April 2019 approved the Termination Payments Policy so-called Severance, incorporating the regulatory provisions of the Circular no.</w:t>
      </w:r>
    </w:p>
    <w:p w14:paraId="13CC7995" w14:textId="63016AA0" w:rsidR="000726F2" w:rsidRDefault="00000000">
      <w:r>
        <w:t>As described in point b, the link between risk and remuneration is guaranteed by directly linking the bonus pool with the relevant risk profiles as defined in the reference framework for determining the risk appetite.</w:t>
      </w:r>
    </w:p>
    <w:p w14:paraId="2660FE41" w14:textId="6A910C76" w:rsidR="000726F2" w:rsidRDefault="00000000">
      <w:r>
        <w:t>In compliance with the applicable regulatory provisions, the Ordinary Shareholders' Meeting of FinecoBank established a maximum ratio between the variable and fixed component of the remuneration equal to 2:1 for employees belonging to the business functions.</w:t>
      </w:r>
    </w:p>
    <w:p w14:paraId="7206D522" w14:textId="77777777" w:rsidR="000726F2" w:rsidRDefault="00000000">
      <w:r>
        <w:t>With regard to employees, individual bonuses are defined within the annual performance appraisal process, based on the principles of transparency and clarity to ensure a direct link between variable remuneration and performance, taking into consideration the internal benchmarking analysis based on the role and in compliance with the maximum ratio between variable and fixed remuneration approved by the Shareholder’s Meeting.</w:t>
      </w:r>
    </w:p>
    <w:p w14:paraId="0B2B6B2C" w14:textId="29BAC470" w:rsidR="000726F2" w:rsidRDefault="00000000">
      <w:proofErr w:type="gramStart"/>
      <w:r>
        <w:t>With regard to</w:t>
      </w:r>
      <w:proofErr w:type="gramEnd"/>
      <w:r>
        <w:t xml:space="preserve"> Financial Advisor Identified Staff, the performance assessment is based on specific parameters by way of example, net sales, development activities etc.</w:t>
      </w:r>
    </w:p>
    <w:p w14:paraId="1BBB272A" w14:textId="77777777" w:rsidR="000726F2" w:rsidRDefault="00000000">
      <w:r>
        <w:t>Variable remuneration is linked to company performance, as described in the previous point related to the bonus pool, the amount of which is directly proportional to the results achieved by the Bank.</w:t>
      </w:r>
    </w:p>
    <w:p w14:paraId="75DA483A" w14:textId="77777777" w:rsidR="000726F2" w:rsidRDefault="00000000">
      <w:r>
        <w:t>Individual bonus amounts are defined within the annual performance appraisal process, based on the principles of transparency and clarity to ensure a direct link between variable remuneration and performance.</w:t>
      </w:r>
    </w:p>
    <w:p w14:paraId="10257710" w14:textId="63759EEF" w:rsidR="000726F2" w:rsidRDefault="00000000">
      <w:r>
        <w:t>Malus and claw-back can be activated in case the individua</w:t>
      </w:r>
      <w:r w:rsidR="00270CF1">
        <w:t>l</w:t>
      </w:r>
      <w:r>
        <w:t xml:space="preserve"> 25 Malus and claw back clauses apply also to Financial Advisors, compatibly with the specificity of their role Remuneration policy </w:t>
      </w:r>
      <w:proofErr w:type="spellStart"/>
      <w:r>
        <w:t>FinecoBankPublic</w:t>
      </w:r>
      <w:proofErr w:type="spellEnd"/>
      <w:r>
        <w:t xml:space="preserve"> disclosure</w:t>
      </w:r>
      <w:r w:rsidR="00270CF1">
        <w:t xml:space="preserve"> </w:t>
      </w:r>
      <w:r>
        <w:t>has adopted conduct that does not comply with legal, regulatory or statutory provisions or with codes of ethics or conduct applicable to the bank, which resulted in a significant loss for the bank or for customers.</w:t>
      </w:r>
    </w:p>
    <w:sectPr w:rsidR="000726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653674122">
    <w:abstractNumId w:val="8"/>
  </w:num>
  <w:num w:numId="2" w16cid:durableId="1588540957">
    <w:abstractNumId w:val="6"/>
  </w:num>
  <w:num w:numId="3" w16cid:durableId="1251431739">
    <w:abstractNumId w:val="5"/>
  </w:num>
  <w:num w:numId="4" w16cid:durableId="876088628">
    <w:abstractNumId w:val="4"/>
  </w:num>
  <w:num w:numId="5" w16cid:durableId="682702378">
    <w:abstractNumId w:val="7"/>
  </w:num>
  <w:num w:numId="6" w16cid:durableId="1385369061">
    <w:abstractNumId w:val="3"/>
  </w:num>
  <w:num w:numId="7" w16cid:durableId="1259295834">
    <w:abstractNumId w:val="2"/>
  </w:num>
  <w:num w:numId="8" w16cid:durableId="1158302582">
    <w:abstractNumId w:val="1"/>
  </w:num>
  <w:num w:numId="9" w16cid:durableId="1841119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6F2"/>
    <w:rsid w:val="000F3D4E"/>
    <w:rsid w:val="0015074B"/>
    <w:rsid w:val="00185414"/>
    <w:rsid w:val="002645BF"/>
    <w:rsid w:val="00270CF1"/>
    <w:rsid w:val="0029639D"/>
    <w:rsid w:val="00326F90"/>
    <w:rsid w:val="003473DE"/>
    <w:rsid w:val="00356178"/>
    <w:rsid w:val="004A1393"/>
    <w:rsid w:val="004F5755"/>
    <w:rsid w:val="0054562D"/>
    <w:rsid w:val="00573345"/>
    <w:rsid w:val="006C3028"/>
    <w:rsid w:val="00741DC5"/>
    <w:rsid w:val="0088017B"/>
    <w:rsid w:val="009B6113"/>
    <w:rsid w:val="00A135A9"/>
    <w:rsid w:val="00AA1D8D"/>
    <w:rsid w:val="00B12C7A"/>
    <w:rsid w:val="00B34BAE"/>
    <w:rsid w:val="00B47730"/>
    <w:rsid w:val="00B871AB"/>
    <w:rsid w:val="00C07CB6"/>
    <w:rsid w:val="00C10070"/>
    <w:rsid w:val="00C27399"/>
    <w:rsid w:val="00CB0664"/>
    <w:rsid w:val="00CC63F3"/>
    <w:rsid w:val="00D14F5A"/>
    <w:rsid w:val="00E35306"/>
    <w:rsid w:val="00E64D5F"/>
    <w:rsid w:val="00E738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5431D7"/>
  <w14:defaultImageDpi w14:val="300"/>
  <w15:docId w15:val="{1A27D550-DCFB-CE4D-9724-BC4A4A240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19</Pages>
  <Words>7919</Words>
  <Characters>45141</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25</cp:revision>
  <dcterms:created xsi:type="dcterms:W3CDTF">2013-12-23T23:15:00Z</dcterms:created>
  <dcterms:modified xsi:type="dcterms:W3CDTF">2025-08-03T18:53:00Z</dcterms:modified>
  <cp:category/>
</cp:coreProperties>
</file>