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4E1C" w14:textId="77777777" w:rsidR="003A23E3" w:rsidRDefault="00000000">
      <w:r>
        <w:t>The remaining changes introduced by the new regulatory framework that will impact FinecoBank's prudential requirements are applicable from 1 January 2025.</w:t>
      </w:r>
    </w:p>
    <w:p w14:paraId="549A66A8" w14:textId="6F25CF7F" w:rsidR="003A23E3" w:rsidRDefault="00000000">
      <w:r>
        <w:t>Please note that the disclosure of the Group is prepared in accordance with a formal policy Internal Regulation adopted in the application of the CRR Article 431: that sets out the internal controls and procedures.</w:t>
      </w:r>
    </w:p>
    <w:p w14:paraId="426116BE" w14:textId="3DBC6E7B" w:rsidR="003A23E3" w:rsidRDefault="00000000">
      <w:proofErr w:type="gramStart"/>
      <w:r>
        <w:t>In particular, it</w:t>
      </w:r>
      <w:proofErr w:type="gramEnd"/>
      <w:r>
        <w:t xml:space="preserve"> should be noted that the values shown in the tables relating to the Disclosure of Environmental, Social and Governance Risks are expressed in millions of euros, as required by Commission Implementing Regulation 2022</w:t>
      </w:r>
      <w:r w:rsidR="00053019">
        <w:t xml:space="preserve"> </w:t>
      </w:r>
      <w:r>
        <w:t>2453 of 30 November 2022, amending the Commission Implementing Regulation 2021</w:t>
      </w:r>
      <w:r w:rsidR="00053019">
        <w:t xml:space="preserve"> </w:t>
      </w:r>
      <w:r>
        <w:t>637.</w:t>
      </w:r>
    </w:p>
    <w:p w14:paraId="52B7EA3B" w14:textId="77777777" w:rsidR="003A23E3" w:rsidRDefault="00000000">
      <w:r>
        <w:t>Market risk EU MR1 Market risk under the standardised approach Market risk EU ORA Qualitative information on operational risk Risk management objectives and policies.</w:t>
      </w:r>
    </w:p>
    <w:p w14:paraId="7A1119FA" w14:textId="77777777" w:rsidR="003A23E3" w:rsidRDefault="00000000">
      <w:r>
        <w:t>Exposures to counterparty credit risk 440 Disclosure of countercyclical capital buffers Countercyclical capital buffers 441 Disclosure of indicators of global systemic importance Not applicable 442 Disclosure of exposures to credit risk and dilution risk Risk management objectives and policies.</w:t>
      </w:r>
    </w:p>
    <w:p w14:paraId="7D1E941D" w14:textId="77777777" w:rsidR="003A23E3" w:rsidRDefault="00000000">
      <w:r>
        <w:t>Exposures to credit risk and dilution risk 443 Disclosure of encumbered and unencumbered assets Encumbered and unencumbered assets 444 Disclosure of the use of the Standardised Approach Disclosure of the use of the Standardised Approach 445 Disclosure of exposure to market risk Risk management objectives and policies.</w:t>
      </w:r>
    </w:p>
    <w:p w14:paraId="192505F6" w14:textId="3A447054" w:rsidR="003A23E3" w:rsidRDefault="00000000">
      <w:proofErr w:type="gramStart"/>
      <w:r>
        <w:t>With regard to</w:t>
      </w:r>
      <w:proofErr w:type="gramEnd"/>
      <w:r>
        <w:t xml:space="preserve"> risk measurement systems, please refer to the chapters dedicated to individual risks, namely Credit and dilution risk exposures, Exposures to counterparty risk, Operational risk management and Market risk.</w:t>
      </w:r>
    </w:p>
    <w:p w14:paraId="3C6277B9" w14:textId="77777777" w:rsidR="003A23E3" w:rsidRDefault="00000000">
      <w:r>
        <w:t>In order to ensure that business activities are in line with corporate strategies and policies and based on sound and prudent management, FinecoBank, as the Parent Company of the FinecoBank Group, has equipped the Group with a single Internal Control System that allows effective control over both the strategic choices of the Group as a whole and the managerial balance of the individual Group entities.</w:t>
      </w:r>
    </w:p>
    <w:p w14:paraId="2897C761" w14:textId="72A2E2B4" w:rsidR="003A23E3" w:rsidRDefault="00000000">
      <w:r>
        <w:t>Specifically, in accordance with the provisions of Supervisory Authorities, the Group's Internal Control System consists of all the rules, functions, structures, resources, processes and procedures aimed at ensuring that the following objectives are achieved: containment of risk within the limits set out in the Group Risk Appetite Framework RAF.</w:t>
      </w:r>
    </w:p>
    <w:p w14:paraId="61C89F8A" w14:textId="2B965216" w:rsidR="003A23E3" w:rsidRDefault="00000000">
      <w:r>
        <w:t>The CRO Department, as the risk management function, controls market, credit and operational risks, as regards compliance with limits assigned to operating functions and the consistency of operations of individual production areas with established risk</w:t>
      </w:r>
      <w:r w:rsidR="00053019">
        <w:t xml:space="preserve"> </w:t>
      </w:r>
      <w:r>
        <w:t>return objectives.</w:t>
      </w:r>
    </w:p>
    <w:p w14:paraId="689D6006" w14:textId="77777777" w:rsidR="003A23E3" w:rsidRDefault="00000000">
      <w:r>
        <w:t xml:space="preserve">In order to verify the compliance of the Group’s Legal Entities with Parent Company guidelines as well as the effectiveness of the internal control framework, the internal audit </w:t>
      </w:r>
      <w:r>
        <w:lastRenderedPageBreak/>
        <w:t>function of FinecoBank, on a consolidated level, periodically carries out on-site controls on the Group’s Legal Entities, taking into account the importance of the different types of risk assumed by the entities.</w:t>
      </w:r>
    </w:p>
    <w:p w14:paraId="7879BFC9" w14:textId="77777777" w:rsidR="003A23E3" w:rsidRDefault="00000000">
      <w:r>
        <w:t>Risk governance The requirement for a comprehensive and functional internal control framework is the existence of an appropriate business organization suited to ensure sound and prudent management.</w:t>
      </w:r>
    </w:p>
    <w:p w14:paraId="71BF7AA7" w14:textId="77777777" w:rsidR="003A23E3" w:rsidRDefault="00000000">
      <w:r>
        <w:t>The statement certifies that the risk governance, the risk management systems and the Group's Internal Capital are adequate to cover the Group's risk profile and the activities deriving from its business model.</w:t>
      </w:r>
    </w:p>
    <w:p w14:paraId="59D14371" w14:textId="77A655B7" w:rsidR="003A23E3" w:rsidRDefault="00000000">
      <w:r>
        <w:t xml:space="preserve">Risk management objectives and policies 12 Public disclosure </w:t>
      </w:r>
      <w:proofErr w:type="spellStart"/>
      <w:proofErr w:type="gramStart"/>
      <w:r>
        <w:t>FinecoBank</w:t>
      </w:r>
      <w:proofErr w:type="spellEnd"/>
      <w:r>
        <w:t xml:space="preserve">  the</w:t>
      </w:r>
      <w:proofErr w:type="gramEnd"/>
      <w:r>
        <w:t xml:space="preserve"> Remuneration Committee.</w:t>
      </w:r>
    </w:p>
    <w:p w14:paraId="4C1519BF" w14:textId="51A092E6" w:rsidR="003A23E3" w:rsidRDefault="00000000">
      <w:r>
        <w:t>As the corporate Body responsible for the internal control system, the Chief Executive Officer annually approves the document Managerial Assessment of the Internal Control System and Risks, aimed at evaluating the adequacy of the Group’s risk management measures.</w:t>
      </w:r>
    </w:p>
    <w:p w14:paraId="60898A1A" w14:textId="77777777" w:rsidR="003A23E3" w:rsidRDefault="00000000">
      <w:r>
        <w:t>Eventually, as a member of the Board of Directors, the Chief Executive Officer and General Manager approves the annual report on the Group’s Risks Exposures, a document prepared by the Parent Company's CRO Department that summarizes the Group's overall risk profile, with a specific focus on risk indicators included in the Risk Appetite Framework.</w:t>
      </w:r>
    </w:p>
    <w:p w14:paraId="1783FFDC" w14:textId="77777777" w:rsidR="003A23E3" w:rsidRDefault="00000000">
      <w:r>
        <w:t>The risk management systems described in the following paragraphs are aligned with the Group's risk strategy and consistent with its risk profile.</w:t>
      </w:r>
    </w:p>
    <w:p w14:paraId="3DFB4A6D" w14:textId="1D1BB9FB" w:rsidR="003A23E3" w:rsidRDefault="00000000">
      <w:r>
        <w:t>In order to internalize these principles values and implement the risk culture in daily activities, several initiatives have been developed, in particular</w:t>
      </w:r>
      <w:r w:rsidR="00BF4E02">
        <w:t xml:space="preserve">, </w:t>
      </w:r>
      <w:r>
        <w:t xml:space="preserve"> it has been adopted a Global Policy Charter of Integrity and Code of Conduct of the </w:t>
      </w:r>
      <w:proofErr w:type="spellStart"/>
      <w:r>
        <w:t>FinecoBank</w:t>
      </w:r>
      <w:proofErr w:type="spellEnd"/>
      <w:r>
        <w:t xml:space="preserve"> Group which defines the principles and values with which the Group wishes to conform its operations, as well as the set of rights, duties and responsibilities it assumes towards of all stakeholders, whom it undertakes to respect, and who represent a decisive guide in corporate decisions and conduct.</w:t>
      </w:r>
    </w:p>
    <w:p w14:paraId="6C631794" w14:textId="4AB2B91E" w:rsidR="003A23E3" w:rsidRDefault="00000000">
      <w:r>
        <w:t xml:space="preserve">Risk management objectives and policies 14 Public disclosure </w:t>
      </w:r>
      <w:proofErr w:type="spellStart"/>
      <w:r>
        <w:t>FinecoBank</w:t>
      </w:r>
      <w:proofErr w:type="spellEnd"/>
      <w:r>
        <w:t xml:space="preserve"> the methods and mechanisms for safeguarding the various operating and regulatory limits that the Group must comply with in carrying out its business activities are shared with the business functions.</w:t>
      </w:r>
    </w:p>
    <w:p w14:paraId="308C7CC2" w14:textId="77777777" w:rsidR="003A23E3" w:rsidRDefault="00000000">
      <w:r>
        <w:t>Risk appetite setting and relevant risk management processes The Risk Appetite Framework is an integral part of the Internal Control System and represents the reference framework that defines in line with the business model, the Group strategic guidelines, and the maximum risk capacity, the risk appetite, the tolerance thresholds, the risk limits, risk governance policies and the reference processes necessary to define and implement them.</w:t>
      </w:r>
    </w:p>
    <w:p w14:paraId="189AD8D9" w14:textId="24D2CD4C" w:rsidR="003A23E3" w:rsidRDefault="00000000">
      <w:r>
        <w:lastRenderedPageBreak/>
        <w:t>The Risk Appetite structure for 2025 includes a Statement, which qualitatively defines the Group's positioning in terms of strategic objectives and related risk profiles, and a dashboard, which translates the strategic objectives set out in the Statement into a set of limits and quantitative risk</w:t>
      </w:r>
      <w:r w:rsidR="00BF4E02">
        <w:t xml:space="preserve"> </w:t>
      </w:r>
      <w:r>
        <w:t>performance metrics appropriately calibrated to represent the significant risks to which the Group is exposed.</w:t>
      </w:r>
    </w:p>
    <w:p w14:paraId="077DC36B" w14:textId="67AB1418" w:rsidR="003A23E3" w:rsidRDefault="00000000">
      <w:r>
        <w:t>The architecture of the metrics included in the Risk Appetite Dashboard is structured according to a level approach.</w:t>
      </w:r>
    </w:p>
    <w:p w14:paraId="7EBE9764" w14:textId="5C0CAE98" w:rsidR="003A23E3" w:rsidRDefault="00000000">
      <w:r>
        <w:t xml:space="preserve">Risk management objectives and policies 16 Public disclosure </w:t>
      </w:r>
      <w:proofErr w:type="spellStart"/>
      <w:r>
        <w:t>FinecoBank</w:t>
      </w:r>
      <w:proofErr w:type="spellEnd"/>
      <w:r>
        <w:t xml:space="preserve"> </w:t>
      </w:r>
      <w:r>
        <w:t> support the CLO Department in the development and maintenance of the scoring models used by the Bank to assess the creditworthiness of its retail customers.</w:t>
      </w:r>
    </w:p>
    <w:p w14:paraId="70C2C805" w14:textId="77777777" w:rsidR="003A23E3" w:rsidRDefault="00000000">
      <w:r>
        <w:t>The Group measures and monitors interest rate risk every day within the methodological framework and the related limits or thresholds approved by the Board of Directors.</w:t>
      </w:r>
    </w:p>
    <w:p w14:paraId="7B8048D8" w14:textId="6D92E5D1" w:rsidR="003A23E3" w:rsidRDefault="00000000">
      <w:r>
        <w:t xml:space="preserve">Risk management objectives and policies </w:t>
      </w:r>
      <w:proofErr w:type="spellStart"/>
      <w:r>
        <w:t>FinecoBank</w:t>
      </w:r>
      <w:proofErr w:type="spellEnd"/>
      <w:r>
        <w:t xml:space="preserve"> Public disclosure 17 Liquidity risk can be briefly defined as the risk that the Group, due in part to unexpected future events, will be unable to meet its payment obligations or to efficiently manage the matching of expected cash inflows and outflows.</w:t>
      </w:r>
    </w:p>
    <w:p w14:paraId="1CC3B73B" w14:textId="77777777" w:rsidR="003A23E3" w:rsidRDefault="00000000">
      <w:r>
        <w:t>Controls inherent in the operational processes and aimed at ensuring compliance with liquidity risk limits through the correct performance of management from an operational and regulatory point of view.</w:t>
      </w:r>
    </w:p>
    <w:p w14:paraId="1B59211C" w14:textId="77777777" w:rsidR="003A23E3" w:rsidRDefault="00000000">
      <w:r>
        <w:t xml:space="preserve">First level controls consist of monitoring and analysing regulatory and managerial liquidity metrics and in particular: </w:t>
      </w:r>
      <w:r>
        <w:t> daily analysing of the Operative Maturity Ladder report to ensure that the cumulative liquidity balance is positive in all time buckets.</w:t>
      </w:r>
    </w:p>
    <w:p w14:paraId="4557FE5F" w14:textId="00A8576B" w:rsidR="003A23E3" w:rsidRDefault="00000000">
      <w:r>
        <w:t>The regulatory indicator Net Stable Funding Ratio is also supported by a managerial indicator called Structural Ratio, which shares its objectives and most of the logics.</w:t>
      </w:r>
    </w:p>
    <w:p w14:paraId="5BC65C20" w14:textId="027636CF" w:rsidR="003A23E3" w:rsidRDefault="00000000">
      <w:r>
        <w:t xml:space="preserve">Risk management objectives and policies 18 Public disclosure </w:t>
      </w:r>
      <w:proofErr w:type="spellStart"/>
      <w:r>
        <w:t>FinecoBank</w:t>
      </w:r>
      <w:proofErr w:type="spellEnd"/>
      <w:r>
        <w:t xml:space="preserve"> </w:t>
      </w:r>
      <w:r w:rsidR="00053019">
        <w:t>a</w:t>
      </w:r>
      <w:r>
        <w:t xml:space="preserve">s </w:t>
      </w:r>
      <w:proofErr w:type="gramStart"/>
      <w:r>
        <w:t>at</w:t>
      </w:r>
      <w:proofErr w:type="gramEnd"/>
      <w:r>
        <w:t xml:space="preserve"> 31 December 2024 there are no potential cash outflows Contingent liquidity and funding needs, such as, for example, accelerated repayment clauses or the release of further collateral connected with a downgrade of the Group itself.</w:t>
      </w:r>
    </w:p>
    <w:p w14:paraId="63C91AC1" w14:textId="77777777" w:rsidR="003A23E3" w:rsidRDefault="00000000">
      <w:r>
        <w:t>Consequently, the Group has not changed the strategies, objectives or policies for liquidity and market risk management, measurement and control.</w:t>
      </w:r>
    </w:p>
    <w:p w14:paraId="351443DE" w14:textId="77777777" w:rsidR="003A23E3" w:rsidRDefault="00000000">
      <w:r>
        <w:t>For example, operational losses may be losses deriving from internal or external fraud, employment relationship and workplace safety, customer complaints, product distribution, fines and other penalties deriving from regulatory violations, damage to the company's assets, interruptions of the operation and dysfunction of the systems, management of the processes.</w:t>
      </w:r>
    </w:p>
    <w:p w14:paraId="657C68BF" w14:textId="3EE19919" w:rsidR="003A23E3" w:rsidRDefault="00000000">
      <w:r>
        <w:lastRenderedPageBreak/>
        <w:t xml:space="preserve">In particular, the CRO Department ensures that ICT and Cyber risks are identified, measured, assessed, managed, monitored, reported and maintained within the limits of the Bank's risk appetite, while the Compliance Department ensures the compliance of ICT systems and projects, as well as all activities carried out within the information system, with the provisions of law, regulations or bylaws and with the internal regulations and codes applicable to the </w:t>
      </w:r>
      <w:proofErr w:type="spellStart"/>
      <w:r>
        <w:t>bankdirect</w:t>
      </w:r>
      <w:proofErr w:type="spellEnd"/>
      <w:r>
        <w:t xml:space="preserve"> regulatory area of Compliance supervision.</w:t>
      </w:r>
    </w:p>
    <w:p w14:paraId="70CB6411" w14:textId="447B73A6" w:rsidR="003A23E3" w:rsidRDefault="00000000">
      <w:r>
        <w:t>It should be noted that, during 2024, the Group started the activities necessary to update the ICT and cyber risk management and monitoring framework following the publication of the final Regulation on the Digital Operational Resilience Act</w:t>
      </w:r>
      <w:r w:rsidR="00053019">
        <w:t xml:space="preserve">, </w:t>
      </w:r>
      <w:r>
        <w:t>applicable from 17 January 2025.</w:t>
      </w:r>
    </w:p>
    <w:p w14:paraId="45CAC39B" w14:textId="134408C2" w:rsidR="003A23E3" w:rsidRDefault="00000000">
      <w:r>
        <w:t xml:space="preserve">Risk management objectives and policies </w:t>
      </w:r>
      <w:proofErr w:type="spellStart"/>
      <w:r>
        <w:t>FinecoBank</w:t>
      </w:r>
      <w:proofErr w:type="spellEnd"/>
      <w:r>
        <w:t xml:space="preserve"> Public disclosure 19 For the purposes of calculating </w:t>
      </w:r>
      <w:r w:rsidR="00053019">
        <w:t>Pillar Internal</w:t>
      </w:r>
      <w:r>
        <w:t xml:space="preserve"> Capital, however, the Group uses an internally developed model which leverages the historical series of internal loss data, recorded and classified for more than ten years in accordance with the criteria established by the CRR for the 'Advanced Measurement Approach</w:t>
      </w:r>
    </w:p>
    <w:p w14:paraId="0EBEECA6" w14:textId="77777777" w:rsidR="003A23E3" w:rsidRDefault="00000000">
      <w:r>
        <w:t xml:space="preserve">Monitoring of operational and reputational risks is the responsibility of the Operational, Reputational, ICT &amp; Cyber Risk Team, which is in charge of: </w:t>
      </w:r>
      <w:r>
        <w:t> define the operational risk mitigation and control system, in compliance with the provisions of external legislation and, in accordance with the indications of the Board of Directors, with the operational evolution of the Group.</w:t>
      </w:r>
    </w:p>
    <w:p w14:paraId="4D895FE4" w14:textId="77777777" w:rsidR="003A23E3" w:rsidRDefault="00000000">
      <w:r>
        <w:t>In addition to the aforementioned controls, reputational risks are monitored through the risk assessment carried out by the risk management function throughout the definition, development and approval phase of the Group's products and with the participation in the Products Committee of the Chief Risk Officer.</w:t>
      </w:r>
    </w:p>
    <w:p w14:paraId="2A308186" w14:textId="7D75AC40" w:rsidR="003A23E3" w:rsidRDefault="00000000">
      <w:r>
        <w:t xml:space="preserve">Risk management objectives and policies 20 Public disclosure </w:t>
      </w:r>
      <w:proofErr w:type="spellStart"/>
      <w:r>
        <w:t>FinecoBank</w:t>
      </w:r>
      <w:proofErr w:type="spellEnd"/>
      <w:r>
        <w:t xml:space="preserve"> Other relevant risks </w:t>
      </w:r>
      <w:r w:rsidR="00053019">
        <w:t>the</w:t>
      </w:r>
      <w:r>
        <w:t xml:space="preserve"> types of risk described above, while constituting the main types, are not the only one relevant for the Group.</w:t>
      </w:r>
    </w:p>
    <w:p w14:paraId="21E5C766" w14:textId="77777777" w:rsidR="003A23E3" w:rsidRDefault="00000000">
      <w:r>
        <w:t>With particular reference to money laundering risks, the composition of the Board of Directors must be such as to ensure the presence of adequate knowledge, skills and experience to understand such risks related to the bank's business and business model.</w:t>
      </w:r>
    </w:p>
    <w:p w14:paraId="071F661B" w14:textId="77777777" w:rsidR="003A23E3" w:rsidRDefault="00000000">
      <w:r>
        <w:t>Risk and Related Parties Committee The Board of Directors has set up an internal Risk and Related Parties Committee whose composition, functioning, organisation and activities are governed by the Corporate Bodies’ Regulation.</w:t>
      </w:r>
    </w:p>
    <w:p w14:paraId="5A9CC950" w14:textId="03291088" w:rsidR="003A23E3" w:rsidRDefault="00000000">
      <w:r>
        <w:t xml:space="preserve">Risk management objectives and policies </w:t>
      </w:r>
      <w:proofErr w:type="spellStart"/>
      <w:r>
        <w:t>FinecoBank</w:t>
      </w:r>
      <w:proofErr w:type="spellEnd"/>
      <w:r>
        <w:t xml:space="preserve"> Public disclosure 23 Stress test scenarios are conducted for both the Economic and the Regulatory perspectives, used to provide Corporate Bodies with a better risk exposure assessment and the related mitigation and control systems.</w:t>
      </w:r>
    </w:p>
    <w:p w14:paraId="4BE3E20C" w14:textId="77777777" w:rsidR="003A23E3" w:rsidRDefault="00000000">
      <w:r>
        <w:lastRenderedPageBreak/>
        <w:t>All the indicators relating to the Economic and Regulatory perspective are above the minimum regulatory levels and the objectives defined in the Risk Appetite.</w:t>
      </w:r>
    </w:p>
    <w:p w14:paraId="0063B3FD" w14:textId="77777777" w:rsidR="003A23E3" w:rsidRDefault="00000000">
      <w:r>
        <w:t>The elements subject to assessment in the SREP process are the feasibility and sustainability of the business model, the adequacy of governance and risk management, capital risk assessment, liquidity and funding risk assessment.</w:t>
      </w:r>
    </w:p>
    <w:p w14:paraId="0BFCAB48" w14:textId="1A49EE83" w:rsidR="003A23E3" w:rsidRDefault="00000000">
      <w:r>
        <w:t xml:space="preserve">Risk management objectives and policies 24 Public disclosure </w:t>
      </w:r>
      <w:proofErr w:type="spellStart"/>
      <w:r>
        <w:t>FinecoBank</w:t>
      </w:r>
      <w:proofErr w:type="spellEnd"/>
      <w:r>
        <w:t xml:space="preserve"> Scope of application </w:t>
      </w:r>
      <w:proofErr w:type="spellStart"/>
      <w:r>
        <w:t>FinecoBank</w:t>
      </w:r>
      <w:proofErr w:type="spellEnd"/>
      <w:r>
        <w:t xml:space="preserve"> Public disclosure 25 Scope of application Name of the bank to which the disclosure requirements apply FinecoBank S.</w:t>
      </w:r>
    </w:p>
    <w:p w14:paraId="40CA1042" w14:textId="77777777" w:rsidR="00FD40CA" w:rsidRDefault="00000000">
      <w:r>
        <w:t xml:space="preserve">Scope of application 26 Public disclosure </w:t>
      </w:r>
      <w:proofErr w:type="spellStart"/>
      <w:r>
        <w:t>FinecoBank</w:t>
      </w:r>
      <w:proofErr w:type="spellEnd"/>
      <w:r>
        <w:t xml:space="preserve"> EU LI1 Differences between the accounting scope and the scope of prudential consolidation and mapping of financial statement categories with regulatory risk </w:t>
      </w:r>
      <w:proofErr w:type="spellStart"/>
      <w:r>
        <w:t>categoriesAmounts</w:t>
      </w:r>
      <w:proofErr w:type="spellEnd"/>
      <w:r>
        <w:t xml:space="preserve"> in € thousand</w:t>
      </w:r>
      <w:r w:rsidR="00FD40CA">
        <w:t>.</w:t>
      </w:r>
    </w:p>
    <w:p w14:paraId="7743AFBD" w14:textId="22DE856D" w:rsidR="003A23E3" w:rsidRDefault="00000000">
      <w:r>
        <w:t>Carrying values as reported in published financial statement and under scope of prudential consolidation Carrying values items subject to the credit risk framework subject to the CCR framework subject to the securitisation framework subject to the market risk framework not subject to own funds requirements or subject to deduction from own funds Breakdown by asset classes according to the balance sheet in the published financial statements 1 10.</w:t>
      </w:r>
    </w:p>
    <w:p w14:paraId="7AB9D1EB" w14:textId="00C28C25" w:rsidR="003A23E3" w:rsidRDefault="00000000">
      <w:r>
        <w:t xml:space="preserve">Own Funds </w:t>
      </w:r>
      <w:proofErr w:type="spellStart"/>
      <w:r>
        <w:t>FinecoBank</w:t>
      </w:r>
      <w:proofErr w:type="spellEnd"/>
      <w:r>
        <w:t xml:space="preserve"> Public disclosure 39 EU CC2 Reconciliation of regulatory own funds to balance sheet in the audited financial </w:t>
      </w:r>
      <w:r w:rsidR="009F60E9">
        <w:t>statements Amounts</w:t>
      </w:r>
      <w:r>
        <w:t xml:space="preserve"> in € thousand a b c Balance sheet as in published financial statements Under regulatory scope of consolidation Ref.</w:t>
      </w:r>
    </w:p>
    <w:p w14:paraId="45B7276C" w14:textId="3A42E3C1" w:rsidR="003A23E3" w:rsidRDefault="00000000">
      <w:r>
        <w:t xml:space="preserve">Reserves 1,053,594 1,053,594 2 and 3 Own Funds 40 Public disclosure </w:t>
      </w:r>
      <w:proofErr w:type="spellStart"/>
      <w:r>
        <w:t>FinecoBank</w:t>
      </w:r>
      <w:proofErr w:type="spellEnd"/>
      <w:r>
        <w:t xml:space="preserve"> continued: EU CC2 Reconciliation of regulatory own funds to balance sheet in the audited financial </w:t>
      </w:r>
      <w:r w:rsidR="009F60E9">
        <w:t>statements Amounts</w:t>
      </w:r>
      <w:r>
        <w:t xml:space="preserve"> in € thousand a b c Balance sheet as in published financial statements Under regulatory scope of consolidation Ref.</w:t>
      </w:r>
    </w:p>
    <w:p w14:paraId="1E70283D" w14:textId="77777777" w:rsidR="003A23E3" w:rsidRDefault="00000000">
      <w:r>
        <w:t>In the dynamic management of capital, the Group draws up the capital plan and monitors the regulatory capital requirements, anticipating the appropriate actions to achieve the targets.</w:t>
      </w:r>
    </w:p>
    <w:p w14:paraId="4FC46302" w14:textId="77777777" w:rsidR="003A23E3" w:rsidRDefault="00000000">
      <w:r>
        <w:t>Capital at risk is measured according to risk management techniques, for which risk capital is defined as internal capital, on the one hand, and supervisory regulations, for which risk capital is defined as regulatory capital, on the other.</w:t>
      </w:r>
    </w:p>
    <w:p w14:paraId="3C171C11" w14:textId="63EC8221" w:rsidR="003A23E3" w:rsidRDefault="00000000">
      <w:r>
        <w:t xml:space="preserve">The process of capital allocation is based on a dual track logic, considering both economic </w:t>
      </w:r>
      <w:proofErr w:type="gramStart"/>
      <w:r>
        <w:t>capital</w:t>
      </w:r>
      <w:proofErr w:type="gramEnd"/>
      <w:r>
        <w:t>, measured through the full evaluation of risks via risk management models, and regulatory capital, quantified applying internal capitalisation targets to regulatory capital requirements.</w:t>
      </w:r>
    </w:p>
    <w:p w14:paraId="5D9C97EF" w14:textId="77777777" w:rsidR="003A23E3" w:rsidRDefault="00000000">
      <w:r>
        <w:t>The Group dynamically manages its capital base by monitoring regulatory capital ratios, anticipating the appropriate changes necessary to achieve its defined targets, and optimising the composition of its assets and equity.</w:t>
      </w:r>
    </w:p>
    <w:p w14:paraId="5B7D8AE8" w14:textId="3D8B62C1" w:rsidR="003A23E3" w:rsidRDefault="00000000">
      <w:proofErr w:type="gramStart"/>
      <w:r>
        <w:lastRenderedPageBreak/>
        <w:t>With regard to</w:t>
      </w:r>
      <w:proofErr w:type="gramEnd"/>
      <w:r>
        <w:t xml:space="preserve"> the general qualitative information on credit risk referred to in the EU CRA table, please refer to the chapter Risk management objectives and policies.</w:t>
      </w:r>
    </w:p>
    <w:p w14:paraId="7A46D360" w14:textId="32B4A29E" w:rsidR="003A23E3" w:rsidRDefault="00000000">
      <w:r>
        <w:t xml:space="preserve">With reference to </w:t>
      </w:r>
      <w:proofErr w:type="gramStart"/>
      <w:r>
        <w:t>particular socio-economic</w:t>
      </w:r>
      <w:proofErr w:type="gramEnd"/>
      <w:r>
        <w:t xml:space="preserve"> scenarios, characterized by a high degree severity, the Group, considering the role and social responsibility it is invested in, may join initiatives aimed at supporting families and </w:t>
      </w:r>
      <w:r w:rsidR="00053019">
        <w:t xml:space="preserve"> </w:t>
      </w:r>
      <w:r>
        <w:t xml:space="preserve"> or companies in temporary difficulty.</w:t>
      </w:r>
    </w:p>
    <w:p w14:paraId="0A27F5B3" w14:textId="77777777" w:rsidR="003A23E3" w:rsidRDefault="00000000">
      <w:r>
        <w:t>Process of transfer of the issuer or issue credit ratings to comparable assets not included in the regulatory trading book In compliance with CRR, the criteria have been defined, as described below, for the use of issue and issuer credit ratings for the assessment of exposure risks.</w:t>
      </w:r>
    </w:p>
    <w:p w14:paraId="3A099631" w14:textId="77777777" w:rsidR="003A23E3" w:rsidRDefault="00000000">
      <w:r>
        <w:t>Credit protection is a recognized regulatory tool used by credit institutions to reduce credit risk associated with their exposures.</w:t>
      </w:r>
    </w:p>
    <w:p w14:paraId="1CD39831" w14:textId="62928725" w:rsidR="003A23E3" w:rsidRDefault="00000000">
      <w:r>
        <w:t>As far as credit business with institutional counterparties is concerned, the Group assesses the technical feasibility of new business proposals with institutional counterparties and the compliance with regulatory requirements through the involvement of the proposing functions of the CFO Department</w:t>
      </w:r>
      <w:r w:rsidR="00BF4E02">
        <w:t xml:space="preserve">, </w:t>
      </w:r>
      <w:r>
        <w:t>mainly the Treasury function, the CRO Department, as the risk management function, the CLO Department, in its role of assignee of the risk ceiling, and other technical support functions.</w:t>
      </w:r>
    </w:p>
    <w:p w14:paraId="7C8240BA" w14:textId="18A2FA62" w:rsidR="003A23E3" w:rsidRDefault="00000000">
      <w:r>
        <w:t xml:space="preserve">Risk limits are established according to a prudential approach, always in compliance with Exposures to counterparty credit risk 76 Public disclosure </w:t>
      </w:r>
      <w:proofErr w:type="spellStart"/>
      <w:r>
        <w:t>FinecoBank</w:t>
      </w:r>
      <w:proofErr w:type="spellEnd"/>
      <w:r>
        <w:t xml:space="preserve"> the regulatory limits on large exposures.</w:t>
      </w:r>
    </w:p>
    <w:p w14:paraId="2BFA10DD" w14:textId="77777777" w:rsidR="003A23E3" w:rsidRDefault="00000000">
      <w:r>
        <w:t>Compliance with the assigned ceilings and the regulatory limits is ensured by both business and operating units through line controls and by control functions through second level controls.</w:t>
      </w:r>
    </w:p>
    <w:p w14:paraId="60AA5D17" w14:textId="68AEB8C9" w:rsidR="003A23E3" w:rsidRDefault="00000000">
      <w:r>
        <w:t xml:space="preserve">For SFT transactions, in addition to the adoption of the </w:t>
      </w:r>
      <w:proofErr w:type="gramStart"/>
      <w:r>
        <w:t>aforementioned standard</w:t>
      </w:r>
      <w:proofErr w:type="gramEnd"/>
      <w:r>
        <w:t xml:space="preserve"> contracts</w:t>
      </w:r>
      <w:r w:rsidR="00BF4E02">
        <w:t xml:space="preserve"> </w:t>
      </w:r>
      <w:r>
        <w:t>framework agreements, the Parent Company's Risk Management function has identified a series of minimum contractual safeguards without which the exposures cannot benefit from the recognition of risk mitigation techniques</w:t>
      </w:r>
      <w:r w:rsidR="00BF4E02">
        <w:t xml:space="preserve"> </w:t>
      </w:r>
      <w:r>
        <w:t>in the absorption of the assigned ceiling</w:t>
      </w:r>
      <w:r w:rsidR="00BF4E02">
        <w:t>.</w:t>
      </w:r>
    </w:p>
    <w:p w14:paraId="02C2321F" w14:textId="77777777" w:rsidR="003A23E3" w:rsidRDefault="00000000">
      <w:r>
        <w:t xml:space="preserve">As </w:t>
      </w:r>
      <w:proofErr w:type="gramStart"/>
      <w:r>
        <w:t>at</w:t>
      </w:r>
      <w:proofErr w:type="gramEnd"/>
      <w:r>
        <w:t xml:space="preserve"> 31 December 2024, for the purposes of calculating the regulatory requirement for operational risk, the Group applies the Standardized Approach.</w:t>
      </w:r>
    </w:p>
    <w:p w14:paraId="6F097EEA" w14:textId="79C66BF3" w:rsidR="003A23E3" w:rsidRDefault="00000000">
      <w:r>
        <w:t>Although the adoption of the standardized method does not require it, the Group maintains the governance, the controls and the reporting framework of the AMA Advanced Measurement Approach</w:t>
      </w:r>
      <w:r w:rsidR="00BF4E02">
        <w:t xml:space="preserve"> </w:t>
      </w:r>
      <w:r>
        <w:t>method, previously adopted for the measurement of the capital requirements.</w:t>
      </w:r>
    </w:p>
    <w:p w14:paraId="5A56C4EE" w14:textId="0658919C" w:rsidR="003A23E3" w:rsidRDefault="00000000">
      <w:r>
        <w:t xml:space="preserve">As described in the chapter Risk management objectives and policies, the database of internal loss data was also used to develop a </w:t>
      </w:r>
      <w:proofErr w:type="gramStart"/>
      <w:r>
        <w:t>pillar  internal</w:t>
      </w:r>
      <w:proofErr w:type="gramEnd"/>
      <w:r>
        <w:t xml:space="preserve"> capital calculation model.</w:t>
      </w:r>
    </w:p>
    <w:p w14:paraId="4DCDBAD9" w14:textId="77777777" w:rsidR="003A23E3" w:rsidRDefault="00000000">
      <w:r>
        <w:lastRenderedPageBreak/>
        <w:t>For the purposes of calculating own funds requirement according to the Standardized Approach, the Group's activities have been classified into business lines, based on a procedure approved by the Board of Directors, and in accordance with the principles set out in Articles 317 and 318 CRR.</w:t>
      </w:r>
    </w:p>
    <w:p w14:paraId="6885EF3F" w14:textId="77777777" w:rsidR="003A23E3" w:rsidRDefault="00000000">
      <w:r>
        <w:t>It should be noted that, starting from 1 January 2025, the Group will apply the new calculation approach for the regulatory requirement for operational risks, envisaged by the.</w:t>
      </w:r>
    </w:p>
    <w:p w14:paraId="75382A9C" w14:textId="77777777" w:rsidR="003A23E3" w:rsidRDefault="00000000">
      <w:r>
        <w:t>Interest rate risk management in FinecoBank aims to ensure financial stability in the financial statement, regardless of the variation effects of interest rates on the net interest income and the economic value.</w:t>
      </w:r>
    </w:p>
    <w:p w14:paraId="06C7A400" w14:textId="77777777" w:rsidR="003A23E3" w:rsidRDefault="00000000">
      <w:r>
        <w:t>In particular, in full compliance with the regulatory provisions, FinecoBank assesses interest rate risk according to two different but complementary perspectives: Economic value perspective and Income perspective.</w:t>
      </w:r>
    </w:p>
    <w:p w14:paraId="33EB5B1C" w14:textId="77777777" w:rsidR="003A23E3" w:rsidRDefault="00000000">
      <w:r>
        <w:t>In particular, the Policy describes the management of liquidity and its risks in standard conditions and in crisis conditions, the first and second level control activities and the Group governance on the matter, defining the roles and responsibilities of the corporate Bodies and functions of the Parent Company.</w:t>
      </w:r>
    </w:p>
    <w:p w14:paraId="6713031B" w14:textId="049C82DC" w:rsidR="003A23E3" w:rsidRDefault="00000000">
      <w:r>
        <w:t>The regulatory indicator is also complemented by a managerial indicator called structural ratio, which shares most of its objectives and logics.</w:t>
      </w:r>
    </w:p>
    <w:p w14:paraId="5F6B1D04" w14:textId="77777777" w:rsidR="003A23E3" w:rsidRDefault="00000000">
      <w:r>
        <w:t>The compliance with this regulatory requirement is constantly monitored by setting internal limits within the risk appetite framework that are above the minimum regulatory level of 100%.</w:t>
      </w:r>
    </w:p>
    <w:p w14:paraId="2B45061C" w14:textId="69229733" w:rsidR="003A23E3" w:rsidRDefault="00000000">
      <w:r>
        <w:t xml:space="preserve">The regulatory framework applied is represented by: </w:t>
      </w:r>
      <w:r>
        <w:t> with reference to the requirements to be met</w:t>
      </w:r>
      <w:r w:rsidR="00BF4E02">
        <w:t xml:space="preserve"> </w:t>
      </w:r>
      <w:r>
        <w:t>CRR article 412 Liquidity coverage requirement.</w:t>
      </w:r>
    </w:p>
    <w:p w14:paraId="120829FB" w14:textId="77777777" w:rsidR="003A23E3" w:rsidRDefault="00000000">
      <w:r>
        <w:t>In order to maintain and even improve the benefits of such program in terms of flexibility and rapidity in issuing, hence reducing the risk for the Bank to be exposed to unfavourable market or geopolitical conditions, the Board of Directors has decided on 16th January 2024 the renewal of the program for another year extending the document also to the issuance of AT1 instruments.</w:t>
      </w:r>
    </w:p>
    <w:p w14:paraId="5E3F3270" w14:textId="27D2F6F6" w:rsidR="003A23E3" w:rsidRDefault="00000000">
      <w:r>
        <w:t>As for the regulatory indicators, the effectiveness of the funding measures provided by FinecoBank is demonstrated by the levels well above the regulatory limits of the calculated and monitored liquidity ratios</w:t>
      </w:r>
      <w:r w:rsidR="009F60E9">
        <w:t xml:space="preserve"> </w:t>
      </w:r>
      <w:r>
        <w:t>LCR and NSFR.</w:t>
      </w:r>
    </w:p>
    <w:p w14:paraId="397ECBA1" w14:textId="32253DD7" w:rsidR="003A23E3" w:rsidRDefault="00000000">
      <w:r>
        <w:t>The underlying regulatory framework is represented with reference to the requirements to be CRR article 413 Stable funding requirement and the new Articles 428a et seq.</w:t>
      </w:r>
    </w:p>
    <w:p w14:paraId="5056AA44" w14:textId="77777777" w:rsidR="003A23E3" w:rsidRDefault="00000000">
      <w:r>
        <w:t>Processes used to manage the risk of excessive leverage The Group’s Risk Appetite Framework is the foundation for risk management in the FinecoBank Group.</w:t>
      </w:r>
    </w:p>
    <w:p w14:paraId="27CED72F" w14:textId="77777777" w:rsidR="003A23E3" w:rsidRDefault="00000000">
      <w:r>
        <w:lastRenderedPageBreak/>
        <w:t>The Framework sets out governance mechanisms, processes, instruments and procedures for the overall management of the Group’s risks.</w:t>
      </w:r>
    </w:p>
    <w:p w14:paraId="4521EFCE" w14:textId="77777777" w:rsidR="003A23E3" w:rsidRDefault="00000000">
      <w:r>
        <w:t>The results of periodic monitoring and reporting are presented on a quarterly basis to the Board of Directors of the Parent Company within the Report on the Group’s risk exposure.</w:t>
      </w:r>
    </w:p>
    <w:p w14:paraId="41F9817C" w14:textId="59C23C84" w:rsidR="003A23E3" w:rsidRDefault="00000000">
      <w:r>
        <w:t xml:space="preserve">Leverage 110 Public disclosure </w:t>
      </w:r>
      <w:proofErr w:type="spellStart"/>
      <w:r>
        <w:t>FinecoBank</w:t>
      </w:r>
      <w:proofErr w:type="spellEnd"/>
      <w:r>
        <w:t xml:space="preserve"> Disclosure of environmental, social and governance risks </w:t>
      </w:r>
      <w:proofErr w:type="spellStart"/>
      <w:r>
        <w:t>FinecoBank</w:t>
      </w:r>
      <w:proofErr w:type="spellEnd"/>
      <w:r>
        <w:t xml:space="preserve"> Public disclosure 111 Disclosure of environmental, social and governance risks Information on environmental, social and governance risks required under Article 449a of the CRR is described below.</w:t>
      </w:r>
    </w:p>
    <w:p w14:paraId="1BE94F1C" w14:textId="0D4BDA4F" w:rsidR="003A23E3" w:rsidRDefault="00000000">
      <w:r>
        <w:t xml:space="preserve">The orientation towards sustainable growth is a fundamental element of the long-term value creation strategy for the Group and for all its stakeholders, which Fineco pursues by operating in line with its corporate purpose: to support customers in taking a responsible approach to their financial life </w:t>
      </w:r>
      <w:proofErr w:type="gramStart"/>
      <w:r>
        <w:t>in order to</w:t>
      </w:r>
      <w:proofErr w:type="gramEnd"/>
      <w:r>
        <w:t xml:space="preserve"> create the conditions for a more prosperous and fairer society.</w:t>
      </w:r>
    </w:p>
    <w:p w14:paraId="608CAF93" w14:textId="49EC0669" w:rsidR="003A23E3" w:rsidRDefault="00000000">
      <w:r>
        <w:t>The adoption, since 2022, of a Sustainability Policy15 defined the reference and linking framework for all the commitments signed by the Group on sustainability, as well as for defining the governance structure and compliance monitoring with respect to Environmental, Social and Governance matters</w:t>
      </w:r>
      <w:r w:rsidR="00053019">
        <w:t xml:space="preserve">, </w:t>
      </w:r>
      <w:r>
        <w:t>for regulating the process of identifying and managing ESG risks and for identifying the main areas of integration of sustainability factors into the Group's business and activities.</w:t>
      </w:r>
    </w:p>
    <w:p w14:paraId="10388268" w14:textId="77777777" w:rsidR="003A23E3" w:rsidRDefault="00000000">
      <w:r>
        <w:t>Adherence to the most important sustainability initiatives of the United Nations, in particular the Principles of the Global Compact, the Principles for Responsible Banking and the Principles for Responsible Investment, allows the commitments signed by the Group to be placed within the political-institutional framework outlined by the Paris Agreement and the 2030 Agenda for Sustainable Development and to increasingly integrate ESG risks and factors in business decisions.</w:t>
      </w:r>
    </w:p>
    <w:p w14:paraId="62EF87C0" w14:textId="77777777" w:rsidR="003A23E3" w:rsidRDefault="00000000">
      <w:r>
        <w:t>Qualitative information on environmental risk This section provides qualitative information on environmental risk describing the integration of such risks, including specific information on climate change risks, into the FinecoBank Group's strategy and business processes, governance and risk management.</w:t>
      </w:r>
    </w:p>
    <w:p w14:paraId="1A37C4E4" w14:textId="77777777" w:rsidR="003A23E3" w:rsidRDefault="00000000">
      <w:r>
        <w:t>Strategy and business processes Since 2020, the Group adopted an Environmental Policy, which formalises Fineco's overall intentions and direction with respect to its environmental performance, including compliance with all relevant environmental regulatory obligations and a commitment to continuous improvement in environmental performance.</w:t>
      </w:r>
    </w:p>
    <w:p w14:paraId="68892722" w14:textId="00F9CCD2" w:rsidR="003A23E3" w:rsidRDefault="00000000">
      <w:r>
        <w:t xml:space="preserve">Since 2020, the Group aligns the ESG Plan targets with the UN Sustainable Development </w:t>
      </w:r>
      <w:proofErr w:type="spellStart"/>
      <w:r>
        <w:t>GoalsSDGs</w:t>
      </w:r>
      <w:proofErr w:type="spellEnd"/>
      <w:r>
        <w:t xml:space="preserve"> deemed most relevant based on the commonalities between the 169 targets and the Group’s material topics and defines an ESG Multi Year Plan</w:t>
      </w:r>
    </w:p>
    <w:p w14:paraId="0AA07FB9" w14:textId="77777777" w:rsidR="003A23E3" w:rsidRDefault="00000000">
      <w:r>
        <w:lastRenderedPageBreak/>
        <w:t>In June 2024, the certification renewal audit, conducted by an independent third party in compliance with the EMAS Regulation, was successfully completed.</w:t>
      </w:r>
    </w:p>
    <w:p w14:paraId="4A509F91" w14:textId="77777777" w:rsidR="003A23E3" w:rsidRDefault="00000000">
      <w:r>
        <w:t>The goal is to achieve net zero emissions status by 2050.</w:t>
      </w:r>
    </w:p>
    <w:p w14:paraId="120662D5" w14:textId="77777777" w:rsidR="003A23E3" w:rsidRDefault="00000000">
      <w:r>
        <w:t>In particular, by 2050, the goal is to reduce operational emissions of scopes 1, 2 and 3 by 90 per cent and to neutralise residual emissions.</w:t>
      </w:r>
    </w:p>
    <w:p w14:paraId="1A0A4119" w14:textId="77777777" w:rsidR="003A23E3" w:rsidRDefault="00000000">
      <w:r>
        <w:t>Moreover, the Bank is committed to ensuring that its balance sheet assets, and more specifically its sovereign and bank debt securities, are 100% aligned with the net zero emissions target by 2050, coherently with the Paris Agreement.</w:t>
      </w:r>
    </w:p>
    <w:p w14:paraId="16702D02" w14:textId="77777777" w:rsidR="003A23E3" w:rsidRDefault="00000000">
      <w:r>
        <w:t>Overall, Fineco's exposure to climate and environmental risks is limited by the internal characteristics of its business model and the analyses conducted show a low impact of environmental risks on the Group's risk profile.</w:t>
      </w:r>
    </w:p>
    <w:p w14:paraId="687B5FCB" w14:textId="77777777" w:rsidR="003A23E3" w:rsidRDefault="00000000">
      <w:r>
        <w:t>In defining and implementing its business strategy, Fineco integrates climate and environmental risks that may have an impact on its business environment in the short, medium and long term.</w:t>
      </w:r>
    </w:p>
    <w:p w14:paraId="6016E62E" w14:textId="77777777" w:rsidR="003A23E3" w:rsidRDefault="00000000">
      <w:r>
        <w:t>Analysis of the regulatory and competitive landscape on climate and, more generally, sustainability matters, in order to assess the impact of related risks on the Group, is carried out on a regular basis.</w:t>
      </w:r>
    </w:p>
    <w:p w14:paraId="69896114" w14:textId="77777777" w:rsidR="003A23E3" w:rsidRDefault="00000000">
      <w:r>
        <w:t>In the context of the process of alignment with the sustainability reporting requirements pursuant to the abovementioned CSRD – in force as of the 2024 financial year reporting – in 2024, the process of identifying and assessing environmental, social and governance risks pursuant to the aforementioned legislation was carried out, in particular as part of the process of defining the material topics of the Group according to the so-called double materiality analysis.</w:t>
      </w:r>
    </w:p>
    <w:p w14:paraId="565E2B75" w14:textId="304CE140" w:rsidR="003A23E3" w:rsidRDefault="00000000">
      <w:r>
        <w:t>In addition, to regulate the process of defining and implementing the Bank's ESG Plan and Environmental Programme, a specific procedure has been adopted that requires, among other things, that the objectives defined are consistent with the Group's strategic guidelines, including through dialogue 15 Available on the FinecoBank website at the link section Sustainability.</w:t>
      </w:r>
    </w:p>
    <w:p w14:paraId="75B6169F" w14:textId="752E2E95" w:rsidR="003A23E3" w:rsidRDefault="00000000">
      <w:r>
        <w:t xml:space="preserve">Disclosure of environmental, social and governance risks 112 Public disclosure </w:t>
      </w:r>
      <w:proofErr w:type="spellStart"/>
      <w:r>
        <w:t>FinecoBank</w:t>
      </w:r>
      <w:proofErr w:type="spellEnd"/>
      <w:r>
        <w:t xml:space="preserve"> with the Chief Risk Officer Department.</w:t>
      </w:r>
    </w:p>
    <w:p w14:paraId="658EB9E9" w14:textId="77777777" w:rsidR="003A23E3" w:rsidRDefault="00000000">
      <w:r>
        <w:t>To ensure an increasing integration of environmental, social and governance aspects into its Investment Plan, since 2019 Fineco has started to allocate a portion of its financial resources to the subscription of green, sustainable and social bonds.</w:t>
      </w:r>
    </w:p>
    <w:p w14:paraId="2F7F0BEB" w14:textId="0A333449" w:rsidR="003A23E3" w:rsidRDefault="00000000">
      <w:r>
        <w:t xml:space="preserve">Regarding counterparty engagement on environmental risk management, the Bank's lending policy is geared towards lending to retail customers and investment in central </w:t>
      </w:r>
      <w:r>
        <w:lastRenderedPageBreak/>
        <w:t xml:space="preserve">government financial </w:t>
      </w:r>
      <w:proofErr w:type="spellStart"/>
      <w:r>
        <w:t>instrumentssovereign</w:t>
      </w:r>
      <w:proofErr w:type="spellEnd"/>
      <w:r>
        <w:t xml:space="preserve"> bonds, as reflected in the share of exposures to central governments, central banks and supranational issuers.</w:t>
      </w:r>
    </w:p>
    <w:p w14:paraId="37F8FBE8" w14:textId="77777777" w:rsidR="003A23E3" w:rsidRDefault="00000000">
      <w:r>
        <w:t>Considering this, FinecoBank's business model has little exposure to climate and environmental risk factors, as detailed in the Risk Management section.</w:t>
      </w:r>
    </w:p>
    <w:p w14:paraId="65E4BC56" w14:textId="77777777" w:rsidR="003A23E3" w:rsidRDefault="00000000">
      <w:r>
        <w:t>Specifically, it oversees the evolution of the Group's Sustainability strategy, contributes to assessing the impacts, risks and opportunities related to Sustainability issues, examines and, where appropriate, formulates proposals regarding corporate plans, objectives, rules and procedures on social and environmental issues, also playing a support role to the Board of Directors for the approval of policies aimed at promoting diversity and inclusiveness, contributes to the assessment of products with ESG purposes for which the Bank acts as manufacturer, monitors the positioning of the Company and the Group with respect to the financial markets on Sustainability issues and Stakeholder relations, and examines and advises on the policy for managing relations with all the Shareholders.</w:t>
      </w:r>
    </w:p>
    <w:p w14:paraId="131A0CE8" w14:textId="77777777" w:rsidR="003A23E3" w:rsidRDefault="00000000">
      <w:r>
        <w:t>It also examines the content of the Consolidated Sustainability Report relevant to the internal control and risk management system.</w:t>
      </w:r>
    </w:p>
    <w:p w14:paraId="696DD5B4" w14:textId="3E639703" w:rsidR="003A23E3" w:rsidRDefault="00000000">
      <w:r>
        <w:t xml:space="preserve">Disclosure of environmental, social and governance risks FinecoBank Public disclosure </w:t>
      </w:r>
      <w:proofErr w:type="gramStart"/>
      <w:r>
        <w:t>in order to</w:t>
      </w:r>
      <w:proofErr w:type="gramEnd"/>
      <w:r>
        <w:t xml:space="preserve"> support the Corporate Governance and Environmental and Social Sustainability Committee, a Sustainability Management Committee is established, supported by the Sustainability Structure and composed of managers from the Parent Company.</w:t>
      </w:r>
    </w:p>
    <w:p w14:paraId="35AC47C9" w14:textId="77777777" w:rsidR="003A23E3" w:rsidRDefault="00000000">
      <w:r>
        <w:t>The Management Committee is also in charge of monitoring the progress of the defined Sustainability strategy.</w:t>
      </w:r>
    </w:p>
    <w:p w14:paraId="2D4ACB5A" w14:textId="45A5A6A2" w:rsidR="003A23E3" w:rsidRDefault="00000000">
      <w:r>
        <w:t xml:space="preserve">With reference to each </w:t>
      </w:r>
      <w:proofErr w:type="gramStart"/>
      <w:r>
        <w:t>Subsidiary</w:t>
      </w:r>
      <w:proofErr w:type="gramEnd"/>
      <w:r w:rsidR="00BF4E02">
        <w:t xml:space="preserve"> i</w:t>
      </w:r>
      <w:r>
        <w:t>t is required to identify an organizational structure within each subsidiary to assume the role of the main Coordinator of the implementation and ongoing supervision of Sustainability-related activities.</w:t>
      </w:r>
    </w:p>
    <w:p w14:paraId="296813AA" w14:textId="77777777" w:rsidR="003A23E3" w:rsidRDefault="00000000">
      <w:r>
        <w:t>Assigning this role to a centralized function is intended to ensure that a consistent ESG approach is adopted towards all Stakeholders.</w:t>
      </w:r>
    </w:p>
    <w:p w14:paraId="18C71DAD" w14:textId="1108DFF8" w:rsidR="003A23E3" w:rsidRDefault="00000000">
      <w:r>
        <w:t>In addition, a dedicated ESG regulatory oversight organisational model has been established in the parent company, divided into seven macro-areas</w:t>
      </w:r>
      <w:r w:rsidR="00BF4E02">
        <w:t xml:space="preserve"> </w:t>
      </w:r>
      <w:proofErr w:type="gramStart"/>
      <w:r>
        <w:t>Non-financial</w:t>
      </w:r>
      <w:proofErr w:type="gramEnd"/>
      <w:r>
        <w:t xml:space="preserve"> disclosure.</w:t>
      </w:r>
    </w:p>
    <w:p w14:paraId="29CA432D" w14:textId="77777777" w:rsidR="003A23E3" w:rsidRDefault="00000000">
      <w:r>
        <w:t>With reference to the frequency and methods of external and internal reporting on environmental risk, the CRO illustrates to the Corporate Bodies the results of the control and monitoring of such risks on quarterly basis, in its Report on Risk Exposures.</w:t>
      </w:r>
    </w:p>
    <w:p w14:paraId="4F7FDA35" w14:textId="77777777" w:rsidR="003A23E3" w:rsidRDefault="00000000">
      <w:r>
        <w:t>Finally, regarding remuneration policy, the alignment of top management incentive systems with the RAF favours a conservative approach to risktaking and the maintenance of adequate risk levels.</w:t>
      </w:r>
    </w:p>
    <w:p w14:paraId="76E2FA51" w14:textId="77777777" w:rsidR="003A23E3" w:rsidRDefault="00000000">
      <w:r>
        <w:lastRenderedPageBreak/>
        <w:t>Indeed, the incentive systems are consistent with corporate values and objectives, including those of sustainable finance that take ESG factors into account, with long-term strategies linked to corporate performance and with prudent risk management policies.</w:t>
      </w:r>
    </w:p>
    <w:p w14:paraId="7CA9F82C" w14:textId="77777777" w:rsidR="003A23E3" w:rsidRDefault="00000000">
      <w:r>
        <w:t>The Group is committed to developing sound and effective risk management, providing correction mechanisms for the systems themselves, in order to make them consistent with the reference framework for determining risk appetite and with the levels of capital and liquidity required to meet the activities undertaken and, in any case, such as to avoid distorted incentives that could lead to regulatory violations or excessive risk-taking.</w:t>
      </w:r>
    </w:p>
    <w:p w14:paraId="1FA2AED7" w14:textId="0DA530D9" w:rsidR="003A23E3" w:rsidRDefault="00000000">
      <w:r>
        <w:t xml:space="preserve">Disclosure of environmental, social and governance risks 114 Public disclosure </w:t>
      </w:r>
      <w:proofErr w:type="spellStart"/>
      <w:r>
        <w:t>FinecoBank</w:t>
      </w:r>
      <w:proofErr w:type="spellEnd"/>
      <w:r>
        <w:t xml:space="preserve"> The 2024 Remuneration Policy, designed in alignment with the guidelines of investors and proxy advisors and the regulatory framework, confirms the close correlation with the Group’s Multi-Year Plan and the.</w:t>
      </w:r>
    </w:p>
    <w:p w14:paraId="3F1A3583" w14:textId="5309EA73" w:rsidR="003A23E3" w:rsidRDefault="00000000">
      <w:r>
        <w:t>In particular, the individual objectives of the Chief Executive Officer and General Manager and of the other Identified Staff, depending on the specific nature of the role, in relation to the short-term incentive system, have been integrated, in the Stakeholder Value category, with sustainability-related objectives in line with the KPIs and targets envisaged in the ESG MYP 2024-2026.</w:t>
      </w:r>
    </w:p>
    <w:p w14:paraId="6B83C066" w14:textId="69699D80" w:rsidR="003A23E3" w:rsidRDefault="00000000">
      <w:r>
        <w:t>As for environmental and responsible finance KPIs, the following KPIs have been considered</w:t>
      </w:r>
      <w:r w:rsidR="00BF4E02">
        <w:t xml:space="preserve"> </w:t>
      </w:r>
      <w:r>
        <w:t>the introduction, within the client offering platform, of new funds with a Fineco ESG rating16 greater than or equal to 6average rating and the renewal of the EMAS Environmental Registration is considered.</w:t>
      </w:r>
    </w:p>
    <w:p w14:paraId="3878F2C8" w14:textId="0A5B504D" w:rsidR="003A23E3" w:rsidRDefault="00000000">
      <w:r>
        <w:t>In addition, from 2024, the contribution to the promotion of sustainability initiatives and behavior within the organisation is also assessed in the Tone from the top category.</w:t>
      </w:r>
    </w:p>
    <w:p w14:paraId="1306A186" w14:textId="6CC3D37A" w:rsidR="003A23E3" w:rsidRDefault="00000000">
      <w:r>
        <w:t>In addition, in the Financial Advisors Incentive Scheme for 2024, specific sustainability targets have been introduced relating to the percentage of assets held in funds and sicav pursuant to Articles 8 and 9 under Regulation 2019</w:t>
      </w:r>
      <w:r w:rsidR="00053019">
        <w:t xml:space="preserve"> </w:t>
      </w:r>
      <w:r>
        <w:t>2088.</w:t>
      </w:r>
    </w:p>
    <w:p w14:paraId="006F545F" w14:textId="77777777" w:rsidR="003A23E3" w:rsidRDefault="00000000">
      <w:r>
        <w:t>Risk Management Climate change and environmental degradation give rise to structural changes capable to affect economic activity and, consequently, the financial system.</w:t>
      </w:r>
    </w:p>
    <w:p w14:paraId="4A0466F3" w14:textId="77777777" w:rsidR="003A23E3" w:rsidRDefault="00000000">
      <w:r>
        <w:t>In particular, the transition to a low-carbon and more circular economy brings both risks and opportunities for the entire economic system and for financial institutions, while the physical damage caused by climate change and environmental degradation might have a significant impact on the real economy and the financial sector.</w:t>
      </w:r>
    </w:p>
    <w:p w14:paraId="25EE5916" w14:textId="621C9467" w:rsidR="003A23E3" w:rsidRDefault="00000000">
      <w:r>
        <w:t>Climate change commonly gives rise to two risk factors</w:t>
      </w:r>
      <w:r w:rsidR="00BF4E02">
        <w:t xml:space="preserve">, </w:t>
      </w:r>
      <w:r>
        <w:t>physical risk, which refers to the financial impact of climate change, including more frequent extreme weather events and gradual changes in climate, as well as environmental degradation, such as air, water and soil pollution, water stress, biodiversity loss and deforestation.</w:t>
      </w:r>
    </w:p>
    <w:p w14:paraId="43DC7A02" w14:textId="77777777" w:rsidR="003A23E3" w:rsidRDefault="00000000">
      <w:r>
        <w:lastRenderedPageBreak/>
        <w:t>According to the latter, institutions are required to assess the impact of climate-related and environmental risks on their business model and operational environment in the short, medium and long term, and to integrate them into their risk management system, so that they are managed, monitored and mitigated along with other risk categories.</w:t>
      </w:r>
    </w:p>
    <w:p w14:paraId="7C417078" w14:textId="010D83AB" w:rsidR="003A23E3" w:rsidRDefault="00000000">
      <w:r>
        <w:t>Since the first consultation of the ECB on its guide on climate and environmental risks17, the Fineco Group has started a process of progressive integration of climate and environmental risks within its risk management framework, based on the most recent guidelines published by the supervisory authorities and European and international standard setters</w:t>
      </w:r>
      <w:r w:rsidR="00BF4E02">
        <w:t>.</w:t>
      </w:r>
    </w:p>
    <w:p w14:paraId="7584B250" w14:textId="77777777" w:rsidR="003A23E3" w:rsidRDefault="00000000">
      <w:r>
        <w:t>The RAF formalizes, through a set of limits and risk metrics, the risk objectives, any tolerance thresholds and operational limits that the Group commits to comply with in the pursuit of its strategic lines, and is made by the Risk Appetite Statement, which qualitatively defines the positioning of FinecoBank in terms of strategic objectives and related risk profiles, and the Risk Dashboard, which is made by a set of quantitative indicators.</w:t>
      </w:r>
    </w:p>
    <w:p w14:paraId="7EB99787" w14:textId="154FB7BF" w:rsidR="003A23E3" w:rsidRDefault="00000000">
      <w:r>
        <w:t xml:space="preserve">Disclosure of environmental, social and governance risks </w:t>
      </w:r>
      <w:proofErr w:type="spellStart"/>
      <w:r>
        <w:t>FinecoBank</w:t>
      </w:r>
      <w:proofErr w:type="spellEnd"/>
      <w:r>
        <w:t xml:space="preserve"> Public disclosure 115 The RAF 2025 statement, in continuity with the RAF 2024, includes a series of commitments and objectives also in the field of climate and environmental risks.</w:t>
      </w:r>
    </w:p>
    <w:p w14:paraId="30F7089C" w14:textId="23020611" w:rsidR="003A23E3" w:rsidRDefault="00000000">
      <w:r>
        <w:t xml:space="preserve">In this context, the Group's goal is </w:t>
      </w:r>
      <w:proofErr w:type="gramStart"/>
      <w:r>
        <w:t>to</w:t>
      </w:r>
      <w:r w:rsidR="00BF4E02">
        <w:t xml:space="preserve"> </w:t>
      </w:r>
      <w:r>
        <w:t xml:space="preserve"> keep</w:t>
      </w:r>
      <w:proofErr w:type="gramEnd"/>
      <w:r>
        <w:t xml:space="preserve"> a marginal exposure to physical climate and environmental risks, both acute and chronic, by limiting direct investments in the Real Estate segment to properties intended for the unrolling of office and consultancy </w:t>
      </w:r>
      <w:proofErr w:type="gramStart"/>
      <w:r>
        <w:t>activities, and</w:t>
      </w:r>
      <w:proofErr w:type="gramEnd"/>
      <w:r>
        <w:t xml:space="preserve"> ensuring that the real estate collateral portfolio deriving from mortgages loans does is not concentrated towards single climate and environmental risk factors.</w:t>
      </w:r>
    </w:p>
    <w:p w14:paraId="1012182D" w14:textId="77777777" w:rsidR="003A23E3" w:rsidRDefault="00000000">
      <w:r>
        <w:t>One indicator is designed to ensure, through quantitative thresholds, that a share of investments is made in ESG bonds, instruments intended to support projects or activities aimed at promoting social and environmental sustainability.</w:t>
      </w:r>
    </w:p>
    <w:p w14:paraId="21361F1C" w14:textId="6AA3AF37" w:rsidR="003A23E3" w:rsidRDefault="00000000">
      <w:r>
        <w:t>In addition to the objectives set out in the Risk Appetite Statement and the indicators integrated into the Risk Appetite Dashboard, the Group's Sustainability Policy describes the process of identifying, managing and integrating ESG risks into the Group's risk management framework.</w:t>
      </w:r>
    </w:p>
    <w:p w14:paraId="345447D2" w14:textId="2CD1AE19" w:rsidR="003A23E3" w:rsidRDefault="00000000">
      <w:r>
        <w:t xml:space="preserve">This process, which is fully integrated within the Risk Inventory process, </w:t>
      </w:r>
      <w:proofErr w:type="gramStart"/>
      <w:r>
        <w:t>includes  the</w:t>
      </w:r>
      <w:proofErr w:type="gramEnd"/>
      <w:r>
        <w:t xml:space="preserve"> analysis of best practices and </w:t>
      </w:r>
      <w:proofErr w:type="gramStart"/>
      <w:r>
        <w:t>regulations,  the</w:t>
      </w:r>
      <w:proofErr w:type="gramEnd"/>
      <w:r>
        <w:t xml:space="preserve"> identification and mapping of ESG </w:t>
      </w:r>
      <w:proofErr w:type="gramStart"/>
      <w:r>
        <w:t>risks,  their</w:t>
      </w:r>
      <w:proofErr w:type="gramEnd"/>
      <w:r>
        <w:t xml:space="preserve"> integration into the RAF and the Internal Control System stress tests </w:t>
      </w:r>
      <w:proofErr w:type="gramStart"/>
      <w:r>
        <w:t>execution  reporting</w:t>
      </w:r>
      <w:proofErr w:type="gramEnd"/>
      <w:r>
        <w:t xml:space="preserve"> activities.</w:t>
      </w:r>
    </w:p>
    <w:p w14:paraId="2054042E" w14:textId="2DDF50A6" w:rsidR="003A23E3" w:rsidRDefault="00000000">
      <w:r>
        <w:t>On this occasion, a focus on ESG risks is prepared, which during 2024 has been expanded to reflect the requirements of the Corporate Sustainability Disclosure Directive</w:t>
      </w:r>
    </w:p>
    <w:p w14:paraId="523117BA" w14:textId="2E48D5BB" w:rsidR="003A23E3" w:rsidRDefault="00000000">
      <w:r>
        <w:lastRenderedPageBreak/>
        <w:t xml:space="preserve">Disclosure of environmental, social and governance risks 116 Public disclosure </w:t>
      </w:r>
      <w:proofErr w:type="spellStart"/>
      <w:r>
        <w:t>FinecoBank</w:t>
      </w:r>
      <w:proofErr w:type="spellEnd"/>
      <w:r>
        <w:t xml:space="preserve"> the related vulnerabilities and mitigation factors determined by the peculiarities of the Group.</w:t>
      </w:r>
    </w:p>
    <w:p w14:paraId="40680B32" w14:textId="13CC19B2" w:rsidR="003A23E3" w:rsidRDefault="00000000">
      <w:r>
        <w:t xml:space="preserve">Disclosure of environmental, social and governance risks </w:t>
      </w:r>
      <w:proofErr w:type="spellStart"/>
      <w:r>
        <w:t>FinecoBank</w:t>
      </w:r>
      <w:proofErr w:type="spellEnd"/>
      <w:r>
        <w:t xml:space="preserve"> Public disclosure 117 The Data Processing </w:t>
      </w:r>
      <w:proofErr w:type="spellStart"/>
      <w:r>
        <w:t>CentersDPCs</w:t>
      </w:r>
      <w:proofErr w:type="spellEnd"/>
      <w:r>
        <w:t xml:space="preserve"> used by Group companies play a key role in storing data and regularly providing services.</w:t>
      </w:r>
    </w:p>
    <w:p w14:paraId="728241B8" w14:textId="77777777" w:rsidR="003A23E3" w:rsidRDefault="00000000">
      <w:r>
        <w:t>Also on real estate guarantees, a specific ICAAP stress test exercise is regularly carried out which envisage a reduction in the value of the real estate collateral underlying mortgage loans and located in areas with high climate and environmental risk, with a consequent increase in the value of the LGD, credi provisions, and of credit risk internal capital.</w:t>
      </w:r>
    </w:p>
    <w:p w14:paraId="0A2037C4" w14:textId="77777777" w:rsidR="003A23E3" w:rsidRDefault="00000000">
      <w:r>
        <w:t>Looking ahead, considering the efforts of category standard setters to direct rating agencies towards incorporating climate and environmental assessments into their summary judgments on the solvency of counterparties, the latter could suffer a worsening of their creditworthiness.</w:t>
      </w:r>
    </w:p>
    <w:p w14:paraId="110820B7" w14:textId="10BEC6EB" w:rsidR="003A23E3" w:rsidRDefault="00000000">
      <w:r>
        <w:t xml:space="preserve">It should be noted, however, that, </w:t>
      </w:r>
      <w:proofErr w:type="gramStart"/>
      <w:r>
        <w:t>as a general rule</w:t>
      </w:r>
      <w:proofErr w:type="gramEnd"/>
      <w:r>
        <w:t xml:space="preserve">, the Group requires its counterparties to have a credit rating at least equal to investment grade, which Disclosure of environmental, social and governance risks 118 Public disclosure </w:t>
      </w:r>
      <w:proofErr w:type="spellStart"/>
      <w:r>
        <w:t>FinecoBank</w:t>
      </w:r>
      <w:proofErr w:type="spellEnd"/>
      <w:r>
        <w:t xml:space="preserve"> identifies an intrinsically low credit risk.</w:t>
      </w:r>
    </w:p>
    <w:p w14:paraId="7FDBBD08" w14:textId="77777777" w:rsidR="003A23E3" w:rsidRDefault="00000000">
      <w:r>
        <w:t>In particular, customers could move towards asset management products from third-party Asset Managers, with better ESG features than those manufactured by FAM, or towards intermediaries that offer products with better ESG features than those of FinecoBank, or more active in environmental sustainability initiatives.</w:t>
      </w:r>
    </w:p>
    <w:p w14:paraId="2BEFD0B9" w14:textId="77777777" w:rsidR="003A23E3" w:rsidRDefault="00000000">
      <w:r>
        <w:t>The orientation of customers towards intermediaries perceived as more active in environmental sustainability initiatives than FinecoBank leverages the reputation of the FinecoBank banking group, which could experience the migration of a portion of its customers to other intermediaries if it were not perceived as sufficiently active in the area of environmental sustainability.</w:t>
      </w:r>
    </w:p>
    <w:p w14:paraId="2A270394" w14:textId="77777777" w:rsidR="003A23E3" w:rsidRDefault="00000000">
      <w:r>
        <w:t>Furthermore, the Group has been involved in various voluntary environmental sustainability initiatives for some time.</w:t>
      </w:r>
    </w:p>
    <w:p w14:paraId="35C10B59" w14:textId="77777777" w:rsidR="003A23E3" w:rsidRDefault="00000000">
      <w:r>
        <w:t>In particular, the transition to a low-carbon economy could lead to more restrictive regulations from a climate and environmental perspective in the area of credit origination and customer’s creditworthiness assessment, but also regulations aimed at directing customer capital towards more sustainable activities from a climate and environmental perspective.</w:t>
      </w:r>
    </w:p>
    <w:p w14:paraId="49DD3338" w14:textId="77777777" w:rsidR="003A23E3" w:rsidRDefault="00000000">
      <w:r>
        <w:t>In this respect, the FinecoBank Group ensures monitoring of legal and regulatory developments through the Compliance functions and the various specialist functions.</w:t>
      </w:r>
    </w:p>
    <w:p w14:paraId="4602B5AC" w14:textId="77777777" w:rsidR="003A23E3" w:rsidRDefault="00000000">
      <w:r>
        <w:lastRenderedPageBreak/>
        <w:t>In order to improve monitoring and disclosure in the area of climate and environmental risks, the Fineco Group collects certain information from customers, including, for example, data on the energy class of properties used as collateral for mortgages loans.</w:t>
      </w:r>
    </w:p>
    <w:p w14:paraId="71006884" w14:textId="77777777" w:rsidR="003A23E3" w:rsidRDefault="00000000">
      <w:r>
        <w:t>For further information on climate and environmental risks, please refer to the relevant section of the sustainability disclosure integrated into the consolidated annual financial report as of 31 December 2024.</w:t>
      </w:r>
    </w:p>
    <w:p w14:paraId="37B67269" w14:textId="01E1CE36" w:rsidR="003A23E3" w:rsidRDefault="00000000">
      <w:r>
        <w:t xml:space="preserve">Disclosure of environmental, social and governance risks </w:t>
      </w:r>
      <w:proofErr w:type="spellStart"/>
      <w:r>
        <w:t>FinecoBank</w:t>
      </w:r>
      <w:proofErr w:type="spellEnd"/>
      <w:r>
        <w:t xml:space="preserve"> Public disclosure 119 – Qualitative information on social risk This section contains qualitative information on social risk that describes the integration of these risks into the FinecoBank Group's business strategy and processes, governance and risk management.</w:t>
      </w:r>
    </w:p>
    <w:p w14:paraId="6D4FF38B" w14:textId="180289E6" w:rsidR="003A23E3" w:rsidRDefault="00000000">
      <w:r>
        <w:t xml:space="preserve">Strategy and business processes Organic and sustainable growth in the long term is the key element of Fineco's development strategy and is achieved through the practical application of the three strategic </w:t>
      </w:r>
      <w:proofErr w:type="spellStart"/>
      <w:r>
        <w:t>pillarsefficiency</w:t>
      </w:r>
      <w:proofErr w:type="spellEnd"/>
      <w:r>
        <w:t>, innovation, transparency mentioned.</w:t>
      </w:r>
    </w:p>
    <w:p w14:paraId="2F3F0DB0" w14:textId="77777777" w:rsidR="003A23E3" w:rsidRDefault="00000000">
      <w:r>
        <w:t>To achieve this goal – in line with the principles and rules of conduct enshrined in the Group's Code of Ethics, Integrity Charter and Code of Conduct – Fineco has combined its commitment to environmental matters with a series of commitments, also from a social point of view, through the adoption of a specific commitment to Human Rights and a series of internal policies aimed at ensuring correct approaches, systems and models of behaviour in the field of gender equality, diversity, equity &amp; inclusion, combating harassment, sexually inappropriate behaviour and bullying, Privacy, Remuneration policies.</w:t>
      </w:r>
    </w:p>
    <w:p w14:paraId="20FCEBE3" w14:textId="3470F3ED" w:rsidR="003A23E3" w:rsidRDefault="00000000">
      <w:r>
        <w:t xml:space="preserve">Starting from 2020, the Group aligns the objectives of the ESG Plan with the Sustainable Development </w:t>
      </w:r>
      <w:proofErr w:type="spellStart"/>
      <w:r>
        <w:t>GoalsSDGs</w:t>
      </w:r>
      <w:proofErr w:type="spellEnd"/>
      <w:r>
        <w:t xml:space="preserve"> considered most relevant </w:t>
      </w:r>
      <w:proofErr w:type="gramStart"/>
      <w:r>
        <w:t>on the basis of</w:t>
      </w:r>
      <w:proofErr w:type="gramEnd"/>
      <w:r>
        <w:t xml:space="preserve"> the commonalities between the 169 targets and the material themes and defines an ESG Multi-Year Plan</w:t>
      </w:r>
    </w:p>
    <w:p w14:paraId="21F219DD" w14:textId="6C4AADDA" w:rsidR="003A23E3" w:rsidRDefault="00000000">
      <w:proofErr w:type="gramStart"/>
      <w:r>
        <w:t>In particular, with</w:t>
      </w:r>
      <w:proofErr w:type="gramEnd"/>
      <w:r>
        <w:t xml:space="preserve"> reference to the engagement of counterparties in the management of social risks, the Bank's lending policy is based, as detailed in the previous sections, on the granting of credit to retail customers and investment in financial instruments of Central </w:t>
      </w:r>
      <w:proofErr w:type="spellStart"/>
      <w:r>
        <w:t>AdministrationsGovernment</w:t>
      </w:r>
      <w:proofErr w:type="spellEnd"/>
      <w:r>
        <w:t xml:space="preserve"> Securities.</w:t>
      </w:r>
    </w:p>
    <w:p w14:paraId="5FD7082D" w14:textId="77777777" w:rsidR="003A23E3" w:rsidRDefault="00000000">
      <w:r>
        <w:t>As for climate and environmental risks, social risk factors also impact on the traditional risk categories managed by the Group, reflecting in particular on operational risks and reputational risks, as described in detail in the sections dedicated to risk management.</w:t>
      </w:r>
    </w:p>
    <w:p w14:paraId="57619ED5" w14:textId="77777777" w:rsidR="003A23E3" w:rsidRDefault="00000000">
      <w:r>
        <w:t>In defining and implementing its corporate strategy, Fineco integrates social risks that may have an impact on its business context in the short, medium and long term.</w:t>
      </w:r>
    </w:p>
    <w:p w14:paraId="57172E37" w14:textId="77777777" w:rsidR="003A23E3" w:rsidRDefault="00000000">
      <w:r>
        <w:t>The analysis of the regulatory and competitive sustainability landscape, in order to assess the impact of the associated risks on the Group, is carried out on a regular basis.</w:t>
      </w:r>
    </w:p>
    <w:p w14:paraId="2F54CFD8" w14:textId="76D07375" w:rsidR="003A23E3" w:rsidRDefault="00000000">
      <w:r>
        <w:t>In the framework described, the Risk and Related Parties Committee has the task of contributing to the definition of the guidelines of the Internal Control System</w:t>
      </w:r>
      <w:r w:rsidR="00053019">
        <w:t xml:space="preserve">, </w:t>
      </w:r>
      <w:r>
        <w:t xml:space="preserve">so that the main risks relating to the Company and the Group, including social risks, are correctly </w:t>
      </w:r>
      <w:r>
        <w:lastRenderedPageBreak/>
        <w:t>identified, as well as adequately measured, managed and monitored, and of supporting the Board of Directors in the evaluation of periodic sustainability reporting, in addition to financial ones.</w:t>
      </w:r>
    </w:p>
    <w:p w14:paraId="63B65F78" w14:textId="77777777" w:rsidR="003A23E3" w:rsidRDefault="00000000">
      <w:r>
        <w:t>In this general framework, the consideration of social risks is fully integrated both in the strategic objectives set out in the Risk Appetite Statement and in the indicators of the Risk Dashboard, as detailed below in the Risk Management section.</w:t>
      </w:r>
    </w:p>
    <w:p w14:paraId="66795BCD" w14:textId="77777777" w:rsidR="003A23E3" w:rsidRDefault="00000000">
      <w:r>
        <w:t>In line with the lending policy outlined – based on granting credit only to retail customers and investing in government bond financial instruments – social risk factors are essentially reflected in operational risks and reputational risks.</w:t>
      </w:r>
    </w:p>
    <w:p w14:paraId="58C3C62D" w14:textId="77777777" w:rsidR="003A23E3" w:rsidRDefault="00000000">
      <w:r>
        <w:t>The other risk categories traditionally managed by the Group have little impact on social risks, as detailed below in the Risk Management section.</w:t>
      </w:r>
    </w:p>
    <w:p w14:paraId="69968C1B" w14:textId="4EB0A0DE" w:rsidR="003A23E3" w:rsidRDefault="00000000">
      <w:r>
        <w:t xml:space="preserve">Disclosure of environmental, social and governance risks 120 Public disclosure </w:t>
      </w:r>
      <w:proofErr w:type="spellStart"/>
      <w:r>
        <w:t>FinecoBank</w:t>
      </w:r>
      <w:proofErr w:type="spellEnd"/>
      <w:r>
        <w:t xml:space="preserve"> Finally, regarding the remuneration policy, the alignment of top management incentive systems with the RAF favours a conservative approach to risktaking and the maintenance of adequate risk levels.</w:t>
      </w:r>
    </w:p>
    <w:p w14:paraId="4F89C6E4" w14:textId="424BE4F3" w:rsidR="003A23E3" w:rsidRDefault="00000000">
      <w:r>
        <w:t>In particular, the individual objectives of the Chief Executive Officer and General Manager and of the other Identified Staff, depending on the specific nature of the role, in relation to the short-term incentive system, have been integrated, in the Stakeholder Value macro-category, with sustainabilityrelated objectives in line with the KPIs and targets envisaged in the ESG MYP 2024-2026.</w:t>
      </w:r>
    </w:p>
    <w:p w14:paraId="73A005EC" w14:textId="7EE49274" w:rsidR="003A23E3" w:rsidRDefault="00000000">
      <w:r>
        <w:t>In addition, from 2024, the contribution to the promotion of sustainability initiatives and behaviour within the organisation is also assessed in the Tone from the top.</w:t>
      </w:r>
    </w:p>
    <w:p w14:paraId="5D101A8E" w14:textId="7CFB38C6" w:rsidR="003A23E3" w:rsidRDefault="00000000">
      <w:r>
        <w:t>In addition, in the Financial Advisor Incentive Scheme for 2024, specific sustainability targets have been introduced relating to the percentage of assets held in funds and sicav pursuant to Articles 8 and 9 under Regulation 2019</w:t>
      </w:r>
      <w:r w:rsidR="00053019">
        <w:t xml:space="preserve"> </w:t>
      </w:r>
      <w:r>
        <w:t>2088 and the recruitment of financial advisors of the least represented gender.</w:t>
      </w:r>
    </w:p>
    <w:p w14:paraId="4DD7A21C" w14:textId="07FC6D79" w:rsidR="003A23E3" w:rsidRDefault="00000000">
      <w:r>
        <w:t>Finally, the Long-Term Incentive Plan for the three-year period 2024-2026 for employees includes sustainability objectives in the areas of: environmental, with reference to the reduction of Scope 1 and 2market-based emissions from operating activities.</w:t>
      </w:r>
    </w:p>
    <w:p w14:paraId="6472F4EB" w14:textId="77777777" w:rsidR="003A23E3" w:rsidRDefault="00000000">
      <w:r>
        <w:t>Social risks are integrated into the Group's Risk Appetite Framework, which represents the tool for monitoring the risk profile that the Group is willing to assume in the implementation of its corporate strategies and in the pursuit of sustainable profitability in conjunction with solid business growth.</w:t>
      </w:r>
    </w:p>
    <w:p w14:paraId="292AD907" w14:textId="2485CCEB" w:rsidR="003A23E3" w:rsidRDefault="00000000">
      <w:r>
        <w:t xml:space="preserve">Among the strategic objectives set out in the Risk Appetite Statement, in continuity with 2024, </w:t>
      </w:r>
      <w:proofErr w:type="gramStart"/>
      <w:r>
        <w:t>in the area of</w:t>
      </w:r>
      <w:proofErr w:type="gramEnd"/>
      <w:r>
        <w:t xml:space="preserve"> social risks, the Group's commitments are: </w:t>
      </w:r>
      <w:r>
        <w:t xml:space="preserve"> to support customers in their responsible approach to their financial lives </w:t>
      </w:r>
      <w:proofErr w:type="gramStart"/>
      <w:r>
        <w:t>in order to</w:t>
      </w:r>
      <w:proofErr w:type="gramEnd"/>
      <w:r>
        <w:t xml:space="preserve"> create the conditions for a more prosperous and fairer society.</w:t>
      </w:r>
    </w:p>
    <w:p w14:paraId="6BD4AC78" w14:textId="313877F2" w:rsidR="003A23E3" w:rsidRDefault="00000000">
      <w:r>
        <w:lastRenderedPageBreak/>
        <w:t xml:space="preserve">Greenwashing risk represents the risk of providing customers or the </w:t>
      </w:r>
      <w:proofErr w:type="spellStart"/>
      <w:r>
        <w:t>marketstakeholders</w:t>
      </w:r>
      <w:proofErr w:type="spellEnd"/>
      <w:r>
        <w:t xml:space="preserve"> with untrue or misleading information, through statements, press releases or disclosure that does not adequately reflect the sustainability profile of the entity or of a financial product</w:t>
      </w:r>
      <w:r w:rsidR="00053019">
        <w:t xml:space="preserve"> </w:t>
      </w:r>
      <w:r>
        <w:t>service.</w:t>
      </w:r>
    </w:p>
    <w:p w14:paraId="58E96A02" w14:textId="77777777" w:rsidR="003A23E3" w:rsidRDefault="00000000">
      <w:r>
        <w:t>It should be noted that the process of creating, approving and publishing the contents of communications to customers and the market, including marketing communications, follows a strict internal approval process that includes first-level controls, carried out directly by the structure responsible for producing the information, and subsequent checks by compliance and legal structures and all the offices concerned.</w:t>
      </w:r>
    </w:p>
    <w:p w14:paraId="0D94B6A8" w14:textId="77777777" w:rsidR="003A23E3" w:rsidRDefault="00000000">
      <w:r>
        <w:t>With regard to employees, it should be noted that the FinecoBank Group is committed to creating a culture of inclusion aimed at avoiding any type of discrimination.</w:t>
      </w:r>
    </w:p>
    <w:p w14:paraId="1D2FFC09" w14:textId="7ECA1C49" w:rsidR="003A23E3" w:rsidRDefault="00000000">
      <w:r>
        <w:t xml:space="preserve">To this end, an integrity charter has been adopted that guarantees, among other things, the protection of human rights and a Global Policy that guarantees gender equality, both directly applicable to personnel belonging to the </w:t>
      </w:r>
      <w:proofErr w:type="spellStart"/>
      <w:r>
        <w:t>FinecoBank</w:t>
      </w:r>
      <w:proofErr w:type="spellEnd"/>
      <w:r>
        <w:t xml:space="preserve"> </w:t>
      </w:r>
      <w:proofErr w:type="spellStart"/>
      <w:r>
        <w:t>Groupfinancial</w:t>
      </w:r>
      <w:proofErr w:type="spellEnd"/>
      <w:r>
        <w:t xml:space="preserve"> advisors and employees.</w:t>
      </w:r>
    </w:p>
    <w:p w14:paraId="54E4B72A" w14:textId="77777777" w:rsidR="003A23E3" w:rsidRDefault="00000000">
      <w:r>
        <w:t>The risk of not being able to guarantee health and safety in the workplace is a very remote possibility, but it certainly has a social impact.</w:t>
      </w:r>
    </w:p>
    <w:p w14:paraId="6553B48D" w14:textId="77777777" w:rsidR="003A23E3" w:rsidRDefault="00000000">
      <w:r>
        <w:t>With reference to customers, the Group promotes a relationship based on criteria of trust, accessibility of products and services and strict compliance with professional ethics, based on an excellent offer and fair pricing, within the three integrated business areas of banking, investing and brokerage.</w:t>
      </w:r>
    </w:p>
    <w:p w14:paraId="57426D72" w14:textId="691847C7" w:rsidR="003A23E3" w:rsidRDefault="00000000">
      <w:r>
        <w:t xml:space="preserve">Disclosure of environmental, social and governance risks 122 Public disclosure </w:t>
      </w:r>
      <w:proofErr w:type="spellStart"/>
      <w:r>
        <w:t>FinecoBank</w:t>
      </w:r>
      <w:proofErr w:type="spellEnd"/>
      <w:r>
        <w:t xml:space="preserve"> </w:t>
      </w:r>
      <w:proofErr w:type="gramStart"/>
      <w:r>
        <w:t>The</w:t>
      </w:r>
      <w:proofErr w:type="gramEnd"/>
      <w:r>
        <w:t xml:space="preserve"> Bank has also established a strict communication process with the primary objective of ensuring maximum protection of customers and their personal data and maximum transparency of communication.</w:t>
      </w:r>
    </w:p>
    <w:p w14:paraId="2A6DA1A8" w14:textId="2AAC0D70" w:rsidR="003A23E3" w:rsidRDefault="00000000">
      <w:r>
        <w:t xml:space="preserve">This type of risk includes both internal </w:t>
      </w:r>
      <w:proofErr w:type="gramStart"/>
      <w:r>
        <w:t>fraud</w:t>
      </w:r>
      <w:proofErr w:type="gramEnd"/>
      <w:r>
        <w:t xml:space="preserve">, committed by internal </w:t>
      </w:r>
      <w:proofErr w:type="spellStart"/>
      <w:r>
        <w:t>personnelemployees</w:t>
      </w:r>
      <w:proofErr w:type="spellEnd"/>
      <w:r>
        <w:t xml:space="preserve"> and financial advisors to the detriment of customers, and misselling events.</w:t>
      </w:r>
    </w:p>
    <w:p w14:paraId="4ADF6B71" w14:textId="77777777" w:rsidR="003A23E3" w:rsidRDefault="00000000">
      <w:r>
        <w:t>For further information on social risks, please refer to the relevant section of the sustainability disclosure integrated into the consolidated annual financial report as of 31 December 2024.</w:t>
      </w:r>
    </w:p>
    <w:p w14:paraId="7829BDD7" w14:textId="63869A0C" w:rsidR="003A23E3" w:rsidRDefault="00000000">
      <w:r>
        <w:t xml:space="preserve">Disclosure of environmental, social and governance risks </w:t>
      </w:r>
      <w:proofErr w:type="spellStart"/>
      <w:r>
        <w:t>FinecoBank</w:t>
      </w:r>
      <w:proofErr w:type="spellEnd"/>
      <w:r>
        <w:t xml:space="preserve"> Public disclosure 123 Qualitative information on governance risk This section provides qualitative information on governance risk that describes the integration of these risks into the governance and risk management of the FinecoBank Group.</w:t>
      </w:r>
    </w:p>
    <w:p w14:paraId="7464E19B" w14:textId="7906643D" w:rsidR="003A23E3" w:rsidRDefault="00000000">
      <w:r>
        <w:t>To this end, the Group has adopted an effective and efficient unitary Internal Control System</w:t>
      </w:r>
      <w:r w:rsidR="00053019">
        <w:t xml:space="preserve">, </w:t>
      </w:r>
      <w:r>
        <w:t xml:space="preserve">aimed at ensuring that the company's activities are based on sound and prudent management that guarantee the financial solidity and profitability of the company and </w:t>
      </w:r>
      <w:r>
        <w:lastRenderedPageBreak/>
        <w:t>ensure, at the same time, a conscious assumption of risks and operational conduct based on fairness, as well as compliance with internal and external regulations.</w:t>
      </w:r>
    </w:p>
    <w:p w14:paraId="5D2FE4ED" w14:textId="77777777" w:rsidR="003A23E3" w:rsidRDefault="00000000">
      <w:r>
        <w:t>In addition to considering environmental and social risks, the RAF also fully integrates the risks associated with governance factors, both in terms of the strategic objectives set out in the Statement – which express the Group's desire to accompany its strategy with the progressive integration of ESG principles – and through the monitoring, in the Risk Dashboard, of indicators to monitor ESG risks.</w:t>
      </w:r>
    </w:p>
    <w:p w14:paraId="116E4E6A" w14:textId="258C5157" w:rsidR="003A23E3" w:rsidRDefault="00000000">
      <w:r>
        <w:t>More specifically, the six indicators analysed monitor how governments are composed, their ability to effectively implement sound policies and the respect that citizens have for the institutions that govern them, in terms of: 1 Voice and Accountability: captures citizens' perception of participating in the selection of their government, of enjoying freedom of expression and association.</w:t>
      </w:r>
    </w:p>
    <w:p w14:paraId="4FC2E4B7" w14:textId="77777777" w:rsidR="003A23E3" w:rsidRDefault="00000000">
      <w:r>
        <w:t>Finally, with respect to the remuneration policy, as described in the previous sections, the alignment of the Top Management incentive systems with the RAF favours a conservative approach to risk-taking and the maintenance of adequate risk levels.</w:t>
      </w:r>
    </w:p>
    <w:p w14:paraId="02CD20C4" w14:textId="13192D4E" w:rsidR="003A23E3" w:rsidRDefault="00000000">
      <w:proofErr w:type="gramStart"/>
      <w:r>
        <w:t>In particular, within</w:t>
      </w:r>
      <w:proofErr w:type="gramEnd"/>
      <w:r>
        <w:t xml:space="preserve"> the specific objective Stakeholder Value described in the previous sections in line with the Group's ESG MYP 2024-2026, in 2024 a specific objective concerning integrity in the conduct and dissemination of compliance culture within the organization continued to be </w:t>
      </w:r>
      <w:proofErr w:type="spellStart"/>
      <w:r>
        <w:t>envisagedTone</w:t>
      </w:r>
      <w:proofErr w:type="spellEnd"/>
      <w:r>
        <w:t xml:space="preserve"> from the top initiative.</w:t>
      </w:r>
    </w:p>
    <w:p w14:paraId="126EC258" w14:textId="3C13081F" w:rsidR="003A23E3" w:rsidRDefault="00000000">
      <w:r>
        <w:t>Starting from 2024, the contribution to the promotion of sustainability initiatives and behaviour within the organisation is also assessed within the Tone from the top initiative.</w:t>
      </w:r>
    </w:p>
    <w:p w14:paraId="3E2253DB" w14:textId="3DD0A8C2" w:rsidR="003A23E3" w:rsidRDefault="00000000">
      <w:r>
        <w:t xml:space="preserve">Disclosure of environmental, social and governance risks 124 Public disclosure </w:t>
      </w:r>
      <w:proofErr w:type="spellStart"/>
      <w:r>
        <w:t>FinecoBank</w:t>
      </w:r>
      <w:proofErr w:type="spellEnd"/>
      <w:r>
        <w:t xml:space="preserve"> 2.</w:t>
      </w:r>
    </w:p>
    <w:p w14:paraId="45F7D7A4" w14:textId="77777777" w:rsidR="003A23E3" w:rsidRDefault="00000000">
      <w:r>
        <w:t>Governance factors concern governance practices, including leadership, executive remuneration, audits, internal controls, anti-tax avoidance, board independence, shareholder rights, anti-corruption and anti-bribery, as well as how companies or entities include environmental and social factors in their policies and procedures.</w:t>
      </w:r>
    </w:p>
    <w:p w14:paraId="50189BAC" w14:textId="77777777" w:rsidR="003A23E3" w:rsidRDefault="00000000">
      <w:r>
        <w:t>In the case of Governance risks, the Risk Inventory process carried out by the Parent Company identified as the main risk factors, non-compliance with internal governance, non-compliance with ethical standards and the risk of the Group's involvement, even involuntary, in money laundering or terrorist financing activities.</w:t>
      </w:r>
    </w:p>
    <w:p w14:paraId="5B19014E" w14:textId="77777777" w:rsidR="003A23E3" w:rsidRDefault="00000000">
      <w:r>
        <w:t>Non-compliance with internal governance and non-compliance with ethical standards are risk factors that fall within the scope of Compliance risk.</w:t>
      </w:r>
    </w:p>
    <w:p w14:paraId="6953F5C9" w14:textId="77777777" w:rsidR="003A23E3" w:rsidRDefault="00000000">
      <w:r>
        <w:t>An example of indirect economic damage, on the other hand, is represented by sanctions imposed by the Supervisory Authority following acts of corruption, in the event that anti-corruption measures were deemed insufficient.</w:t>
      </w:r>
    </w:p>
    <w:p w14:paraId="550901CD" w14:textId="15143C6F" w:rsidR="003A23E3" w:rsidRDefault="00000000">
      <w:r>
        <w:lastRenderedPageBreak/>
        <w:t xml:space="preserve">Specifically: </w:t>
      </w:r>
      <w:r>
        <w:t xml:space="preserve"> the Risk Control function oversees the correct functioning of the Group's risk framework by defining the appropriate methodologies for identifying and measuring the complex of current and </w:t>
      </w:r>
      <w:proofErr w:type="gramStart"/>
      <w:r>
        <w:t>forward looking</w:t>
      </w:r>
      <w:proofErr w:type="gramEnd"/>
      <w:r>
        <w:t xml:space="preserve"> risks, in compliance with regulatory requirements and the Bank's management choices identified in the Group's risk appetite</w:t>
      </w:r>
      <w:r w:rsidR="00053019">
        <w:t xml:space="preserve">, </w:t>
      </w:r>
      <w:r>
        <w:t>carrying out the relevant controls.</w:t>
      </w:r>
    </w:p>
    <w:p w14:paraId="5596F0E2" w14:textId="77777777" w:rsidR="003A23E3" w:rsidRDefault="00000000">
      <w:r>
        <w:t>For further information on governance risks, please refer to the relevant section of the sustainability disclosure integrated into the consolidated annual financial report as of 31 December 2024.</w:t>
      </w:r>
    </w:p>
    <w:p w14:paraId="1AA3FF05" w14:textId="77777777" w:rsidR="003A23E3" w:rsidRDefault="00000000">
      <w:r>
        <w:t>In terms of counterparty commitment to environmental risk management, the Bank's credit policy is oriented towards loans to retail customers and investments in financial instruments of central governments, central banks and supranational issuers.</w:t>
      </w:r>
    </w:p>
    <w:p w14:paraId="207B3264" w14:textId="77777777" w:rsidR="003A23E3" w:rsidRDefault="00000000">
      <w:r>
        <w:t>In terms of counterparty commitment to environmental risk management, the Bank's credit policy is oriented towards loans to retail customers and investments in financial instruments of central governments, central banks and supranational issuers.</w:t>
      </w:r>
    </w:p>
    <w:p w14:paraId="3148FC6C" w14:textId="77777777" w:rsidR="003A23E3" w:rsidRDefault="00000000">
      <w:r>
        <w:t>In particular, in relation to the climate mitigation and adaptation targets, eligibility data were collected on the basis of the Turnover KPI published by the NFRD counterparties present in the prudential consolidated perimeter as at 31 December 2024.</w:t>
      </w:r>
    </w:p>
    <w:p w14:paraId="580889C2" w14:textId="494F802D" w:rsidR="003A23E3" w:rsidRDefault="00000000">
      <w:r>
        <w:t>These exposures are considered as other climate change related mitigation actions not covered by Regulation 2020</w:t>
      </w:r>
      <w:r w:rsidR="00053019">
        <w:t xml:space="preserve"> </w:t>
      </w:r>
      <w:r>
        <w:t xml:space="preserve">852: </w:t>
      </w:r>
      <w:r>
        <w:t> with regard to sovereign bonds, on the basis of Article 7: of Delegated Regulation 2021</w:t>
      </w:r>
      <w:r w:rsidR="00053019">
        <w:t xml:space="preserve"> </w:t>
      </w:r>
      <w:r>
        <w:t>2178, supplementing Regulation 2020</w:t>
      </w:r>
      <w:r w:rsidR="00053019">
        <w:t xml:space="preserve"> </w:t>
      </w:r>
      <w:r>
        <w:t>852, according to which exposures to central governments, central banks and supranational issuers are excluded from the calculation of the numerator and denominator of the key performance indicators of financial undertakings to be reported under Article 8 of Regulation 2020</w:t>
      </w:r>
      <w:r w:rsidR="00053019">
        <w:t xml:space="preserve"> </w:t>
      </w:r>
      <w:r>
        <w:t>852, corresponding to Models 7 and 8 of Implementing Regulation 2022</w:t>
      </w:r>
      <w:r w:rsidR="00053019">
        <w:t xml:space="preserve"> </w:t>
      </w:r>
      <w:r>
        <w:t>2453.</w:t>
      </w:r>
    </w:p>
    <w:p w14:paraId="5A99BF1A" w14:textId="47EBD3BD" w:rsidR="003A23E3" w:rsidRDefault="00000000">
      <w:r>
        <w:t xml:space="preserve">For further details, please refer to the Remuneration policy and report, available on FinecoBank's website at EU REMA Remuneration policy This section provides qualitative information on the main elements of the FinecoBank Group's remuneration policies and how these policies are implemented: </w:t>
      </w:r>
      <w:proofErr w:type="spellStart"/>
      <w:proofErr w:type="gramStart"/>
      <w:r>
        <w:t>a</w:t>
      </w:r>
      <w:proofErr w:type="spellEnd"/>
      <w:proofErr w:type="gramEnd"/>
      <w:r>
        <w:t xml:space="preserve"> Information relating to the bodies that oversee remuneration.</w:t>
      </w:r>
    </w:p>
    <w:p w14:paraId="57452A4D" w14:textId="77777777" w:rsidR="003A23E3" w:rsidRDefault="00000000">
      <w:r>
        <w:t>The body that oversees the application of the Remuneration Policy and the design of the compensation systems is the Remuneration Committee.</w:t>
      </w:r>
    </w:p>
    <w:p w14:paraId="1374AE5B" w14:textId="12795C5F" w:rsidR="003A23E3" w:rsidRDefault="00000000">
      <w:r>
        <w:t>As required by the Corporate Governance Rules internal regulation, the Committee has the role of presenting proposals and issuing opinions to the Board of Directors in relation to the Group's remuneration strategy, including, by way of example, the criteria for determining remuneration, performance targets, equity incentive plans etc.</w:t>
      </w:r>
    </w:p>
    <w:p w14:paraId="7E519F7D" w14:textId="77777777" w:rsidR="003A23E3" w:rsidRDefault="00000000">
      <w:r>
        <w:t>The remuneration policy of the FinecoBank Group applies to the company FinecoBank S.</w:t>
      </w:r>
    </w:p>
    <w:p w14:paraId="1C6074B9" w14:textId="77777777" w:rsidR="003A23E3" w:rsidRDefault="00000000">
      <w:r>
        <w:lastRenderedPageBreak/>
        <w:t>A, the parent company of the Group, with reference to the employees, taking into account the specifics of their roles and duties, and to the Financial Advisors in line with the specific remuneration of the latter.</w:t>
      </w:r>
    </w:p>
    <w:p w14:paraId="3B6AAFDB" w14:textId="77777777" w:rsidR="003A23E3" w:rsidRDefault="00000000">
      <w:r>
        <w:t>Specific provisions contained in the Remuneration Policy apply exclusively to the Group's Identified Staff, as identified according to the criteria established by the relevant legislation.</w:t>
      </w:r>
    </w:p>
    <w:p w14:paraId="06E92573" w14:textId="77777777" w:rsidR="003A23E3" w:rsidRDefault="00000000">
      <w:r>
        <w:t>FinecoBank, in its capacity as parent company, ensures that the remuneration in the group companies, with specific reference to the subsidiary Fineco Asset Management DAC, is compliant with the principles and rules established by the Group Remuneration Policy and with the specific industry and local regulatory framework.</w:t>
      </w:r>
    </w:p>
    <w:p w14:paraId="394E6BCB" w14:textId="77777777" w:rsidR="003A23E3" w:rsidRDefault="00000000">
      <w:r>
        <w:t>The principles established by the Remuneration Policy are the pillars used to define the remuneration systems.</w:t>
      </w:r>
    </w:p>
    <w:p w14:paraId="108A1B5F" w14:textId="77777777" w:rsidR="003A23E3" w:rsidRDefault="00000000">
      <w:r>
        <w:t>Fineco's approach to remuneration, consistent with the legislation and best market practices, ensures the link to performance, external context and market practices, business strategies and long-term interests of shareholders.</w:t>
      </w:r>
    </w:p>
    <w:p w14:paraId="1D48D013" w14:textId="77777777" w:rsidR="003A23E3" w:rsidRDefault="00000000">
      <w:r>
        <w:t>Appropriate remuneration and incentive mechanisms strive to support the creation of a working environment that is inclusive of any form of diversity and capable of encouraging the expression of individual potential, attracting, retaining and motivating highly qualified resources.</w:t>
      </w:r>
    </w:p>
    <w:p w14:paraId="0D632419" w14:textId="08E6F19F" w:rsidR="003A23E3" w:rsidRDefault="00000000">
      <w:r>
        <w:t xml:space="preserve">Remuneration policy 146 Public disclosure </w:t>
      </w:r>
      <w:proofErr w:type="spellStart"/>
      <w:r>
        <w:t>FinecoBank</w:t>
      </w:r>
      <w:proofErr w:type="spellEnd"/>
      <w:r>
        <w:t xml:space="preserve"> In line with our remuneration governance model characterized by clarity, reliability and transparency in the decision-making processes, the Remuneration Policy is drawn up by the Human Resources function, with the involvement of the other company functions based on the area of expertise and evaluated by the Compliance and Risk Management function before being submitted to the Remuneration Committee.</w:t>
      </w:r>
    </w:p>
    <w:p w14:paraId="2F6C9997" w14:textId="77777777" w:rsidR="003A23E3" w:rsidRDefault="00000000">
      <w:r>
        <w:t>The link between profitability, risk and remuneration is guaranteed by directly linking the bonus pool with company results and relevant risk profiles as defined in the reference framework for determining the risk appetite.</w:t>
      </w:r>
    </w:p>
    <w:p w14:paraId="744D0CC5" w14:textId="77777777" w:rsidR="003A23E3" w:rsidRDefault="00000000">
      <w:r>
        <w:t>Once the bonus pool is defined, individual bonuses are determined within the annual performance appraisal process, based on the principles of transparency and clarity to ensure a direct link between variable remuneration and performance.</w:t>
      </w:r>
    </w:p>
    <w:p w14:paraId="4AEFD661" w14:textId="77777777" w:rsidR="003A23E3" w:rsidRDefault="00000000">
      <w:r>
        <w:t>Notably, these measures make it possible to reduce, cancel or request the return of any form of variable remuneration.</w:t>
      </w:r>
    </w:p>
    <w:p w14:paraId="170A420B" w14:textId="77777777" w:rsidR="003A23E3" w:rsidRDefault="00000000">
      <w:r>
        <w:t>In 2024, the Remuneration Committee reviewed the 2023 Remuneration Policy making appropriate changes to further align with market practices and the expectations and indications of investors and proxy advisors.</w:t>
      </w:r>
    </w:p>
    <w:p w14:paraId="7F945784" w14:textId="77777777" w:rsidR="003A23E3" w:rsidRDefault="00000000">
      <w:r>
        <w:lastRenderedPageBreak/>
        <w:t>The Plan sets financial and sustainability performance goals linked to the 2024-2026 MYP and provides for the payment of a bonus in shares over a multi-year period for the three-year performance period 2024-2026.</w:t>
      </w:r>
    </w:p>
    <w:p w14:paraId="78EE53A4" w14:textId="1186CE4F" w:rsidR="003A23E3" w:rsidRDefault="00000000">
      <w:r>
        <w:t>In addition, starting in 2024, the Tone from the top goal has been integrated with reference to the contribution to the promotion of sustainability initiatives and behaviors within the organization.</w:t>
      </w:r>
    </w:p>
    <w:p w14:paraId="6A0BC1F9" w14:textId="1B85516A" w:rsidR="003A23E3" w:rsidRDefault="00000000">
      <w:r>
        <w:t>Furthermore, in the 2024 Incentive System for Financial Advisors, specific sustainability targets have been introduced relating to the percentage of assets held in funds and sicavs pursuant to Articles 8 and 9 of Regulation 2019</w:t>
      </w:r>
      <w:r w:rsidR="00053019">
        <w:t xml:space="preserve"> </w:t>
      </w:r>
      <w:r>
        <w:t>2088 and to the recruitment of financial advisors of the least represented gender.</w:t>
      </w:r>
    </w:p>
    <w:p w14:paraId="601D4FFC" w14:textId="77777777" w:rsidR="003A23E3" w:rsidRDefault="00000000">
      <w:r>
        <w:t>It’s worth mentioning the new sustainability objectives, in alignment with the 2024-2026 ESG MYP, for which measurable targets have been set ex-ante in order to ensure an objective and transparent evaluation.</w:t>
      </w:r>
    </w:p>
    <w:p w14:paraId="5F927147" w14:textId="29C7B3BF" w:rsidR="003A23E3" w:rsidRDefault="00000000">
      <w:r>
        <w:t>Additionally, the variable remuneration of Identified Staff of the Company Control Functions cannot exceed 1</w:t>
      </w:r>
      <w:r w:rsidR="00053019">
        <w:t xml:space="preserve"> </w:t>
      </w:r>
      <w:r>
        <w:t>3 of the fixed remuneration in line with the applicable regulatory framework and the incentive systems reflect the nature of their responsibilities and consistent with market practices.</w:t>
      </w:r>
    </w:p>
    <w:p w14:paraId="10109EDE" w14:textId="0B2CC27E" w:rsidR="003A23E3" w:rsidRDefault="00000000">
      <w:r>
        <w:t>Role-Based Allowances are considered fixed remuneration, in line with regulatory provisions and market practices.</w:t>
      </w:r>
    </w:p>
    <w:p w14:paraId="68AB579A" w14:textId="77777777" w:rsidR="003A23E3" w:rsidRDefault="00000000">
      <w:r>
        <w:t>In addition, the Corporate Bodies Regulation provides that the Risk and Related Parties Committee is involved in setting and evaluating performance goals and in defining the overall remuneration of the Heads of corporate control functions.</w:t>
      </w:r>
    </w:p>
    <w:p w14:paraId="104CAE8D" w14:textId="77777777" w:rsidR="003A23E3" w:rsidRDefault="00000000">
      <w:r>
        <w:t>Goals linked to economic results are also avoided for the Head of Human Resources and the Manager in charge of financial statements, whose remuneration is predominantly fixed.</w:t>
      </w:r>
    </w:p>
    <w:p w14:paraId="68D11782" w14:textId="1ED01DC1" w:rsidR="003A23E3" w:rsidRDefault="00000000">
      <w:r>
        <w:t xml:space="preserve">Remuneration policy </w:t>
      </w:r>
      <w:proofErr w:type="spellStart"/>
      <w:r>
        <w:t>FinecoBank</w:t>
      </w:r>
      <w:proofErr w:type="spellEnd"/>
      <w:r>
        <w:t xml:space="preserve"> Public disclosure 147 For the Identified Staff belonging to the Control Functions, Human Resources and Manager in Charge, any implications on the annual bonus of the application of the Zero Factor clause, which is activated in the event of failure to achieve at least one of the access conditions, are assessed by the Board of Directors, considering their independence from the economic results of the areas under their control.</w:t>
      </w:r>
    </w:p>
    <w:p w14:paraId="387FD096" w14:textId="131C8273" w:rsidR="003A23E3" w:rsidRDefault="00000000">
      <w:r>
        <w:t>Welcome bonus and retention bonus are considered variable remuneration and are limited only to exceptional situations or related to hiring, the need to attract the best competencies from the market, the launch of special projects, high risk of leaving for critical</w:t>
      </w:r>
      <w:r w:rsidR="00053019">
        <w:t xml:space="preserve"> </w:t>
      </w:r>
      <w:r>
        <w:t xml:space="preserve">strategic </w:t>
      </w:r>
      <w:proofErr w:type="gramStart"/>
      <w:r>
        <w:t>employees</w:t>
      </w:r>
      <w:proofErr w:type="gramEnd"/>
      <w:r w:rsidR="00053019">
        <w:t xml:space="preserve"> </w:t>
      </w:r>
      <w:r>
        <w:t>roles, in line with the market practices.</w:t>
      </w:r>
    </w:p>
    <w:p w14:paraId="1A71D5B9" w14:textId="77777777" w:rsidR="003A23E3" w:rsidRDefault="00000000">
      <w:r>
        <w:t>These forms of remuneration, awarded in compliance with regulations in force and the governance processes of the Group, are not a common practice for Identified Staff.</w:t>
      </w:r>
    </w:p>
    <w:p w14:paraId="1C20DBC6" w14:textId="77777777" w:rsidR="003A23E3" w:rsidRDefault="00000000">
      <w:r>
        <w:lastRenderedPageBreak/>
        <w:t>The other forms of remuneration are granted in compliance with the regulations in force and are defined in line with the governance processes of FinecoBank S.</w:t>
      </w:r>
    </w:p>
    <w:p w14:paraId="339BEBEF" w14:textId="77777777" w:rsidR="003A23E3" w:rsidRDefault="00000000">
      <w:r>
        <w:t>These components are taken into account as retention measures in the Resolution Plan adopted by the Group in line with the Single Resolution Board’s Operational Guidance for Operational Continuity in Resolution.</w:t>
      </w:r>
    </w:p>
    <w:p w14:paraId="7FB701B8" w14:textId="3D26E1A9" w:rsidR="003A23E3" w:rsidRDefault="00000000">
      <w:r>
        <w:t xml:space="preserve">With reference to severance pay, the Shareholders' Meeting of 10 April 2019 approved the Termination Payments </w:t>
      </w:r>
      <w:proofErr w:type="spellStart"/>
      <w:r>
        <w:t>Policyso</w:t>
      </w:r>
      <w:proofErr w:type="spellEnd"/>
      <w:r>
        <w:t>-called Severance, incorporating the regulatory provisions of the Circular no.</w:t>
      </w:r>
    </w:p>
    <w:p w14:paraId="2AC9DE24" w14:textId="0F7F6910" w:rsidR="003A23E3" w:rsidRDefault="00000000">
      <w:r>
        <w:t>As described in point, the link between risk and remuneration is guaranteed by directly linking the bonus pool with the relevant risk profiles as defined in the reference framework for determining the risk appetite.</w:t>
      </w:r>
    </w:p>
    <w:p w14:paraId="1D5BCCF1" w14:textId="25EE3393" w:rsidR="003A23E3" w:rsidRDefault="00000000">
      <w:r>
        <w:t xml:space="preserve">In compliance with the applicable regulatory provisions, the Ordinary Shareholders' Meeting of FinecoBank established a maximum ratio between the variable and fixed component of the remuneration equal to </w:t>
      </w:r>
      <w:proofErr w:type="gramStart"/>
      <w:r>
        <w:t>2</w:t>
      </w:r>
      <w:r w:rsidR="00BF4E02">
        <w:t xml:space="preserve"> </w:t>
      </w:r>
      <w:r>
        <w:t>:</w:t>
      </w:r>
      <w:proofErr w:type="gramEnd"/>
      <w:r>
        <w:t xml:space="preserve"> 1 for employees belonging to the business functions.</w:t>
      </w:r>
    </w:p>
    <w:p w14:paraId="65D2066D" w14:textId="3E3D610C" w:rsidR="003A23E3" w:rsidRDefault="00000000">
      <w:r>
        <w:t xml:space="preserve">Remuneration policy 148 Public disclosure </w:t>
      </w:r>
      <w:proofErr w:type="spellStart"/>
      <w:r>
        <w:t>FinecoBank</w:t>
      </w:r>
      <w:proofErr w:type="spellEnd"/>
      <w:r>
        <w:t xml:space="preserve"> The adoption of a ratio of </w:t>
      </w:r>
      <w:proofErr w:type="gramStart"/>
      <w:r>
        <w:t>2</w:t>
      </w:r>
      <w:r w:rsidR="00BF4E02">
        <w:t xml:space="preserve"> </w:t>
      </w:r>
      <w:r>
        <w:t>:</w:t>
      </w:r>
      <w:proofErr w:type="gramEnd"/>
      <w:r>
        <w:t xml:space="preserve"> 1 between variable and fixed compensation does not have any implication on the Bank’s capacity to continue to respect all prudential rules, in particular capital requirements.</w:t>
      </w:r>
    </w:p>
    <w:p w14:paraId="454D6B60" w14:textId="77777777" w:rsidR="003A23E3" w:rsidRDefault="00000000">
      <w:r>
        <w:t>With regard to employees, individual bonuses are defined within the annual performance appraisal process, based on the principles of transparency and clarity to ensure a direct link between variable remuneration and performance, taking into consideration the internal benchmarking analysis based on the role and in compliance with the maximum ratio between variable and fixed remuneration approved by the Shareholder’s Meeting.</w:t>
      </w:r>
    </w:p>
    <w:p w14:paraId="461D0B4E" w14:textId="0CA14EB8" w:rsidR="003A23E3" w:rsidRDefault="00000000">
      <w:proofErr w:type="gramStart"/>
      <w:r>
        <w:t>With regard to</w:t>
      </w:r>
      <w:proofErr w:type="gramEnd"/>
      <w:r>
        <w:t xml:space="preserve"> Financial Advisor Identified Staff, the performance assessment, is based on specific </w:t>
      </w:r>
      <w:proofErr w:type="spellStart"/>
      <w:r>
        <w:t>parametersby</w:t>
      </w:r>
      <w:proofErr w:type="spellEnd"/>
      <w:r>
        <w:t xml:space="preserve"> way of example, total net sales goal and total net sales under management goal, development activities, value generated by the requalification of assets in liquidity and asset under custody in Guided Products etc.</w:t>
      </w:r>
    </w:p>
    <w:p w14:paraId="63478979" w14:textId="38672A65" w:rsidR="003A23E3" w:rsidRDefault="00000000">
      <w:r>
        <w:t>In addition, to further strengthen compliance, a Scoring system is in place, consisting of an adjustment mechanism resulting from the assessment of compliance indicators and quality of operations, relating to specific areas such as MIFID, transparency, mandatory training, AML etc.</w:t>
      </w:r>
    </w:p>
    <w:p w14:paraId="4A71D480" w14:textId="77777777" w:rsidR="003A23E3" w:rsidRDefault="00000000">
      <w:r>
        <w:t>Variable remuneration is linked to company performance, as described in the previous point related to the bonus pool, the amount of which is directly proportional to the results achieved by the Bank.</w:t>
      </w:r>
    </w:p>
    <w:p w14:paraId="0BF221C6" w14:textId="77777777" w:rsidR="003A23E3" w:rsidRDefault="00000000">
      <w:r>
        <w:t>Individual bonus amounts are defined within the annual performance appraisal process, based on the principles of transparency and clarity to ensure a direct link between variable remuneration and performance.</w:t>
      </w:r>
    </w:p>
    <w:p w14:paraId="6306524A" w14:textId="259701E2" w:rsidR="003A23E3" w:rsidRDefault="00000000">
      <w:r>
        <w:lastRenderedPageBreak/>
        <w:t xml:space="preserve">Remuneration policy </w:t>
      </w:r>
      <w:proofErr w:type="spellStart"/>
      <w:r>
        <w:t>FinecoBank</w:t>
      </w:r>
      <w:proofErr w:type="spellEnd"/>
      <w:r>
        <w:t xml:space="preserve"> Public disclosure 149 Finally, for the other identified staff with no significant amount of total variable remuneration, the share component of the variable remuneration is equal to 50%.</w:t>
      </w:r>
    </w:p>
    <w:p w14:paraId="048FC4EB" w14:textId="23559594" w:rsidR="003A23E3" w:rsidRDefault="00000000">
      <w:r>
        <w:t xml:space="preserve">Three ESG parameters have been identified </w:t>
      </w:r>
      <w:proofErr w:type="gramStart"/>
      <w:r>
        <w:t>with regard to</w:t>
      </w:r>
      <w:proofErr w:type="gramEnd"/>
      <w:r>
        <w:t xml:space="preserve"> Scope 1 and 2market-based emissions reduction, the achievement of Diversity, Equity &amp; Inclusion goals, and the enlargement of the ESG product offering with article 8 and 9 SFDR funds.</w:t>
      </w:r>
    </w:p>
    <w:p w14:paraId="1A820B4B" w14:textId="2D30128B" w:rsidR="003A23E3" w:rsidRDefault="00000000">
      <w:r>
        <w:t xml:space="preserve">The derogation therefore applies to the principles of the Remuneration Policy Remuneration policy </w:t>
      </w:r>
      <w:proofErr w:type="spellStart"/>
      <w:r>
        <w:t>FinecoBank</w:t>
      </w:r>
      <w:proofErr w:type="spellEnd"/>
      <w:r>
        <w:t xml:space="preserve"> Public disclosure 151 concerning the deferral of at least 40% of variable remuneration.</w:t>
      </w:r>
    </w:p>
    <w:p w14:paraId="09F7FE43" w14:textId="73E8DBF8" w:rsidR="003A23E3" w:rsidRDefault="00000000">
      <w:r>
        <w:t xml:space="preserve">EU </w:t>
      </w:r>
      <w:proofErr w:type="spellStart"/>
      <w:r>
        <w:t>TaxonomyEU</w:t>
      </w:r>
      <w:proofErr w:type="spellEnd"/>
      <w:r>
        <w:t xml:space="preserve"> Regulation 2020</w:t>
      </w:r>
      <w:r w:rsidR="00053019">
        <w:t xml:space="preserve"> </w:t>
      </w:r>
      <w:r>
        <w:t>852 Classification system, developed by the European Commission, of economic activities that can be considered sustainable from an environmental point of view.</w:t>
      </w:r>
    </w:p>
    <w:p w14:paraId="09E204CB" w14:textId="40DE7AF0" w:rsidR="003A23E3" w:rsidRDefault="00000000">
      <w:r>
        <w:t>Counterparty emissions can be classified into</w:t>
      </w:r>
      <w:r w:rsidR="00BA5E33">
        <w:t xml:space="preserve"> </w:t>
      </w:r>
      <w:r>
        <w:t>direct GHG that occur from sources owned or controlled by the reporting company, such as emissions from combustion in owned or controlled boilers, furnaces, vehicles, etc.</w:t>
      </w:r>
    </w:p>
    <w:sectPr w:rsidR="003A23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82525186">
    <w:abstractNumId w:val="8"/>
  </w:num>
  <w:num w:numId="2" w16cid:durableId="1702389563">
    <w:abstractNumId w:val="6"/>
  </w:num>
  <w:num w:numId="3" w16cid:durableId="2007636171">
    <w:abstractNumId w:val="5"/>
  </w:num>
  <w:num w:numId="4" w16cid:durableId="128058712">
    <w:abstractNumId w:val="4"/>
  </w:num>
  <w:num w:numId="5" w16cid:durableId="1087531356">
    <w:abstractNumId w:val="7"/>
  </w:num>
  <w:num w:numId="6" w16cid:durableId="1270699638">
    <w:abstractNumId w:val="3"/>
  </w:num>
  <w:num w:numId="7" w16cid:durableId="632904875">
    <w:abstractNumId w:val="2"/>
  </w:num>
  <w:num w:numId="8" w16cid:durableId="1665470106">
    <w:abstractNumId w:val="1"/>
  </w:num>
  <w:num w:numId="9" w16cid:durableId="2035645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19"/>
    <w:rsid w:val="0006063C"/>
    <w:rsid w:val="0015074B"/>
    <w:rsid w:val="0029639D"/>
    <w:rsid w:val="00326F90"/>
    <w:rsid w:val="003A23E3"/>
    <w:rsid w:val="004F5755"/>
    <w:rsid w:val="005070DB"/>
    <w:rsid w:val="009F60E9"/>
    <w:rsid w:val="00A135A9"/>
    <w:rsid w:val="00AA1D8D"/>
    <w:rsid w:val="00B47730"/>
    <w:rsid w:val="00BA5E33"/>
    <w:rsid w:val="00BF4E02"/>
    <w:rsid w:val="00CB0664"/>
    <w:rsid w:val="00FC693F"/>
    <w:rsid w:val="00FD40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D7332"/>
  <w14:defaultImageDpi w14:val="300"/>
  <w15:docId w15:val="{1A27D550-DCFB-CE4D-9724-BC4A4A24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8855</Words>
  <Characters>50478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2025-08-03T19:35:00Z</dcterms:modified>
  <cp:category/>
</cp:coreProperties>
</file>