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93D3" w14:textId="77777777" w:rsidR="00C450DE" w:rsidRDefault="00000000">
      <w:r>
        <w:t>Their aim is to improve the banking sector’s ability to absorb shocks arising from financial and economic stress, whatever the source, improve risk management and governance, and increase banks’ transparency and disclosures.</w:t>
      </w:r>
    </w:p>
    <w:p w14:paraId="5668F1FF" w14:textId="6C16D181" w:rsidR="00C450DE" w:rsidRDefault="00000000">
      <w:r>
        <w:t>In doing so, the Committee maintained the approach founded on three Pillars, underlying the previous capital accord, known as Basel 2, supplementing and strengthening it to increase the quantity and quality of intermediaries’ available capital as well as introducing counter-cyclical regulatory instruments, provisions on liquidity risk management and financial leverage containment.</w:t>
      </w:r>
    </w:p>
    <w:p w14:paraId="1318B681" w14:textId="77777777" w:rsidR="00C450DE" w:rsidRDefault="00000000">
      <w:r>
        <w:t>The most significant amendments introduced by the new regulatory framework will come into effect from 1 January 2025.</w:t>
      </w:r>
    </w:p>
    <w:p w14:paraId="361E37CC" w14:textId="77777777" w:rsidR="00C450DE" w:rsidRDefault="00000000">
      <w:r>
        <w:t>EU legislation is complemented by the provisions issued by the Bank of Italy, in particular with Circular 285 of 17 December 2013, as subsequently amended, which contains the prudential supervision regulations applicable to Italian banks and banking groups, reviewed and updated to adjust the internal regulations to the new elements of the international regulatory framework, with special reference to the new regulatory and institutional structure of banking supervision of the European Union and taking into account the needs detected while supervising banks and other intermediaries.</w:t>
      </w:r>
    </w:p>
    <w:p w14:paraId="404F6B25" w14:textId="18F6F1B5" w:rsidR="00C450DE" w:rsidRDefault="00000000">
      <w:r>
        <w:t>In line with the changes in the European regulatory framework that incorporated the Basel IV principles into Regulation No 2024</w:t>
      </w:r>
      <w:r w:rsidR="00931DA9">
        <w:t xml:space="preserve"> </w:t>
      </w:r>
      <w:r>
        <w:t>1623 CRR3, on 31 December 2024, the Implementing Regulation 2024</w:t>
      </w:r>
      <w:r w:rsidR="00931DA9">
        <w:t xml:space="preserve"> </w:t>
      </w:r>
      <w:r>
        <w:t>3172 was published in the Official Journal of the European Union, which lays down implementing technical standards with regard to public disclosures by institutions of the information referred to in Titles II and III of Part Eight of CRR3.</w:t>
      </w:r>
    </w:p>
    <w:p w14:paraId="41CE42B5" w14:textId="37391524" w:rsidR="00C450DE" w:rsidRDefault="00000000">
      <w:r>
        <w:t>The forms and instructions to fulfil those obligations of disclosure to the public are set out in Implementing Regulation 2022</w:t>
      </w:r>
      <w:r w:rsidR="00931DA9">
        <w:t xml:space="preserve"> </w:t>
      </w:r>
      <w:r>
        <w:t>631 of the Commission of 13 April 2022, which</w:t>
      </w:r>
      <w:r w:rsidR="00556F3E">
        <w:t xml:space="preserve"> </w:t>
      </w:r>
      <w:r>
        <w:t>in endorsing the implementing technical standards drawn up by the EBA, and in compliance with which the Intesa Sanpaolo Group, starting from the reporting date of 30 June 2021, publishes that detailed disclosure</w:t>
      </w:r>
      <w:r w:rsidR="00556F3E">
        <w:t xml:space="preserve"> </w:t>
      </w:r>
      <w:r>
        <w:t>amends Implementing Regulation 2021</w:t>
      </w:r>
      <w:r w:rsidR="00931DA9">
        <w:t xml:space="preserve"> </w:t>
      </w:r>
      <w:r>
        <w:t>637.</w:t>
      </w:r>
    </w:p>
    <w:p w14:paraId="20E1F28C" w14:textId="32D2442B" w:rsidR="00C450DE" w:rsidRDefault="00000000">
      <w:r>
        <w:t>With reference to the increasing weight that control of environmental, social and governance risks ESG risks has now taken on within the European regulatory framework, in December 2022 Commission Implementing Regulation 2022</w:t>
      </w:r>
      <w:r w:rsidR="00931DA9">
        <w:t xml:space="preserve"> </w:t>
      </w:r>
      <w:r>
        <w:t>2453 was published in the Official Journal, amending the implementing technical standards laid down in Implementing Regulation 2021</w:t>
      </w:r>
      <w:r w:rsidR="00931DA9">
        <w:t xml:space="preserve"> </w:t>
      </w:r>
      <w:r>
        <w:t>637 with regard to the introduction of new, standard models for disclosure of ESG risks and instructions, developed in compliance with Article 449a of the CRR.</w:t>
      </w:r>
    </w:p>
    <w:p w14:paraId="1722A1B4" w14:textId="74861DBB" w:rsidR="00C450DE" w:rsidRDefault="00000000">
      <w:r>
        <w:t>Lastly, as required by the G-SIBs assessment exercise conducted by the EBA, the Group’s website publishes information, upon the required deadlines, on the value of the indicators of global systemic importance Governance</w:t>
      </w:r>
      <w:r w:rsidR="00931DA9">
        <w:t xml:space="preserve"> </w:t>
      </w:r>
      <w:r>
        <w:t>Risk management Section of the website, Assessment methodology indicators to identify the global systemically important banks.</w:t>
      </w:r>
    </w:p>
    <w:p w14:paraId="26A23CC0" w14:textId="539206F8" w:rsidR="00C450DE" w:rsidRDefault="00000000">
      <w:r>
        <w:lastRenderedPageBreak/>
        <w:t>The governance of the Pillar 3 disclosure requires the Chief Risk Officer to ensure that the risk information provided therein</w:t>
      </w:r>
      <w:r w:rsidR="00556F3E">
        <w:t xml:space="preserve"> </w:t>
      </w:r>
      <w:r>
        <w:t>including the disclosure on ESG risks Article 449a CRR</w:t>
      </w:r>
      <w:r w:rsidR="00556F3E">
        <w:t xml:space="preserve"> </w:t>
      </w:r>
      <w:r>
        <w:t>complies with the prudential regulation and is consistent with Group risk management guidelines and policies and with the measurement and control of the Group’s exposure to the different risk categories.</w:t>
      </w:r>
    </w:p>
    <w:p w14:paraId="39015ABB" w14:textId="2FD8AE66" w:rsidR="00C450DE" w:rsidRDefault="00000000">
      <w:r>
        <w:t xml:space="preserve">The preparation of </w:t>
      </w:r>
      <w:r w:rsidR="00931DA9">
        <w:t>financial</w:t>
      </w:r>
      <w:r>
        <w:t xml:space="preserve"> disclosures to the Market is one of the processes subject to assessment under the Group Administrative and Financial Governance Guidelines, which were also approved by the Board of Directors.</w:t>
      </w:r>
    </w:p>
    <w:p w14:paraId="04028EA1" w14:textId="4D7DFF88" w:rsidR="00C450DE" w:rsidRDefault="00000000">
      <w:r>
        <w:t>Intesa Sanpaolo's internal control system is built around a set of rules, functions, structures, resources, processes and procedures aimed at ensuring, in compliance with sound and prudent management, the achievement of the following objectives,</w:t>
      </w:r>
      <w:r w:rsidR="00556F3E">
        <w:t xml:space="preserve"> </w:t>
      </w:r>
      <w:r>
        <w:t>verification of the implementation of Company strategies and policies.</w:t>
      </w:r>
    </w:p>
    <w:p w14:paraId="71267008" w14:textId="04E11421" w:rsidR="00C450DE" w:rsidRDefault="00000000">
      <w:r>
        <w:t xml:space="preserve">CRR II Article Pillar 3 Section Reference as </w:t>
      </w:r>
      <w:proofErr w:type="gramStart"/>
      <w:r>
        <w:t>at</w:t>
      </w:r>
      <w:proofErr w:type="gramEnd"/>
      <w:r>
        <w:t xml:space="preserve"> 31 December 2024 Frequency of publishing Pillar 3 disclosures 435 Disclosure of the risk management objectives and policies General requirements Annual 436 Disclosure of the scope of application Scope of application Annual 437</w:t>
      </w:r>
      <w:r w:rsidR="00556F3E">
        <w:t xml:space="preserve"> </w:t>
      </w:r>
      <w:r>
        <w:t>Disclosure of own funds Own funds Attachment 1 Own funds, Main features of regulatory own funds instruments issued EU CCA Reg.</w:t>
      </w:r>
    </w:p>
    <w:p w14:paraId="6AA4CFED" w14:textId="77777777" w:rsidR="00C450DE" w:rsidRDefault="00000000">
      <w:r>
        <w:t>The risk management strategy aims to achieve a complete and consistent overview of risks, considering both the macroeconomic and geopolitical scenario and the Group’s risk profile, stimulating the growth of the risk culture and enhancing a transparent and accurate representation of the riskiness of the Group’s portfolios.</w:t>
      </w:r>
    </w:p>
    <w:p w14:paraId="4FC99C07" w14:textId="77777777" w:rsidR="00C450DE" w:rsidRDefault="00000000">
      <w:r>
        <w:t>With specific regard to the latter, Intesa Sanpaolo recognises the strategic importance of ESG factors and the urgency of limiting climate change, and is committed to including the impact of these aspects in strategic decision-making processes and to fully integrate them into its risk management framework with the goal of maintaining a low risk profile.</w:t>
      </w:r>
    </w:p>
    <w:p w14:paraId="047385B9" w14:textId="77777777" w:rsidR="00C450DE" w:rsidRDefault="00000000">
      <w:r>
        <w:t>This includes controlling how ESG risks and those connected with climate change impact existing risks credit, operational, reputational, market and liquidity risk and implementing high ethical and environmental standards in internal processes, products and services offered to customers and in the selection of counterparties and suppliers.</w:t>
      </w:r>
    </w:p>
    <w:p w14:paraId="5EDDC121" w14:textId="77777777" w:rsidR="00C450DE" w:rsidRDefault="00000000">
      <w:r>
        <w:t>The control of the overall risk profile derives from the definition of general principles and is structured in the form of a framework of limits aimed at ensuring that the Group, even under severe stress conditions, complies with minimum requirements of capital adequacy, liquidity, resolvability capacity and profitability, and also contains the non-financial risks, model risk, as well as reputational risks, ESG and climate change risks within appropriate limits.</w:t>
      </w:r>
    </w:p>
    <w:p w14:paraId="7C46EE4B" w14:textId="51B6FDAF" w:rsidR="00C450DE" w:rsidRDefault="00000000">
      <w:r>
        <w:t>In compliance with the applicable regulations</w:t>
      </w:r>
      <w:proofErr w:type="gramStart"/>
      <w:r>
        <w:t xml:space="preserve"> and in particular</w:t>
      </w:r>
      <w:proofErr w:type="gramEnd"/>
      <w:r>
        <w:t xml:space="preserve"> the EBA Guidelines EBA</w:t>
      </w:r>
      <w:r w:rsidR="00931DA9">
        <w:t xml:space="preserve"> </w:t>
      </w:r>
      <w:r>
        <w:t>GL</w:t>
      </w:r>
      <w:r w:rsidR="00931DA9">
        <w:t xml:space="preserve"> </w:t>
      </w:r>
      <w:r>
        <w:t>2021</w:t>
      </w:r>
      <w:r w:rsidR="00931DA9">
        <w:t xml:space="preserve"> </w:t>
      </w:r>
      <w:r>
        <w:t>11 concerning the Recovery plan indicators, the Group includes asset quality, market-based and macroeconomic indicators, to ensure consistency with its Recovery Plan.</w:t>
      </w:r>
    </w:p>
    <w:p w14:paraId="4830B53F" w14:textId="6781E32D" w:rsidR="00C450DE" w:rsidRDefault="00000000">
      <w:r>
        <w:lastRenderedPageBreak/>
        <w:t xml:space="preserve">In particular, </w:t>
      </w:r>
      <w:proofErr w:type="gramStart"/>
      <w:r>
        <w:t>with regard to</w:t>
      </w:r>
      <w:proofErr w:type="gramEnd"/>
      <w:r>
        <w:t xml:space="preserve"> the Group limits, whose governance is established in detail in the Guidelines on the Group Risk Appetite Framework, the responsibility for approving the remediation plan is assigned,</w:t>
      </w:r>
      <w:r w:rsidR="004651D2">
        <w:t xml:space="preserve"> </w:t>
      </w:r>
      <w:r>
        <w:t>to the Board of Directors for Hard Limits, typically set for the main metrics used to control overall risk profile</w:t>
      </w:r>
    </w:p>
    <w:p w14:paraId="70F72669" w14:textId="4A5117C6" w:rsidR="00C450DE" w:rsidRDefault="00000000">
      <w:r>
        <w:t>During the year, when significant events occur, such as exceptional changes in the market context in which the Group operates, significant changes in the configuration of the Group and</w:t>
      </w:r>
      <w:r w:rsidR="00931DA9">
        <w:t xml:space="preserve"> </w:t>
      </w:r>
      <w:r>
        <w:t>or its strategy or based on direct instructions from the Board of Directors, also through the Risks and Sustainability Committee, the Chief Risk Officer Governance Area assesses whether the RAF is still adequate and, if necessary, proposes partial or full revisions to the framework.</w:t>
      </w:r>
    </w:p>
    <w:p w14:paraId="5489839A" w14:textId="77777777" w:rsidR="00C450DE" w:rsidRDefault="00000000">
      <w:r>
        <w:t>The Group sets out these general principles in policies, limits and criteria applied to the various risk categories and business areas, in a comprehensive framework of limits and procedures for governance and control.</w:t>
      </w:r>
    </w:p>
    <w:p w14:paraId="3A8A95B8" w14:textId="77777777" w:rsidR="00C450DE" w:rsidRDefault="00000000">
      <w:r>
        <w:t>In that context, within the Risk Appetite Framework, at least once a year specific plafonds of Group exposure are proposed to the Board of Directors by involving the Parent Company structures concerned.</w:t>
      </w:r>
    </w:p>
    <w:p w14:paraId="719E8776" w14:textId="17EF0FDE" w:rsidR="00C450DE" w:rsidRDefault="00000000">
      <w:r>
        <w:t>Like the ICAAP, it is based on two complementary pillars</w:t>
      </w:r>
      <w:r w:rsidR="00556F3E">
        <w:t xml:space="preserve"> </w:t>
      </w:r>
      <w:r>
        <w:t>the economic perspective and the regulatory perspective</w:t>
      </w:r>
      <w:r w:rsidR="00556F3E">
        <w:t xml:space="preserve"> </w:t>
      </w:r>
      <w:r>
        <w:t>aimed at supporting a clear assessment of the liquidity risks and their effective governance, based on a management strategy, all aspects of which have been carefully considered, with the establishment of an appropriate system of risk-taking limits.</w:t>
      </w:r>
    </w:p>
    <w:p w14:paraId="69BFAEFA" w14:textId="77777777" w:rsidR="00C450DE" w:rsidRDefault="00000000">
      <w:r>
        <w:t>In line with the applicable regulations, the Group has a structured stress testing framework that governs the stress testing activities with reference to both the organisational and governance aspects, as well as the methodological and data infrastructure related aspects.</w:t>
      </w:r>
    </w:p>
    <w:p w14:paraId="79A8A96C" w14:textId="2A0C36B9" w:rsidR="00C450DE" w:rsidRDefault="00000000">
      <w:r>
        <w:t>In addition, several initiatives were carried out during 2024 to strengthen risk awareness and responsibility, including,</w:t>
      </w:r>
      <w:r w:rsidR="004651D2">
        <w:t xml:space="preserve"> </w:t>
      </w:r>
      <w:r>
        <w:t>workshops</w:t>
      </w:r>
      <w:r w:rsidR="00931DA9">
        <w:t xml:space="preserve"> </w:t>
      </w:r>
      <w:r>
        <w:t>webinars dedicated to the Control Functions for dissemination and training purposes, held by internal and external speakers, on innovative topics with a high potential impact on the Group’s risk profile</w:t>
      </w:r>
    </w:p>
    <w:p w14:paraId="5678970F" w14:textId="77777777" w:rsidR="00C450DE" w:rsidRDefault="00000000">
      <w:r>
        <w:t>Metaverse, generative artificial intelligence, reputation, Basel IV, cybersecurity, geopolitics, and risk digital strategy, as well as the megatrends of the Group’s operating environment.</w:t>
      </w:r>
    </w:p>
    <w:p w14:paraId="6B47F9D5" w14:textId="2B276632" w:rsidR="00C450DE" w:rsidRDefault="00000000">
      <w:r>
        <w:t>The functions of said Committee are set out in three sessions,</w:t>
      </w:r>
      <w:r w:rsidR="009C18C5">
        <w:t xml:space="preserve"> </w:t>
      </w:r>
      <w:r>
        <w:t>the Risk Analysis and Valuation Session, chaired by the Chief Risk Officer, responsible for evaluating, inter alia, in advance of approval by the Board of Directors, the guidelines on undertaking and measuring financial risks and the liquidity risk of the Group, with a view to consistency with the RAF, proposals for operational limits for financial operations referring to interest rate risk of the banking, the trading book and valuation risk defining, within the scope of the powers received, the distribution thereof amongst the Group’s major units.</w:t>
      </w:r>
    </w:p>
    <w:p w14:paraId="434842FC" w14:textId="77777777" w:rsidR="00C450DE" w:rsidRDefault="00000000">
      <w:r>
        <w:lastRenderedPageBreak/>
        <w:t>The internal control system To ensure a sound and prudent management, Intesa Sanpaolo combines business profitability with an attentive risk-acceptance activity and an operating conduct based on fairness.</w:t>
      </w:r>
    </w:p>
    <w:p w14:paraId="463E98E2" w14:textId="77777777" w:rsidR="00C450DE" w:rsidRDefault="00000000">
      <w:r>
        <w:t>Therefore, the Bank, in line with legal and supervisory regulations in force and consistently with the Corporate Governance Code for Listed Companies, has adopted an internal control system capable of identifying, measuring and continuously monitoring the risks typical of its business activities.</w:t>
      </w:r>
    </w:p>
    <w:p w14:paraId="6A7C000C" w14:textId="4660678C" w:rsidR="00C450DE" w:rsidRDefault="00000000">
      <w:r>
        <w:t>Intesa Sanpaolo's internal control system is built around a set of rules, functions, structures, resources, processes and procedures aimed at ensuring, in compliance with sound and prudent management, the achievement of the following objectives,</w:t>
      </w:r>
      <w:r w:rsidR="00556F3E">
        <w:t xml:space="preserve"> </w:t>
      </w:r>
      <w:r>
        <w:t>verification of the implementation of Company strategies and policies.</w:t>
      </w:r>
    </w:p>
    <w:p w14:paraId="321AC66B" w14:textId="4D88C842" w:rsidR="00C450DE" w:rsidRDefault="00000000">
      <w:r>
        <w:t>In compliance with the provisions of Bank of Italy Circular 285</w:t>
      </w:r>
      <w:r w:rsidR="00931DA9">
        <w:t xml:space="preserve"> </w:t>
      </w:r>
      <w:r>
        <w:t>2013 First Part, Title IV, Chapter 3 the Integrated Internal Control System</w:t>
      </w:r>
      <w:r w:rsidR="004651D2">
        <w:t xml:space="preserve"> </w:t>
      </w:r>
      <w:r>
        <w:t>Regulation</w:t>
      </w:r>
      <w:r w:rsidR="004651D2">
        <w:t xml:space="preserve"> </w:t>
      </w:r>
      <w:r>
        <w:t xml:space="preserve">was </w:t>
      </w:r>
      <w:proofErr w:type="spellStart"/>
      <w:r>
        <w:t>finalised</w:t>
      </w:r>
      <w:proofErr w:type="spellEnd"/>
      <w:r>
        <w:t>.</w:t>
      </w:r>
    </w:p>
    <w:p w14:paraId="483ACC97" w14:textId="6810C302" w:rsidR="00C450DE" w:rsidRDefault="00000000">
      <w:r>
        <w:t>The internal control system is made up of a documentation infrastructure regulatory framework that provides organised and systematic access to the guidelines, procedures, organisational structures, and risks and controls present in the Company, which incorporate all the company policies and the instructions of the Supervisory Authorities, as well as the provisions of law, including the principles laid down in Legislative Decree 231</w:t>
      </w:r>
      <w:r w:rsidR="00931DA9">
        <w:t xml:space="preserve"> </w:t>
      </w:r>
      <w:r>
        <w:t>2001.</w:t>
      </w:r>
    </w:p>
    <w:p w14:paraId="12C78EE8" w14:textId="3F9E70C1" w:rsidR="00C450DE" w:rsidRDefault="00000000">
      <w:r>
        <w:t>The regulatory framework consists of Governance Documents, adopted from time to time, that oversee the operation of the Bank Articles of Association, Code of Ethics, Group Internal Code of Conduct, Group Regulations, Group Committees Regulation, Regulation on Related Party Transactions, Integrated Internal Control System Regulation, Authorities and powers, Guidelines, Function charts of the Organisational Structures, etc.</w:t>
      </w:r>
    </w:p>
    <w:p w14:paraId="0CC209CA" w14:textId="77777777" w:rsidR="00C450DE" w:rsidRDefault="00000000">
      <w:r>
        <w:t>The functions assigned to such controls are separate from the ones in charge of production and contribute to the definition of the risk governance policies and the risk management process.</w:t>
      </w:r>
    </w:p>
    <w:p w14:paraId="0AFE4402" w14:textId="05AF7F94" w:rsidR="00C450DE" w:rsidRDefault="00000000">
      <w:r>
        <w:t>In the Intesa Sanpaolo Group, Level II includes the following Parent Company structures and the equivalent local units of the Group companies, where established,</w:t>
      </w:r>
      <w:r w:rsidR="009C18C5">
        <w:t xml:space="preserve"> </w:t>
      </w:r>
      <w:r>
        <w:t>Chief Compliance Officer Governance Area, which has the tasks and responsibilities of the compliance function, as defined in the applicable regulations, and which includes the anti-money laundering function, within the Anti Financial Crime Head Office Department, which has the tasks and responsibilities laid down in the regulations on anti-money laundering, counter-terrorism, monitoring of financial sanctions, anti-corruption and the data protection officer function, within the Compliance Governance, Privacy and Controls Head Office Department, which performs the tasks assigned by data protection legislation.</w:t>
      </w:r>
    </w:p>
    <w:p w14:paraId="5783A7FD" w14:textId="77777777" w:rsidR="00C450DE" w:rsidRDefault="00000000">
      <w:r>
        <w:lastRenderedPageBreak/>
        <w:t>The regulatory scope, including Environmental, Social and Governance factors, and the procedures for monitoring regulatory areas that present significant risks of non-compliance for the Group are defined in the aforementioned guidelines.</w:t>
      </w:r>
    </w:p>
    <w:p w14:paraId="70D075A4" w14:textId="77777777" w:rsidR="00C450DE" w:rsidRDefault="00000000">
      <w:r>
        <w:t>On an annual basis, these reports include an identification and assessment of the primary compliance risks to which the Group is exposed and a schedule of the associated management measures, and on a half-yearly basis they include a description of the activities performed, critical issues noted, and remedies identified.</w:t>
      </w:r>
    </w:p>
    <w:p w14:paraId="083E0187" w14:textId="77777777" w:rsidR="00C450DE" w:rsidRDefault="00000000">
      <w:r>
        <w:t>Specifically, as envisaged in the Guidelines for combating money laundering and the financing of terrorism and for managing embargoes and the Group Anti-Corruption Guidelines, the Anti Financial Crime Head Office Department ensures monitoring of compliance risk in the area of money laundering, terrorist financing, breach of embargoes, weapons and corruption Financial Crime, by, laying down the general principles to be adopted within the Group for the management of compliance risk.</w:t>
      </w:r>
    </w:p>
    <w:p w14:paraId="4DCD4F90" w14:textId="1F2A5B3D" w:rsidR="00C450DE" w:rsidRDefault="00000000">
      <w:r>
        <w:t>In general, the control activities development includes the credit processes assessment also to verify that suitable Level</w:t>
      </w:r>
      <w:r w:rsidR="00E0509E">
        <w:t xml:space="preserve"> </w:t>
      </w:r>
      <w:r>
        <w:t>controls are in place, including proper execution and traceability.</w:t>
      </w:r>
    </w:p>
    <w:p w14:paraId="58723801" w14:textId="77777777" w:rsidR="00C450DE" w:rsidRDefault="00000000">
      <w:r>
        <w:t>As part of the overall risk management process, the Coordination Area carries out the Level II controls connected with data quality, in line with the internal and external regulations on the matter, with specific focus on the input data used in internal models.</w:t>
      </w:r>
    </w:p>
    <w:p w14:paraId="30DB5F66" w14:textId="77777777" w:rsidR="00C450DE" w:rsidRDefault="00000000">
      <w:r>
        <w:t>In accordance with regulatory developments, the Internal Validation &amp; Controls Coordination Area is also responsible for the development, maintenance and oversight of the framework for the model risk governance, aimed at ensuring the identification, assessment, monitoring and mitigation of the risk for all Internal Systems, including the Pillar 1 and 2 risk measurement systems and the systems that are used for accounting purposes.</w:t>
      </w:r>
    </w:p>
    <w:p w14:paraId="6AE78825" w14:textId="21886315" w:rsidR="00C450DE" w:rsidRDefault="00000000">
      <w:r>
        <w:t xml:space="preserve">Moreover, the Internal Validation &amp; Controls Coordination Area is assigned the validation function, aimed at ensuring the validation at Group level of the internal risk measurement systems, used both for the determination of capital requirements and for non-regulatory purposes, </w:t>
      </w:r>
      <w:proofErr w:type="gramStart"/>
      <w:r>
        <w:t>in order to</w:t>
      </w:r>
      <w:proofErr w:type="gramEnd"/>
      <w:r>
        <w:t xml:space="preserve"> assess their compliance with regulatory provisions, operational needs and reference market demands.</w:t>
      </w:r>
    </w:p>
    <w:p w14:paraId="4F5EE734" w14:textId="77777777" w:rsidR="00C450DE" w:rsidRDefault="00000000">
      <w:r>
        <w:t>The internal systems adopted by the Group are validated on first adoption based on the plans of gradual extension made by the Group or when changes are made to them, in compliance with the development and validation process approved by the Corporate Bodies.</w:t>
      </w:r>
    </w:p>
    <w:p w14:paraId="06D8A829" w14:textId="77777777" w:rsidR="00C450DE" w:rsidRDefault="00000000">
      <w:r>
        <w:t>The validation function also ensures the periodic review of internal systems in terms of models, processes, data used and implementations in IT, assessing their adequacy, predictive ability and performance, as well as their compliance over time with regulatory provisions, company needs and changes in the reference market.</w:t>
      </w:r>
    </w:p>
    <w:p w14:paraId="40B7E072" w14:textId="77777777" w:rsidR="00C450DE" w:rsidRDefault="00000000">
      <w:r>
        <w:lastRenderedPageBreak/>
        <w:t>A Generative AI tool has also been developed to assist with the regulatory assurance activities.</w:t>
      </w:r>
    </w:p>
    <w:p w14:paraId="692A4E0D" w14:textId="77777777" w:rsidR="00C450DE" w:rsidRDefault="00000000">
      <w:r>
        <w:t>The relevant criteria that define the type of validation to implement Standard or Full and its frequency also include the tier of the model and its use, as attributed in the Model Risk Management Framework.</w:t>
      </w:r>
    </w:p>
    <w:p w14:paraId="1701445B" w14:textId="77777777" w:rsidR="00C450DE" w:rsidRDefault="00000000">
      <w:r>
        <w:t>The structure performs a level-III assessment of the completeness, adequacy, functionality and reliability of the components of the internal control system, the risk management process and the corporate processes, also with regard to their ability to identify and prevent errors and irregularities.</w:t>
      </w:r>
    </w:p>
    <w:p w14:paraId="26A825A9" w14:textId="77777777" w:rsidR="00C450DE" w:rsidRDefault="00000000">
      <w:r>
        <w:t>This includes the verification of the corporate functions for risk control and regulatory compliance, also by participating in projects, in order to create added value and improve the effectiveness of the control processes and the governance of the organisation.</w:t>
      </w:r>
    </w:p>
    <w:p w14:paraId="1BB98CA1" w14:textId="76DB1C41" w:rsidR="00C450DE" w:rsidRDefault="00000000">
      <w:r>
        <w:t xml:space="preserve">Within the RAF, the Chief Audit Officer prepares </w:t>
      </w:r>
      <w:proofErr w:type="gramStart"/>
      <w:r>
        <w:t>his</w:t>
      </w:r>
      <w:r w:rsidR="00931DA9">
        <w:t xml:space="preserve"> </w:t>
      </w:r>
      <w:r>
        <w:t>her</w:t>
      </w:r>
      <w:proofErr w:type="gramEnd"/>
      <w:r>
        <w:t xml:space="preserve"> contribution to the Integrated Risk Assessment conducted by the corporate control functions and the Manager responsible for preparing the Company’s financial reports.</w:t>
      </w:r>
    </w:p>
    <w:p w14:paraId="3854B3DC" w14:textId="7C15C5DA" w:rsidR="00C450DE" w:rsidRDefault="00000000">
      <w:r>
        <w:t>The structure has personnel with the appropriate professional skills and expertise and operates in accordance with best practices and the international standards for the professional practice of internal auditing established by the Institute of Internal Auditors</w:t>
      </w:r>
      <w:r w:rsidR="00931DA9">
        <w:t>.</w:t>
      </w:r>
    </w:p>
    <w:p w14:paraId="2484E1AE" w14:textId="77777777" w:rsidR="00C450DE" w:rsidRDefault="00000000">
      <w:r>
        <w:t>The main weaknesses identified and their evolution have been included in the Audit Tableau de Bord, with evidence of the ongoing mitigation actions, the parties responsible for implementing them and the relevant deadlines, to ensure systematic follow-up.</w:t>
      </w:r>
    </w:p>
    <w:p w14:paraId="18D29320" w14:textId="3BD6E257" w:rsidR="00C450DE" w:rsidRDefault="00000000">
      <w:proofErr w:type="gramStart"/>
      <w:r>
        <w:t>In order to</w:t>
      </w:r>
      <w:proofErr w:type="gramEnd"/>
      <w:r>
        <w:t xml:space="preserve"> comply with the aforesaid provisions, the Manager responsible for preparing the Company’s financial reports,</w:t>
      </w:r>
      <w:r w:rsidR="004651D2">
        <w:t xml:space="preserve"> </w:t>
      </w:r>
      <w:r>
        <w:t xml:space="preserve">performs a steering and coordination role in Group companies </w:t>
      </w:r>
      <w:proofErr w:type="gramStart"/>
      <w:r>
        <w:t>with regard to</w:t>
      </w:r>
      <w:proofErr w:type="gramEnd"/>
      <w:r>
        <w:t xml:space="preserve"> administrative matters and in the monitoring of the internal control system functional to financial reporting.</w:t>
      </w:r>
    </w:p>
    <w:p w14:paraId="6162EDF7" w14:textId="09DA0F50" w:rsidR="00C450DE" w:rsidRDefault="00000000">
      <w:proofErr w:type="gramStart"/>
      <w:r>
        <w:t>With regard to</w:t>
      </w:r>
      <w:proofErr w:type="gramEnd"/>
      <w:r>
        <w:t xml:space="preserve"> sustainability reporting, the Manager responsible for preparing the Company’s financial reports,</w:t>
      </w:r>
      <w:r w:rsidR="004651D2">
        <w:t xml:space="preserve"> </w:t>
      </w:r>
      <w:r>
        <w:t>issues the instructions for the correct and uniform application of the sustainable reporting standards, formalised in the Methodological rules on Consolidated Sustainability Reporting, which are regularly updated.</w:t>
      </w:r>
    </w:p>
    <w:p w14:paraId="2B50178A" w14:textId="77777777" w:rsidR="00C450DE" w:rsidRDefault="00000000">
      <w:r>
        <w:t>The integration of climate change risk into the overall risk management framework is particular important for ESG risks, in line with the regulatory guidance and international best practices.</w:t>
      </w:r>
    </w:p>
    <w:p w14:paraId="3AA3D7CF" w14:textId="0C233913" w:rsidR="00C450DE" w:rsidRDefault="00000000">
      <w:r>
        <w:t>The risk monitoring processes have undergone a progressive strengthening of the Data &amp; Reporting Governance controls, also in compliance with the applicable regulations Principles for effective risk data aggregation and risk reporting BCBS239.</w:t>
      </w:r>
    </w:p>
    <w:p w14:paraId="3A9AEF66" w14:textId="3E513F48" w:rsidR="00C450DE" w:rsidRDefault="00000000">
      <w:r>
        <w:lastRenderedPageBreak/>
        <w:t>The importance of widespread and robust application of Data Governance throughout the data lifecycle was reiterated with the issuance in May 2024 of the update of the Guide on effective Risk Data Aggregation and Risk Reporting.</w:t>
      </w:r>
    </w:p>
    <w:p w14:paraId="64DEF5AB" w14:textId="4D0C3ED8" w:rsidR="00C450DE" w:rsidRDefault="00000000">
      <w:r>
        <w:t xml:space="preserve">Attention is also given to the data aggregation and reporting processes to ensure that they </w:t>
      </w:r>
      <w:proofErr w:type="gramStart"/>
      <w:r>
        <w:t>are able to</w:t>
      </w:r>
      <w:proofErr w:type="gramEnd"/>
      <w:r>
        <w:t xml:space="preserve"> meet the regulatory requirements or ad hoc requests, also in the stress</w:t>
      </w:r>
      <w:r w:rsidR="00931DA9">
        <w:t xml:space="preserve"> </w:t>
      </w:r>
      <w:r>
        <w:t>crisis situations.</w:t>
      </w:r>
    </w:p>
    <w:p w14:paraId="58838440" w14:textId="77777777" w:rsidR="00C450DE" w:rsidRDefault="00000000">
      <w:r>
        <w:t>The assessment of capital is included in business reporting and is submitted quarterly to the Steering Committee, the Risks and Sustainability Committee and the Board of Directors, as part of the Tableau de Bord of the Group Risks.</w:t>
      </w:r>
    </w:p>
    <w:p w14:paraId="48757101" w14:textId="77777777" w:rsidR="00C450DE" w:rsidRDefault="00000000">
      <w:r>
        <w:t>The Group’s response to strategic risk is represented first and foremost by policies and procedures that call for the most important decisions to be deferred to the Board of Directors, supported by a current and forward-looking assessment of risks and capital adequacy.</w:t>
      </w:r>
    </w:p>
    <w:p w14:paraId="5C7D0077" w14:textId="77777777" w:rsidR="00C450DE" w:rsidRDefault="00000000">
      <w:r>
        <w:t>The high degree to which strategic decisions are made at the central level, with the involvement of the top corporate governance bodies and the support of various corporate functions ensures that the component linked to any impacts of incorrect company decisions and low reactivity to changes in the competitive scenario are mitigated.</w:t>
      </w:r>
    </w:p>
    <w:p w14:paraId="4287AB8C" w14:textId="77777777" w:rsidR="00C450DE" w:rsidRDefault="00000000">
      <w:r>
        <w:t>In addition, the Group seeks to minimise possible negative effects on its reputation through rigorous and comprehensive governance, proactive risk management and guidance and control of its activities.</w:t>
      </w:r>
    </w:p>
    <w:p w14:paraId="69CCFD49" w14:textId="44911196" w:rsidR="00C450DE" w:rsidRDefault="00000000">
      <w:r>
        <w:t>The overall management of reputational risk is pursued primarily through,</w:t>
      </w:r>
      <w:r w:rsidR="00556F3E">
        <w:t xml:space="preserve"> </w:t>
      </w:r>
      <w:r>
        <w:t>compliance with standards of ethics and conduct and self-governance policies.</w:t>
      </w:r>
    </w:p>
    <w:p w14:paraId="781DDB24" w14:textId="77777777" w:rsidR="00C450DE" w:rsidRDefault="00000000">
      <w:r>
        <w:t>The reputational risk governance model also includes an integrated compliance risk management system, as it considers compliance with the regulations and fairness in business to be fundamental to the conduct of banking operations, which by nature are founded on trust.</w:t>
      </w:r>
    </w:p>
    <w:p w14:paraId="2C6CFD6C" w14:textId="77777777" w:rsidR="00C450DE" w:rsidRDefault="00000000">
      <w:r>
        <w:t>In continuity with previous years, within the 2024 ICAAP Report, the Internal Validation &amp; Controls Coordination Area updated the model risk assessment expressed synthetically through a score of the methodologies supporting the measurement of Pillar 1 and Pillar 2 risks that also contribute to the calculation of the Economic Capital and provided the Enterprise Risk Management structure with the parameters for the quantification of the model risk economic capital.</w:t>
      </w:r>
    </w:p>
    <w:p w14:paraId="6C42F01F" w14:textId="77777777" w:rsidR="00C450DE" w:rsidRDefault="00000000">
      <w:r>
        <w:t>The identification of these types of risks derives primarily from the continuous analysis of the external environment and the main findings gathered by the risk management function as part of identifying risk, continuously performed within the Group to maintain ongoing alignment with the changing internal and external context and to guarantee the adequacy of the controls and limits implemented to safeguard long term viability.</w:t>
      </w:r>
    </w:p>
    <w:p w14:paraId="5F02D7EF" w14:textId="54A7F347" w:rsidR="00C450DE" w:rsidRDefault="00000000">
      <w:r>
        <w:lastRenderedPageBreak/>
        <w:t>The potential impact of risks associated with these applications is assessed in relation to,</w:t>
      </w:r>
      <w:r w:rsidR="00E0509E">
        <w:t xml:space="preserve"> </w:t>
      </w:r>
      <w:r>
        <w:t>possible implications in terms of regulatory compliance Artificial Intelligence Act.</w:t>
      </w:r>
    </w:p>
    <w:p w14:paraId="0B22E3A3" w14:textId="6E4062EC" w:rsidR="00C450DE" w:rsidRDefault="00000000">
      <w:r>
        <w:t>Although the situation is constantly evolving, leaving aside extreme scenarios of conflict escalation that could lead to outcomes that are difficult to assess, these analyses confirm the Group’s ability to ensure compliance</w:t>
      </w:r>
      <w:r w:rsidR="00556F3E">
        <w:t xml:space="preserve"> </w:t>
      </w:r>
      <w:r>
        <w:t>also through the implementation of specific actions</w:t>
      </w:r>
      <w:r w:rsidR="00556F3E">
        <w:t xml:space="preserve"> </w:t>
      </w:r>
      <w:r>
        <w:t>with the regulatory requirements and the stricter limits set internally.</w:t>
      </w:r>
    </w:p>
    <w:p w14:paraId="5483A8B3" w14:textId="77777777" w:rsidR="00C450DE" w:rsidRDefault="00000000">
      <w:r>
        <w:t>If the established thresholds are exceeded, the Risk Management structures are required to contact the offices concerned, and, where necessary, based on the severity of the situation, organise a stakeholder conference call to assess the risk, mitigating it if possible, and, where appropriate, declaring the counterparty in default.</w:t>
      </w:r>
    </w:p>
    <w:p w14:paraId="59EBB59D" w14:textId="77777777" w:rsidR="00C450DE" w:rsidRDefault="00000000">
      <w:r>
        <w:t>The Basel 4 reform project, initiated by the Regulator in 2021 and culminating in the recent approval of the CRR3 Regulation, involved a major overhaul of the prudential framework, due to come into effect on 1 January 2025, with the first regulatory reporting on the reporting date of March 2025.</w:t>
      </w:r>
    </w:p>
    <w:p w14:paraId="42A33907" w14:textId="77777777" w:rsidR="00C450DE" w:rsidRDefault="00000000">
      <w:r>
        <w:t>Intesa Sanpaolo has implemented a multi-year work programme based on a specific project roadmap, starting with an assessment to identify the main changes introduced by the regulatory provisions and develop coherent methodological, organisational, and architectural approaches to adopt going forward.</w:t>
      </w:r>
    </w:p>
    <w:p w14:paraId="0ACF9817" w14:textId="4DF57B88" w:rsidR="00C450DE" w:rsidRDefault="00000000">
      <w:r>
        <w:t>The new directive reconfigures the calculation of the capital requirements for all the major types of risk credit risk, market and counterparty risk, operational risk, as well as the regulatory reporting processes, also introducing the concept of an Output Floor common to all the risk types, which involves applying a minimum threshold to the RWA values calculated through internal models compared to those determined using the standard approach.</w:t>
      </w:r>
    </w:p>
    <w:p w14:paraId="590A55F6" w14:textId="77777777" w:rsidR="00C450DE" w:rsidRDefault="00000000">
      <w:r>
        <w:t>The developments needed for the implementation of the new CVA risk framework required by the new regulation are also being finalised.</w:t>
      </w:r>
    </w:p>
    <w:p w14:paraId="7C90B3A0" w14:textId="77777777" w:rsidR="00C450DE" w:rsidRDefault="00000000">
      <w:r>
        <w:t>The Board of Directors is responsible for exercising the Company’s guidance and strategic supervision duties and for resolving on all the most important corporate actions, with the power to undertake all transactions considered necessary, useful or appropriate in achieving the corporate purpose, of both an ordinary and extraordinary nature, and to adopt all decisions reserved to it by law, by the Articles of Association and by the regulations.</w:t>
      </w:r>
    </w:p>
    <w:p w14:paraId="24F19379" w14:textId="77777777" w:rsidR="00C450DE" w:rsidRDefault="00000000">
      <w:r>
        <w:t>Compliance with the regulations, the principles of correct management and the actual implementation of the corporate governance rules set forth in the Corporate Governance Code.</w:t>
      </w:r>
    </w:p>
    <w:p w14:paraId="62B346D9" w14:textId="77777777" w:rsidR="00C450DE" w:rsidRDefault="00000000">
      <w:r>
        <w:t xml:space="preserve">The Committee may, after notifying the Chair of the Board of Directors, convene the Shareholders' Meeting whenever it deems it necessary for the performance of its duties or </w:t>
      </w:r>
      <w:r>
        <w:lastRenderedPageBreak/>
        <w:t>if, during its activities, it detects objectionable facts of significant severity and requiring urgent measures.</w:t>
      </w:r>
    </w:p>
    <w:p w14:paraId="12B1CE06" w14:textId="5D90EA18" w:rsidR="00C450DE" w:rsidRDefault="00000000">
      <w:r>
        <w:t>The Report on Corporate Governance and Ownership Structures, prepared in accordance with Article 123-bis of the Consolidated Law on Finance, provides detailed information on the ownership structures, compliance with a corporate governance code, the corporate bodies structure and operation, as well as the corporate governance practices.</w:t>
      </w:r>
    </w:p>
    <w:p w14:paraId="4A3971D4" w14:textId="5D4168EC" w:rsidR="00C450DE" w:rsidRDefault="00000000">
      <w:r>
        <w:t>The specific information required by Article 435, CRR</w:t>
      </w:r>
      <w:r w:rsidR="00556F3E">
        <w:t xml:space="preserve"> </w:t>
      </w:r>
      <w:r>
        <w:t>Disclosure of the risk management objectives and policies, in relation to the Intesa Sanpaolo Group’s governance system, is provided below.</w:t>
      </w:r>
    </w:p>
    <w:p w14:paraId="18D0ADF5" w14:textId="77777777" w:rsidR="00C450DE" w:rsidRDefault="00000000">
      <w:r>
        <w:t>This solution creates a governance structure in line with international standards and makes full use of the slate election system, provided for by Italian law, allowing the minorities to appoint Directors as well as members of the Management Control Committee.</w:t>
      </w:r>
    </w:p>
    <w:p w14:paraId="18AE3E9D" w14:textId="77777777" w:rsidR="00C450DE" w:rsidRDefault="00000000">
      <w:r>
        <w:t>Where it is necessary to complete the composition of the Board as a result of the proportional division, all the other additional Directors are drawn from the slate that obtained the highest number of votes, until it is exhausted.</w:t>
      </w:r>
    </w:p>
    <w:p w14:paraId="6FA4BFC2" w14:textId="77777777" w:rsidR="00C450DE" w:rsidRDefault="00000000">
      <w:r>
        <w:t>If there are not enough candidates on the slates for that purpose and in any other case in which the established criteria do not make it possible to appoint all Directors in compliance with the necessary requirements, the full complement of the Board is ensured by the Shareholders’ Meeting with replacement procedures that make it possible to meet all necessary requirements.</w:t>
      </w:r>
    </w:p>
    <w:p w14:paraId="1E5D748F" w14:textId="77777777" w:rsidR="00C450DE" w:rsidRDefault="00000000">
      <w:r>
        <w:t>In the absence of slates, the Shareholders’ Meeting elects the Directors and the Management Control Committee members by relative majority of the capital represented at the Shareholders’ Meeting, subject to compliance with the requirements established by the applicable legislation and the Articles of Association.</w:t>
      </w:r>
    </w:p>
    <w:p w14:paraId="024D47D4" w14:textId="77777777" w:rsidR="00C450DE" w:rsidRDefault="00000000">
      <w:r>
        <w:t>The document, taking into account the outcomes of the self-assessment, including the qualifications of the candidates, identified and justified professional characteristics and suitability qualifications deemed adequate to the purpose, as well as the diversity criteria, including gender diversity, to ensure the Board’s appropriate overall composition.</w:t>
      </w:r>
    </w:p>
    <w:p w14:paraId="69C93421" w14:textId="77777777" w:rsidR="00C450DE" w:rsidRDefault="00000000">
      <w:r>
        <w:t>Subject to the above concerning the aspects relating to diversity, Intesa Sanpaolo guarantees full compliance with the gender quotas laid down by the regulations.</w:t>
      </w:r>
    </w:p>
    <w:p w14:paraId="66E1C4F5" w14:textId="77777777" w:rsidR="00C450DE" w:rsidRDefault="00000000">
      <w:r>
        <w:t>The less-represented gender must currently make up at least two-fifths of the members, as established by applicable regulations on equal access to the management and control bodies of listed companies and by the recommendations of the Corporate Governance Code.</w:t>
      </w:r>
    </w:p>
    <w:p w14:paraId="7E4DDC38" w14:textId="77777777" w:rsidR="00C450DE" w:rsidRDefault="00000000">
      <w:r>
        <w:t xml:space="preserve">The main differences attributable to counterparty risk that explain the differences between the carrying values in the financial statements and the regulatory values, are mainly attributable to the fact that regulations require the estimation of exposure at default not as </w:t>
      </w:r>
      <w:r>
        <w:lastRenderedPageBreak/>
        <w:t>the present value of the positions, but through measures that take into account its variability over time based on market factors.</w:t>
      </w:r>
    </w:p>
    <w:p w14:paraId="0C063BCB" w14:textId="77777777" w:rsidR="00C450DE" w:rsidRDefault="00000000">
      <w:r>
        <w:t>Specifically, with regard to the majority of the portfolio measured using the internal model approach, the following factors must be considered, a the use of an EPE internal model enables the measurement over time of the entire portfolio of derivatives and SFTs, by simulating the risk factors over a period of one year in accordance with the regulatory requirement.</w:t>
      </w:r>
    </w:p>
    <w:p w14:paraId="6630A05A" w14:textId="03ABBB6F" w:rsidR="00C450DE" w:rsidRDefault="00000000">
      <w:r>
        <w:t>This regulatory framework requires that Own Funds or regulatory capital are made up of the following tiers of capital, ‒ Tier 1 Capital, in turn composed of</w:t>
      </w:r>
      <w:r w:rsidR="009C18C5">
        <w:t xml:space="preserve"> </w:t>
      </w:r>
      <w:r>
        <w:t>Common Equity Tier 1 Capital CET1.</w:t>
      </w:r>
    </w:p>
    <w:p w14:paraId="72849314" w14:textId="7B414DFB" w:rsidR="00C450DE" w:rsidRDefault="00000000">
      <w:r>
        <w:t>In addition, the own funds disclosure required by the above-mentioned Regulation 2021</w:t>
      </w:r>
      <w:r w:rsidR="00931DA9">
        <w:t xml:space="preserve"> </w:t>
      </w:r>
      <w:r>
        <w:t>637, applicable from June 2021, is provided,</w:t>
      </w:r>
      <w:r w:rsidR="00556F3E">
        <w:t xml:space="preserve"> </w:t>
      </w:r>
      <w:r>
        <w:t>at the end of this Section, template EU CC2</w:t>
      </w:r>
      <w:r w:rsidR="00556F3E">
        <w:t xml:space="preserve"> </w:t>
      </w:r>
      <w:r>
        <w:t>Reconciliation of regulatory own funds to balance sheet in the audited financial statements.</w:t>
      </w:r>
    </w:p>
    <w:p w14:paraId="630B662B" w14:textId="77777777" w:rsidR="00C450DE" w:rsidRDefault="00000000">
      <w:r>
        <w:t>Capital Management essentially involves the control of capital adequacy through the careful monitoring of both the regulatory constraints Pillar 1 and current and prospective operational constraints Pillar 2 in order to anticipate any critical situations within a reasonable period of time and identify possible corrective measures for the generation or recovery of capital.</w:t>
      </w:r>
    </w:p>
    <w:p w14:paraId="475B5BDC" w14:textId="1B7184D2" w:rsidR="00C450DE" w:rsidRDefault="00000000">
      <w:r>
        <w:t>Accordingly, the capital adequacy assessment process is based on a twin track approach, Regulatory Capital for compliance with the Pillar 1 requirements and overall Economic Capital for the Pillar 2 ICAAP.</w:t>
      </w:r>
    </w:p>
    <w:p w14:paraId="16DFD167" w14:textId="77777777" w:rsidR="00C450DE" w:rsidRDefault="00000000">
      <w:r>
        <w:t>Verification of compliance with supervisory requirements and consequent capital adequacy is continuous and depends upon the objectives set out in the Business Plan.</w:t>
      </w:r>
    </w:p>
    <w:p w14:paraId="23712507" w14:textId="77777777" w:rsidR="00C450DE" w:rsidRDefault="00000000">
      <w:r>
        <w:t>Compliance with capital adequacy is obtained via various levers, such as the payout policy, the definition of strategic finance operations capital increases, issue of convertible loans and subordinated bonds, disposal of non-core assets, etc.</w:t>
      </w:r>
    </w:p>
    <w:p w14:paraId="46A63165" w14:textId="77777777" w:rsidR="00C450DE" w:rsidRDefault="00000000">
      <w:r>
        <w:t>In this case, on the basis of the information on the operation to be conducted, its impact on capital ratios is estimated and any necessary actions to ensure compliance with the requirement set forth by Supervisory Authorities are planned.</w:t>
      </w:r>
    </w:p>
    <w:p w14:paraId="70C1BDD7" w14:textId="77777777" w:rsidR="00C450DE" w:rsidRDefault="00000000">
      <w:r>
        <w:t>As already mentioned, the Intesa Sanpaolo Group attaches great importance to risk management and control to ensure reliable and sustainable value creation in a context of controlled risk.</w:t>
      </w:r>
    </w:p>
    <w:p w14:paraId="539CCC41" w14:textId="77777777" w:rsidR="00C450DE" w:rsidRDefault="00000000">
      <w:r>
        <w:t>If the established thresholds are exceeded, the Risk Management structures are required to contact the offices concerned, and, where necessary, based on the severity of the situation, organise a stakeholder conference call to assess the risk, mitigating it if possible, and, where appropriate, declaring the counterparty in default.</w:t>
      </w:r>
    </w:p>
    <w:p w14:paraId="4154A9B6" w14:textId="77777777" w:rsidR="00C450DE" w:rsidRDefault="00000000">
      <w:r>
        <w:lastRenderedPageBreak/>
        <w:t>Requirement for own funds and eligible liabilities Banks in the European Union are required to meet a Minimum Requirement for own funds and Eligible Liabilities at all times, which ensures sufficient loss absorption and recapitalisation capacity in the event of resolution, thereby avoiding the need for public financial support, with the ultimate goal of ensuring the long-term sustainability, stability, and efficiency of the financial system.</w:t>
      </w:r>
    </w:p>
    <w:p w14:paraId="67FF8B9F" w14:textId="3D4D3ED7" w:rsidR="00C450DE" w:rsidRDefault="00000000">
      <w:r>
        <w:t>The regulatory framework for the MREL requirement consists of</w:t>
      </w:r>
      <w:r w:rsidR="00E0509E">
        <w:t xml:space="preserve"> </w:t>
      </w:r>
      <w:r>
        <w:t>Directive 2014</w:t>
      </w:r>
      <w:r w:rsidR="00931DA9">
        <w:t xml:space="preserve"> </w:t>
      </w:r>
      <w:r>
        <w:t>59</w:t>
      </w:r>
      <w:r w:rsidR="00931DA9">
        <w:t xml:space="preserve"> </w:t>
      </w:r>
      <w:r>
        <w:t>EU on the recovery and resolution of EU banks</w:t>
      </w:r>
      <w:r w:rsidR="00931DA9">
        <w:t>.</w:t>
      </w:r>
    </w:p>
    <w:p w14:paraId="519C512A" w14:textId="77777777" w:rsidR="00C450DE" w:rsidRDefault="00000000">
      <w:r>
        <w:t>For the Intesa Sanpaolo group, the Preferred Resolution Strategy is defined by the Single Resolution Board and consists of the Single Point of Entry approach.</w:t>
      </w:r>
    </w:p>
    <w:p w14:paraId="74E2A281" w14:textId="77777777" w:rsidR="00C450DE" w:rsidRDefault="00000000">
      <w:r>
        <w:t>The new regulatory framework has completely revised the methods for calculating the synthetic indicators for measuring the solvency of insurance companies.</w:t>
      </w:r>
    </w:p>
    <w:p w14:paraId="35811E6F" w14:textId="77777777" w:rsidR="00C450DE" w:rsidRDefault="00000000">
      <w:r>
        <w:t>Such a system must be integrated into the overall risk management system and provide for incisive controls consistent with developments in the context of reference.</w:t>
      </w:r>
    </w:p>
    <w:p w14:paraId="35794DA2" w14:textId="77777777" w:rsidR="00C450DE" w:rsidRDefault="00000000">
      <w:r>
        <w:t>This goal is implemented by the Group Liquidity Risk Management Guidelines approved by the Corporate Bodies of Intesa Sanpaolo, in implementation of the applicable regulatory provisions.</w:t>
      </w:r>
    </w:p>
    <w:p w14:paraId="09A41A5E" w14:textId="0F095077" w:rsidR="00C450DE" w:rsidRDefault="00000000">
      <w:r>
        <w:t xml:space="preserve">The regulatory framework is completed by the Implementing Technical Standards developed by the EBA and ECB Guidelines designed to increase regulatory harmonisation of the Union within the framework of the Single Supervisory </w:t>
      </w:r>
      <w:proofErr w:type="spellStart"/>
      <w:proofErr w:type="gramStart"/>
      <w:r>
        <w:t>Mechanism</w:t>
      </w:r>
      <w:r w:rsidR="00931DA9">
        <w:t>,</w:t>
      </w:r>
      <w:r>
        <w:t>which</w:t>
      </w:r>
      <w:proofErr w:type="spellEnd"/>
      <w:proofErr w:type="gramEnd"/>
      <w:r>
        <w:t xml:space="preserve"> </w:t>
      </w:r>
      <w:proofErr w:type="gramStart"/>
      <w:r>
        <w:t>in the area of</w:t>
      </w:r>
      <w:proofErr w:type="gramEnd"/>
      <w:r>
        <w:t xml:space="preserve"> liquidity also establishes an Internal Liquidity Adequacy Assessment </w:t>
      </w:r>
      <w:r w:rsidR="009E0F20">
        <w:t>Process, to</w:t>
      </w:r>
      <w:r>
        <w:t xml:space="preserve"> be conducted with annual frequency for the purposes of the Supervisory Review and Evaluation Process</w:t>
      </w:r>
      <w:r w:rsidR="00931DA9">
        <w:t>.</w:t>
      </w:r>
    </w:p>
    <w:p w14:paraId="77944BCE" w14:textId="280F5AB2" w:rsidR="00C450DE" w:rsidRDefault="00000000">
      <w:r>
        <w:t>The Group Liquidity Risk Management Guidelines of the Intesa Sanpaolo Group</w:t>
      </w:r>
      <w:r w:rsidR="00556F3E">
        <w:t xml:space="preserve"> </w:t>
      </w:r>
      <w:r>
        <w:t>in addition to referring to the Bank of Italy’s indications regarding liquidity risk contained in the Supervisory regulations for banks</w:t>
      </w:r>
      <w:r w:rsidR="00556F3E">
        <w:t xml:space="preserve"> </w:t>
      </w:r>
      <w:r>
        <w:t>have gradually incorporated all the above regulatory provisions, in implementation of the applicable regulatory provisions.</w:t>
      </w:r>
    </w:p>
    <w:p w14:paraId="0F2D1EDE" w14:textId="77777777" w:rsidR="00C450DE" w:rsidRDefault="00000000">
      <w:r>
        <w:t>In particular, it ensures the measurement of the Group’s current and future exposure to liquidity risks under normal and stressed conditions, verifying compliance with the limits and, if those limits are exceeded, implementing the reporting to the competent Corporate Bodies and monitoring the agreed correction actions in the event of any excesses.</w:t>
      </w:r>
    </w:p>
    <w:p w14:paraId="5105D5E2" w14:textId="14013665" w:rsidR="00C450DE" w:rsidRDefault="00000000">
      <w:r>
        <w:t xml:space="preserve">The liquidity risk measurement metrics and mitigation tools are formalised by the </w:t>
      </w:r>
      <w:proofErr w:type="gramStart"/>
      <w:r>
        <w:t>aforementioned Group</w:t>
      </w:r>
      <w:proofErr w:type="gramEnd"/>
      <w:r>
        <w:t xml:space="preserve"> Liquidity Risk Management Guidelines which establish the methodology used for both the short-term and structural liquidity indicators.</w:t>
      </w:r>
    </w:p>
    <w:p w14:paraId="67EB1185" w14:textId="77777777" w:rsidR="00C450DE" w:rsidRDefault="00000000">
      <w:r>
        <w:t>Generally, Intesa Sanpaolo’s funding strategy is based on maintaining diversity in terms of customers, products, maturities and currencies.</w:t>
      </w:r>
    </w:p>
    <w:p w14:paraId="400C1407" w14:textId="0FB831A9" w:rsidR="00C450DE" w:rsidRDefault="00000000">
      <w:r>
        <w:lastRenderedPageBreak/>
        <w:t>Adequate and timely information regarding the development of market conditions and the position of the Bank and</w:t>
      </w:r>
      <w:r w:rsidR="00931DA9">
        <w:t xml:space="preserve"> </w:t>
      </w:r>
      <w:r>
        <w:t xml:space="preserve">or Group was regularly provided to the corporate bodies and internal committees </w:t>
      </w:r>
      <w:proofErr w:type="gramStart"/>
      <w:r>
        <w:t>in order to</w:t>
      </w:r>
      <w:proofErr w:type="gramEnd"/>
      <w:r>
        <w:t xml:space="preserve"> ensure full awareness and manageability of the risk factors.</w:t>
      </w:r>
    </w:p>
    <w:p w14:paraId="2A691BEC" w14:textId="77777777" w:rsidR="00C450DE" w:rsidRDefault="00000000">
      <w:r>
        <w:t>Concentration of funding Intesa Sanpaolo’s funding strategy is based on maintaining diversity in terms of customers, products, maturities and currencies.</w:t>
      </w:r>
    </w:p>
    <w:p w14:paraId="1D60FC3C" w14:textId="77777777" w:rsidR="00C450DE" w:rsidRDefault="00000000">
      <w:r>
        <w:t>The credit granting phase is also regulated by metrics that are complementary to the RWAs, which define coordination mechanisms and support tools for the ongoing exercise of guidance, coordination and control responsibilities, in implementation of the corporate governance provisions.</w:t>
      </w:r>
    </w:p>
    <w:p w14:paraId="2CB958EC" w14:textId="7EB98EAC" w:rsidR="00C450DE" w:rsidRDefault="00000000">
      <w:r>
        <w:t>In addition, the following company processes were implemented to complete the risk analysis process for the exposure measures implemented over time following the developments discussed above,</w:t>
      </w:r>
      <w:r w:rsidR="00556F3E">
        <w:t xml:space="preserve"> </w:t>
      </w:r>
      <w:r>
        <w:t>definition and periodic calculation of stress tests on market scenarios and joint market</w:t>
      </w:r>
      <w:r w:rsidR="00931DA9">
        <w:t xml:space="preserve"> </w:t>
      </w:r>
      <w:r>
        <w:t>credit scenarios on counterparty risk measures.</w:t>
      </w:r>
    </w:p>
    <w:p w14:paraId="5D952861" w14:textId="6110FA28" w:rsidR="00C450DE" w:rsidRDefault="00000000">
      <w:r>
        <w:t>In general, the development of control activities, as well as of guidance and coordination, includes the credit processes assessment also to verify that suitable Level</w:t>
      </w:r>
      <w:r w:rsidR="00E0509E">
        <w:t xml:space="preserve"> </w:t>
      </w:r>
      <w:r>
        <w:t>controls are in place, including proper execution and traceability.</w:t>
      </w:r>
    </w:p>
    <w:p w14:paraId="3E3AF87D" w14:textId="77777777" w:rsidR="00C450DE" w:rsidRDefault="00000000">
      <w:r>
        <w:t>It also assesses the compliance of the internal risk measurement and management systems over time as regards the determination of the capital requirements with the regulatory provisions, company needs and changes in the relative market.</w:t>
      </w:r>
    </w:p>
    <w:p w14:paraId="775BB8C9" w14:textId="29D6F5B9" w:rsidR="00C450DE" w:rsidRDefault="00000000">
      <w:r>
        <w:t>From the September 2018 monthly report</w:t>
      </w:r>
      <w:r w:rsidR="00556F3E">
        <w:t xml:space="preserve"> </w:t>
      </w:r>
      <w:r>
        <w:t>following the preparation of the input and generation architecture for the Anacredit reporting, aimed at supporting the collection of granular credit and credit risk data as defined by Regulation 2016</w:t>
      </w:r>
      <w:r w:rsidR="00931DA9">
        <w:t xml:space="preserve"> </w:t>
      </w:r>
      <w:r>
        <w:t>867 of 18 May 2016</w:t>
      </w:r>
      <w:r w:rsidR="00556F3E">
        <w:t xml:space="preserve"> </w:t>
      </w:r>
      <w:r>
        <w:t>a new reporting system has been in place in compliance with the regulatory provisions established by the ECB and implemented by the related Central National Banks.</w:t>
      </w:r>
    </w:p>
    <w:p w14:paraId="14CCEE02" w14:textId="491A27EC" w:rsidR="00C450DE" w:rsidRDefault="00000000">
      <w:r>
        <w:t xml:space="preserve">For the Group companies included in the roll out plan, the internal </w:t>
      </w:r>
      <w:r w:rsidR="004C589D">
        <w:t>radiogold</w:t>
      </w:r>
      <w:r>
        <w:t xml:space="preserve"> and EAD models are subject to a level two control by the Validation function on the adequacy of the existing methodological framework, on an annual basis in accordance with the rules established by the Supervisory Authority, and a level three control by the Internal Audit Function.</w:t>
      </w:r>
    </w:p>
    <w:p w14:paraId="14D3874A" w14:textId="72EEC247" w:rsidR="00C450DE" w:rsidRDefault="00000000">
      <w:r>
        <w:t xml:space="preserve">The methodology for the estimation of the Expected Credit </w:t>
      </w:r>
      <w:r w:rsidR="004C589D">
        <w:t>Loss, adopted</w:t>
      </w:r>
      <w:r>
        <w:t xml:space="preserve"> for the determination of the impairment on the credit exposures in accordance with IFRS 9, is implemented at individual transaction or securities tranche level, based on the IRB modelling of the parameters of Probability of </w:t>
      </w:r>
      <w:r w:rsidR="004C589D">
        <w:t>Default, Loss</w:t>
      </w:r>
      <w:r>
        <w:t xml:space="preserve"> Given Default and Exposure at </w:t>
      </w:r>
      <w:r w:rsidR="004C589D">
        <w:t>Default, to</w:t>
      </w:r>
      <w:r>
        <w:t xml:space="preserve"> which appropriate adjustments are made to ensure compliance with the requirements of the standard.</w:t>
      </w:r>
    </w:p>
    <w:p w14:paraId="11F9DD14" w14:textId="77777777" w:rsidR="00C450DE" w:rsidRDefault="00000000">
      <w:r>
        <w:t>With regard to the NRRP, formal compliance with the plan deadline continues, but there are ongoing implementation delays that are hindering its contribution to domestic demand.</w:t>
      </w:r>
    </w:p>
    <w:p w14:paraId="39A30EC6" w14:textId="36810ED0" w:rsidR="00C450DE" w:rsidRDefault="00000000">
      <w:r>
        <w:lastRenderedPageBreak/>
        <w:t>As a result of the analysis, a number of refinements were made to the framework, based on the experience acquired over the year of use and in accordance with the Supervisory Authority’s expectations, in addition to the ordinary updates,</w:t>
      </w:r>
      <w:r w:rsidR="00556F3E">
        <w:t xml:space="preserve"> </w:t>
      </w:r>
      <w:r>
        <w:t>a new type of emerging risk Climate Risk was integrated into the risk-sensitive component, adding to the risk factors already identified during the initial setup Energy, Supply Chain and Financial Tightening.</w:t>
      </w:r>
    </w:p>
    <w:p w14:paraId="3F7A98D9" w14:textId="77777777" w:rsidR="00C450DE" w:rsidRDefault="00000000">
      <w:r>
        <w:t>Collateral and guarantees are subject to accurate, regular control using a specific system, the CRM engine, in which a series of tests have been implemented to confirm the effective compliance with the requirements set by prudential supervision regulations.</w:t>
      </w:r>
    </w:p>
    <w:p w14:paraId="5D468B48" w14:textId="5306A768" w:rsidR="00C450DE" w:rsidRDefault="00000000">
      <w:r>
        <w:t>Based on the regulatory framework, according to the rules of the Bank of Italy, in line with IAS</w:t>
      </w:r>
      <w:r w:rsidR="00931DA9">
        <w:t xml:space="preserve"> </w:t>
      </w:r>
      <w:r>
        <w:t>IFRS and European Supervisory Regulations, supplemented by internal implementing rules, non-performing financial assets are classified into one of the three below mentioned categories, based on their level of severity,</w:t>
      </w:r>
      <w:r w:rsidR="00556F3E">
        <w:t xml:space="preserve"> </w:t>
      </w:r>
      <w:r>
        <w:t>non-performing past due exposures, this category includes on-balance sheet exposures, other than those classified as bad loans or unlikely to pay that, as at the reporting date, are past due or overdrawn by over 90 days on a continuous basis.</w:t>
      </w:r>
    </w:p>
    <w:p w14:paraId="765A29D0" w14:textId="29121785" w:rsidR="00C450DE" w:rsidRDefault="00000000">
      <w:r>
        <w:t>The assessment of the loans is also reviewed whenever a new event occurs that could affect the prospects for recovery</w:t>
      </w:r>
      <w:r w:rsidR="004651D2">
        <w:t>.</w:t>
      </w:r>
    </w:p>
    <w:p w14:paraId="7C02F689" w14:textId="77777777" w:rsidR="00C450DE" w:rsidRDefault="00000000">
      <w:r>
        <w:t>Change in the value of collateral, developments in ongoing litigation, etc.</w:t>
      </w:r>
    </w:p>
    <w:p w14:paraId="18B8EE37" w14:textId="6D063B00" w:rsidR="00C450DE" w:rsidRDefault="00000000">
      <w:r>
        <w:t>Once the allocation of the exposures to the various credit risk stages has been established, the expected credit losses are determined at individual transaction or securities tranche level, using the IRB</w:t>
      </w:r>
      <w:r w:rsidR="00931DA9">
        <w:t xml:space="preserve"> </w:t>
      </w:r>
      <w:r>
        <w:t xml:space="preserve">Business models, based on the parameters of Probability of </w:t>
      </w:r>
      <w:r w:rsidR="004C589D">
        <w:t>Default, Loss</w:t>
      </w:r>
      <w:r>
        <w:t xml:space="preserve"> Given Default and Exposure at </w:t>
      </w:r>
      <w:r w:rsidR="004C589D">
        <w:t>Default, to</w:t>
      </w:r>
      <w:r>
        <w:t xml:space="preserve"> which appropriate corrections are made to ensure compliance with the specific requirements of IFRS 9.</w:t>
      </w:r>
    </w:p>
    <w:p w14:paraId="099784FB" w14:textId="1D7DA2D0" w:rsidR="00C450DE" w:rsidRDefault="00000000">
      <w:r>
        <w:t xml:space="preserve">Process of transfer of the issuer or issue credit ratings to comparable assets not included in the regulatory trading book </w:t>
      </w:r>
      <w:r w:rsidR="004C589D">
        <w:t>i</w:t>
      </w:r>
      <w:r>
        <w:t>n compliance with Regulation 575</w:t>
      </w:r>
      <w:r w:rsidR="00931DA9">
        <w:t xml:space="preserve"> </w:t>
      </w:r>
      <w:r w:rsidR="004C589D">
        <w:t>2013, the</w:t>
      </w:r>
      <w:r>
        <w:t xml:space="preserve"> following criteria have been defined regarding the use of issue and issuer ratings for the risk assessment of exposures and the mitigation of guarantees.</w:t>
      </w:r>
    </w:p>
    <w:p w14:paraId="14D55239" w14:textId="77777777" w:rsidR="00C450DE" w:rsidRDefault="00000000">
      <w:r>
        <w:t>Under the foundation approach, banks use their own PD estimates and regulatory values for the other risk parameters, whereas under the advanced approach the latter are also estimated internally.</w:t>
      </w:r>
    </w:p>
    <w:p w14:paraId="56C021A8" w14:textId="182C7110" w:rsidR="00C450DE" w:rsidRDefault="00000000">
      <w:r>
        <w:t>The activities planned in the previous years continued, essentially aimed at achieving the objectives of the IRB regulatory roadmap, focused on updating and re-estimating the models to periodically update the time series data, adopt the most recent regulatory provisions</w:t>
      </w:r>
    </w:p>
    <w:p w14:paraId="23D818C7" w14:textId="34E4CCCC" w:rsidR="00C450DE" w:rsidRDefault="00000000">
      <w:r>
        <w:t>EBA Guidelines and Guide for the Targeted Review of Internal Models</w:t>
      </w:r>
      <w:r w:rsidR="00556F3E">
        <w:t xml:space="preserve"> </w:t>
      </w:r>
      <w:r>
        <w:t>TRIM and implement the corrective measures imposed within the permissions given.</w:t>
      </w:r>
    </w:p>
    <w:p w14:paraId="343B4F9A" w14:textId="77777777" w:rsidR="00C450DE" w:rsidRDefault="00000000">
      <w:r>
        <w:lastRenderedPageBreak/>
        <w:t>Credit monitoring and management The credit granting phase is also regulated by metrics that are complementary to the RWAs, which define coordination mechanisms and support tools for the ongoing exercise of guidance, coordination and control responsibilities, in implementation of the corporate governance guidelines.</w:t>
      </w:r>
    </w:p>
    <w:p w14:paraId="6269A175" w14:textId="77777777" w:rsidR="00C450DE" w:rsidRDefault="00000000">
      <w:r>
        <w:t>This information is completed, also on a quarterly basis, by the Risk Tableau de Bord produced by the Enterprise Risk Management structure, which provides an overall view of the Group’s risk position at the end of the respective quarter with reference to the combination of all the risk factors, according to the layout established by Basel 3 Pillar 1 and Pillar 2.</w:t>
      </w:r>
    </w:p>
    <w:p w14:paraId="59E8E8B4" w14:textId="42661164" w:rsidR="00C450DE" w:rsidRDefault="00000000">
      <w:r>
        <w:t>The main items analysed in the Risk Tableau de Bord are absorbed capital regulatory vs</w:t>
      </w:r>
      <w:r w:rsidR="00A77559">
        <w:t xml:space="preserve"> e</w:t>
      </w:r>
      <w:r>
        <w:t>conomic and specific measurement criteria for each individual risk</w:t>
      </w:r>
    </w:p>
    <w:p w14:paraId="5734395A" w14:textId="77777777" w:rsidR="00C450DE" w:rsidRDefault="00000000">
      <w:r>
        <w:t>Sensitivity and expected loss and the monitoring of the limits set within the Risk Appetite Framework.</w:t>
      </w:r>
    </w:p>
    <w:p w14:paraId="0989041F" w14:textId="361D0290" w:rsidR="00C450DE" w:rsidRDefault="00000000">
      <w:r>
        <w:t>The structured and documented set of risk quantification methods, organisational management and control processes and database organisation methods enabling the collection and processing of relevant information for risk measurement is defined as the Internal System.</w:t>
      </w:r>
    </w:p>
    <w:p w14:paraId="686FC53E" w14:textId="77777777" w:rsidR="00C450DE" w:rsidRDefault="00000000">
      <w:r>
        <w:t>Specifically, once the decision has been made by the Board of Directors to adopt the Internal Systems and develop processes and methodologies subject to validation and internal review, the development and adoption of the models is then initiated.</w:t>
      </w:r>
    </w:p>
    <w:p w14:paraId="22EECD44" w14:textId="10E894A9" w:rsidR="00C450DE" w:rsidRDefault="00000000">
      <w:proofErr w:type="gramStart"/>
      <w:r>
        <w:t>In particular, this</w:t>
      </w:r>
      <w:proofErr w:type="gramEnd"/>
      <w:r>
        <w:t xml:space="preserve"> phase involves the following activities,</w:t>
      </w:r>
      <w:r w:rsidR="00556F3E">
        <w:t xml:space="preserve"> </w:t>
      </w:r>
      <w:r>
        <w:t>development of the methodological framework of the model by the competent model development function.</w:t>
      </w:r>
    </w:p>
    <w:p w14:paraId="3E457934" w14:textId="783E48D2" w:rsidR="00C450DE" w:rsidRDefault="00000000">
      <w:r>
        <w:t>The development of this framework must ensure compliance with the data governance and data quality principles set out in the Data Governance Guidelines.</w:t>
      </w:r>
    </w:p>
    <w:p w14:paraId="0A478F05" w14:textId="77777777" w:rsidR="00C450DE" w:rsidRDefault="00000000">
      <w:r>
        <w:t>The Transformation Centre coordinates with the competent model development function and the other functions concerned to develop appropriate process solutions and support the process owners in drawing up the necessary internal regulations.</w:t>
      </w:r>
    </w:p>
    <w:p w14:paraId="76465F19" w14:textId="77777777" w:rsidR="00C450DE" w:rsidRDefault="00000000">
      <w:r>
        <w:t>The positive outcome of the checks in terms of completeness and compliance of the set of documents requested by the Supervisory Authority results in the confirmation of the official application date and the consequent start of the inspection process, at the end of which the ECB sends the final decision, which has immediate effect, is legally binding and may require the implementation of corrective measures.</w:t>
      </w:r>
    </w:p>
    <w:p w14:paraId="04BB2956" w14:textId="2ADACF9D" w:rsidR="00C450DE" w:rsidRDefault="00000000">
      <w:r>
        <w:t>As a result of amendments to the regulatory framework, changes in business operations or in the Group’s operating environment, management opportunities, recommendations from the validation and internal auditing functions or findings</w:t>
      </w:r>
      <w:r w:rsidR="00931DA9">
        <w:t xml:space="preserve"> </w:t>
      </w:r>
      <w:r>
        <w:t>observations made by the Supervisory Authority following inspections, it may be necessary to make changes to the Internal System.</w:t>
      </w:r>
    </w:p>
    <w:p w14:paraId="1B2D8742" w14:textId="77777777" w:rsidR="00C450DE" w:rsidRDefault="00000000">
      <w:r>
        <w:lastRenderedPageBreak/>
        <w:t>In order to implement an integrated, consistent risk management policy, decisions regarding Internal Risk Measurement Systems at Group level are made by the Parent Company’s Corporate Bodies.</w:t>
      </w:r>
    </w:p>
    <w:p w14:paraId="3CAABF9A" w14:textId="77777777" w:rsidR="00C450DE" w:rsidRDefault="00000000">
      <w:r>
        <w:t>The function responsible for the internal validation process for the Intesa Sanpaolo Group is the Internal Validation &amp; Controls Coordination Area, within the Parent Company Chief Risk Officer Governance Area, which operates independently from the functions that manage the development activities and from the internal auditing function.</w:t>
      </w:r>
    </w:p>
    <w:p w14:paraId="7D853B80" w14:textId="77777777" w:rsidR="00C450DE" w:rsidRDefault="00000000">
      <w:r>
        <w:t>Specifically, this sub-department is responsible for continuously and interactively validating risk measurement and management systems in order to assess their compliance with regulatory provisions, operational company demands and the reference market.</w:t>
      </w:r>
    </w:p>
    <w:p w14:paraId="7B48A56B" w14:textId="7F58E923" w:rsidR="00C450DE" w:rsidRDefault="00000000">
      <w:r>
        <w:t>Therefore, with regard to the macro processes of development, adoption, monitoring and modification of the internal credit risk measurement systems, the following activities are assigned exclusively to the Internal Validation &amp; Controls Coordination Area,</w:t>
      </w:r>
      <w:r w:rsidR="00556F3E">
        <w:t xml:space="preserve"> </w:t>
      </w:r>
      <w:r>
        <w:t>preparation of the annual validation report to be presented to the Board of Directors to accompany the resolution for the certification of ongoing compliance of the internal system with the regulatory requirements, detailing any issues</w:t>
      </w:r>
      <w:r w:rsidR="00931DA9">
        <w:t xml:space="preserve"> </w:t>
      </w:r>
      <w:r>
        <w:t>areas for improvement.</w:t>
      </w:r>
    </w:p>
    <w:p w14:paraId="2CFEE6BE" w14:textId="77777777" w:rsidR="00C450DE" w:rsidRDefault="00000000">
      <w:r>
        <w:t>Specifically, this department is responsible for assessing the effectiveness of the control system overseeing the process of measurement, management and control of the Group’s exposure to credit risk also through the regular audit of the internal validation process for the related models developed in accordance with the Basel 3 and Prudential Supervisory regulations.</w:t>
      </w:r>
    </w:p>
    <w:p w14:paraId="49E6DE04" w14:textId="087C86DF" w:rsidR="00C450DE" w:rsidRDefault="00000000">
      <w:r>
        <w:t xml:space="preserve">The second refers to </w:t>
      </w:r>
      <w:proofErr w:type="spellStart"/>
      <w:r>
        <w:t>Specialised</w:t>
      </w:r>
      <w:proofErr w:type="spellEnd"/>
      <w:r>
        <w:t xml:space="preserve"> Lending and </w:t>
      </w:r>
      <w:proofErr w:type="gramStart"/>
      <w:r>
        <w:t>in particular to</w:t>
      </w:r>
      <w:proofErr w:type="gramEnd"/>
      <w:r>
        <w:t xml:space="preserve"> project finance, asset finance and, more generally, real estate development initiatives.</w:t>
      </w:r>
    </w:p>
    <w:p w14:paraId="38E014DF" w14:textId="77777777" w:rsidR="00C450DE" w:rsidRDefault="00000000">
      <w:r>
        <w:t>The model is also designed to meet the needs of new automated and digitalised processes, by calculating the rating in real-time, in compliance with all the personal data protection regulations, where applicable, in order to improve the customer journey, while maintaining high levels of credit rating performance, also thanks to the use of innovative data and machine learning algorithms, which enable more targeted and effective classification.</w:t>
      </w:r>
    </w:p>
    <w:p w14:paraId="078D8B8D" w14:textId="77777777" w:rsidR="00C450DE" w:rsidRDefault="00000000">
      <w:r>
        <w:t>The model is also designed to meet the needs of new automated and digitalised processes, by calculating the rating in real-time, in compliance with all the personal data protection regulations, where applicable, in order to improve the customer journey, while maintaining high levels of credit rating performance, also thanks to the use of innovative data and machine learning algorithms, which enable more targeted and effective classification.</w:t>
      </w:r>
    </w:p>
    <w:p w14:paraId="5C2F6036" w14:textId="77777777" w:rsidR="00C450DE" w:rsidRDefault="00000000">
      <w:r>
        <w:t>In any case, corrective factors are applied in compliance with the regulatory requirements and in order to introduce a margin of conservatism on the estimates.</w:t>
      </w:r>
    </w:p>
    <w:p w14:paraId="208AD61B" w14:textId="77777777" w:rsidR="00C450DE" w:rsidRDefault="00000000">
      <w:r>
        <w:t>Exposure values by regulatory portfolio Foundation IRB Approach millions of euro Regulatory portfolio Exposure value 31.</w:t>
      </w:r>
    </w:p>
    <w:p w14:paraId="09447F29" w14:textId="77777777" w:rsidR="00C450DE" w:rsidRDefault="00000000">
      <w:r>
        <w:lastRenderedPageBreak/>
        <w:t>In compliance with the conditions laid down by the Supervisory regulations, these agreements permit the reduction of the absorption of regulatory capital.</w:t>
      </w:r>
    </w:p>
    <w:p w14:paraId="23CF07F6" w14:textId="77777777" w:rsidR="00C450DE" w:rsidRDefault="00000000">
      <w:r>
        <w:t>The framework provides for the uniform treatment of counterparty risk regardless of the book in which the exposures have been classified the banking and regulatory trading books are both subject to capital requirements for counterparty risk.</w:t>
      </w:r>
    </w:p>
    <w:p w14:paraId="58712775" w14:textId="77777777" w:rsidR="00C450DE" w:rsidRDefault="00000000">
      <w:r>
        <w:t>Following the authorisation by the Supervisory Authority, the Parent Company has adopted the Internal Models approach for regulatory reporting purposes for the counterparty requirement for OTC Over the Counter contracts, ETD Exchange Traded Derivative contracts and SFTs.</w:t>
      </w:r>
    </w:p>
    <w:p w14:paraId="08038B19" w14:textId="2C4EBFC0" w:rsidR="00C450DE" w:rsidRDefault="00000000">
      <w:r>
        <w:t>To that end, in accordance with the use test requirement of Basel 3, the Group has adopted an operating model aimed at obtaining the estimate, also for regulatory purposes, of the statistical measures that enable the analysis of the evolution of the risk of the derivatives over time.</w:t>
      </w:r>
    </w:p>
    <w:p w14:paraId="0AFBFE86" w14:textId="77777777" w:rsidR="00C450DE" w:rsidRDefault="00000000">
      <w:r>
        <w:t>Particular attention was dedicated to the update of the management regulatory framework with regard to the eligibility of collateral for trading in Security Financing Transactions.</w:t>
      </w:r>
    </w:p>
    <w:p w14:paraId="00601640" w14:textId="1F345066" w:rsidR="00C450DE" w:rsidRDefault="00000000">
      <w:r>
        <w:t>For the Parent Company, the following company processes were implemented to complete the risk analysis process for the exposure measures implemented over time following the developments discussed above,</w:t>
      </w:r>
      <w:r w:rsidR="00556F3E">
        <w:t xml:space="preserve"> </w:t>
      </w:r>
      <w:r>
        <w:t>definition and periodic calculation of stress tests on market scenarios and joint market</w:t>
      </w:r>
      <w:r w:rsidR="00931DA9">
        <w:t xml:space="preserve"> </w:t>
      </w:r>
      <w:r>
        <w:t>credit scenarios on counterparty risk measures.</w:t>
      </w:r>
    </w:p>
    <w:p w14:paraId="0142583D" w14:textId="06D6B77F" w:rsidR="00C450DE" w:rsidRDefault="00000000">
      <w:proofErr w:type="gramStart"/>
      <w:r>
        <w:t>In order to</w:t>
      </w:r>
      <w:proofErr w:type="gramEnd"/>
      <w:r>
        <w:t xml:space="preserve"> consistently represent and monitor the overall risk profile in terms of counterparty risk generated by transactions in derivatives and SFTs, the Group Financial Risk Committee has approved a structure of specific limits, monitored by the Market and Financial Risk Management structure, for the Parent Company, based on the metrics described above and comprising,</w:t>
      </w:r>
      <w:r w:rsidR="00556F3E">
        <w:t xml:space="preserve"> </w:t>
      </w:r>
      <w:r>
        <w:t>an overall limit for counterparty risk.</w:t>
      </w:r>
    </w:p>
    <w:p w14:paraId="693FDE79" w14:textId="77777777" w:rsidR="00C450DE" w:rsidRDefault="00000000">
      <w:r>
        <w:t>The prior Credit Risk Adjustment calculation approach is still valid for a limited number of products for which the bCVA- bDVA model is still under development.</w:t>
      </w:r>
    </w:p>
    <w:p w14:paraId="5246A6A7" w14:textId="159453F0" w:rsidR="00C450DE" w:rsidRDefault="00000000">
      <w:r>
        <w:t>The organisational functions involved, as described in the Bank’s internal regulations, are,</w:t>
      </w:r>
      <w:r w:rsidR="00556F3E">
        <w:t xml:space="preserve"> </w:t>
      </w:r>
      <w:r>
        <w:t>the Chief Risk Officer Governance Area, which is responsible for the counterparty risk measurement system by defining calculation methods, producing and analysing measures of exposure.</w:t>
      </w:r>
    </w:p>
    <w:p w14:paraId="7B7439E5" w14:textId="6AC82FB9" w:rsidR="00C450DE" w:rsidRDefault="00000000">
      <w:r>
        <w:t>In addition, the following company processes were implemented to complete the risk analysis process for the exposure measures implemented over time following the developments discussed above,</w:t>
      </w:r>
      <w:r w:rsidR="00556F3E">
        <w:t xml:space="preserve"> </w:t>
      </w:r>
      <w:r>
        <w:t>definition and periodic calculation of stress tests on market scenarios and joint market</w:t>
      </w:r>
      <w:r w:rsidR="00931DA9">
        <w:t xml:space="preserve"> </w:t>
      </w:r>
      <w:r>
        <w:t>credit scenarios on counterparty risk measures.</w:t>
      </w:r>
    </w:p>
    <w:p w14:paraId="34DDEF3E" w14:textId="63452060" w:rsidR="00C450DE" w:rsidRDefault="00000000">
      <w:r>
        <w:t xml:space="preserve">This is achieved by </w:t>
      </w:r>
      <w:proofErr w:type="gramStart"/>
      <w:r>
        <w:t>entering into</w:t>
      </w:r>
      <w:proofErr w:type="gramEnd"/>
      <w:r>
        <w:t xml:space="preserve"> International Swap Derivatives Association and International Securities Market Association</w:t>
      </w:r>
      <w:r w:rsidR="00931DA9">
        <w:t xml:space="preserve"> </w:t>
      </w:r>
      <w:r>
        <w:t>Public Securities Association ISMA</w:t>
      </w:r>
      <w:r w:rsidR="00931DA9">
        <w:t xml:space="preserve"> </w:t>
      </w:r>
      <w:r>
        <w:t xml:space="preserve">PSA </w:t>
      </w:r>
      <w:r>
        <w:lastRenderedPageBreak/>
        <w:t>agreements, which also reduce the absorption of regulatory capital in accordance with supervisory provisions.</w:t>
      </w:r>
    </w:p>
    <w:p w14:paraId="412FEA53" w14:textId="719ABF7E" w:rsidR="00C450DE" w:rsidRDefault="00000000">
      <w:r>
        <w:t xml:space="preserve">Derivatives whose counterparty risk is measured using approaches other than internal models represent a residual portion of the portfolio as </w:t>
      </w:r>
      <w:proofErr w:type="gramStart"/>
      <w:r>
        <w:t>at</w:t>
      </w:r>
      <w:proofErr w:type="gramEnd"/>
      <w:r>
        <w:t xml:space="preserve"> 31 December 2024 accounting for approximately 9% of overall EAD and refer to,</w:t>
      </w:r>
      <w:r w:rsidR="00556F3E">
        <w:t xml:space="preserve"> </w:t>
      </w:r>
      <w:r>
        <w:t>residual contracts of the Parent Company not measured using the EPE model in compliance with the materiality thresholds established by the EBA.</w:t>
      </w:r>
    </w:p>
    <w:p w14:paraId="663D52F5" w14:textId="248A72BE" w:rsidR="00C450DE" w:rsidRDefault="00000000">
      <w:proofErr w:type="spellStart"/>
      <w:r>
        <w:t>Standardised</w:t>
      </w:r>
      <w:proofErr w:type="spellEnd"/>
      <w:r>
        <w:t xml:space="preserve"> approach</w:t>
      </w:r>
      <w:r w:rsidR="00556F3E">
        <w:t xml:space="preserve"> </w:t>
      </w:r>
      <w:r>
        <w:t>CCR exposures by regulatory exposure class and risk weights EU CCR3 Reg.</w:t>
      </w:r>
    </w:p>
    <w:p w14:paraId="59A474EB" w14:textId="77777777" w:rsidR="00C450DE" w:rsidRDefault="00000000">
      <w:r>
        <w:t>Taking into account the subscription of 100% of the senior notes and 5% of the junior and mezzanine notes in compliance with the retention rule, the variability connected to the cash flows of the underlying portfolio retained by the Group enabled it to establish that the Group has substantially transferred all the risks and rewards of the financial assets transferred, meeting the conditions under point a of IFRS 9.</w:t>
      </w:r>
    </w:p>
    <w:p w14:paraId="15263523" w14:textId="77777777" w:rsidR="00C450DE" w:rsidRDefault="00000000">
      <w:r>
        <w:t>The transaction was carried out in accordance with the Group’s income statement and balance sheet targets and forecasts which have already been disclosed to the market for the 2018-2021 Business Plan and specifically in the 2021 de-risking plan approved by the Board of Directors on 18 December 2020.</w:t>
      </w:r>
    </w:p>
    <w:p w14:paraId="75D14A6A" w14:textId="77777777" w:rsidR="00C450DE" w:rsidRDefault="00000000">
      <w:r>
        <w:t>Taking into account the subscription of 100% of the senior notes and 5% of the junior and mezzanine notes in compliance with the retention rule, the variability connected to the cash flows of the underlying portfolio retained by the Group enabled it to establish that the Group has substantially transferred all the risks and rewards of the financial assets transferred, meeting the conditions under point a of IFRS 9.</w:t>
      </w:r>
    </w:p>
    <w:p w14:paraId="7920C861" w14:textId="77777777" w:rsidR="00C450DE" w:rsidRDefault="00000000">
      <w:r>
        <w:t>Taking into account the subscription by Intesa Sanpaolo of 100% of the senior notes and 5% of the mezzanine and junior notes in compliance with the retention rule, the variability connected to the cash flows of the underlying portfolio retained by the Group enabled it to establish that the Group has substantially transferred all the risks and rewards of the financial assets transferred, meeting the conditions under point a of IFRS 9.</w:t>
      </w:r>
    </w:p>
    <w:p w14:paraId="79B42573" w14:textId="5E41CBF2" w:rsidR="00C450DE" w:rsidRDefault="00000000">
      <w:r>
        <w:t>With the entry into force of Regulation 558</w:t>
      </w:r>
      <w:r w:rsidR="00931DA9">
        <w:t xml:space="preserve"> </w:t>
      </w:r>
      <w:r>
        <w:t xml:space="preserve">2021, the regulatory framework on securitisations was adjusted </w:t>
      </w:r>
      <w:proofErr w:type="gramStart"/>
      <w:r>
        <w:t>in order to</w:t>
      </w:r>
      <w:proofErr w:type="gramEnd"/>
      <w:r>
        <w:t xml:space="preserve"> support the economic recovery from the COVID-19 pandemic.</w:t>
      </w:r>
    </w:p>
    <w:p w14:paraId="0F0DA27E" w14:textId="77777777" w:rsidR="00C450DE" w:rsidRDefault="00000000">
      <w:r>
        <w:t>Therefore, it activates initiatives to align the overall risk of the loan portfolio to aspects and scopes in line with the Group’s objectives and in compliance with the Risk Appetite Framework.</w:t>
      </w:r>
    </w:p>
    <w:p w14:paraId="191F7D0A" w14:textId="77777777" w:rsidR="00C450DE" w:rsidRDefault="00000000">
      <w:r>
        <w:t>It has the purpose of monitoring credit risk in performing portfolios and the objective to optimise regulatory and economic capital absorption, as well as support business activities on newly disbursed loans.</w:t>
      </w:r>
    </w:p>
    <w:p w14:paraId="680CA420" w14:textId="38BBB4A0" w:rsidR="00C450DE" w:rsidRDefault="00000000">
      <w:r>
        <w:lastRenderedPageBreak/>
        <w:t>The following main provisions were added to the above regulatory framework,</w:t>
      </w:r>
      <w:r w:rsidR="00556F3E">
        <w:t xml:space="preserve"> </w:t>
      </w:r>
      <w:r>
        <w:t>Regulation 2021</w:t>
      </w:r>
      <w:r w:rsidR="00931DA9">
        <w:t xml:space="preserve"> </w:t>
      </w:r>
      <w:r>
        <w:t>558 of 31 March 2021 amending Regulation 575</w:t>
      </w:r>
      <w:r w:rsidR="00931DA9">
        <w:t xml:space="preserve"> </w:t>
      </w:r>
      <w:r>
        <w:t>2013 as regards adjustments to the securitisation framework to support the economic recovery in response to the COVID-19 crisis, specifically regulating the prudential treatment to be reserved for securitisations of non-performing exposures.</w:t>
      </w:r>
    </w:p>
    <w:p w14:paraId="48014201" w14:textId="090BFC95" w:rsidR="00C450DE" w:rsidRDefault="00000000">
      <w:r>
        <w:t>Within the active credit risk management programme, the following own synthetic securitisations with SRT were structured,</w:t>
      </w:r>
      <w:r w:rsidR="00556F3E">
        <w:t xml:space="preserve"> </w:t>
      </w:r>
      <w:r>
        <w:t>GARC New Origination-2, transaction referencing a portfolio of performing loans to customers in the Corporate, Corporate SME and Retail SME regulatory segments.</w:t>
      </w:r>
    </w:p>
    <w:p w14:paraId="734E0D28" w14:textId="77777777" w:rsidR="00C450DE" w:rsidRDefault="00000000">
      <w:r>
        <w:t>Structure and organisation of the associated risk management function The Chief Risk Officer is responsible, at Group level, for setting out the system of operating limits, the capital allocation system, and the system of binding policies and procedures.</w:t>
      </w:r>
    </w:p>
    <w:p w14:paraId="145BADD9" w14:textId="22CC626E" w:rsidR="00C450DE" w:rsidRDefault="00000000">
      <w:r>
        <w:t>As part of its functions, the Market &amp; Financial Risk Management structure is responsible for,</w:t>
      </w:r>
      <w:r w:rsidR="00556F3E">
        <w:t xml:space="preserve"> </w:t>
      </w:r>
      <w:r>
        <w:t>calculation, development and definition of the operational risk indicators, Value at Risk, sensitivity and greeks, level measures, stress tests and scenario analyses.</w:t>
      </w:r>
    </w:p>
    <w:p w14:paraId="1C290A1E" w14:textId="77777777" w:rsidR="00C450DE" w:rsidRDefault="00000000">
      <w:r>
        <w:t>A metric of verification of consistency of the inclusion in the trading book has also been established, consisting of the indicator of average vintage, which is subject to a monitoring and escalation process, provided for in the above-mentioned internal policy.</w:t>
      </w:r>
    </w:p>
    <w:p w14:paraId="6D75E1C9" w14:textId="1FE34F95" w:rsidR="00C450DE" w:rsidRDefault="00000000">
      <w:r>
        <w:t>The risk indicators used for the trading risks may be divided into six main types,</w:t>
      </w:r>
      <w:r w:rsidR="00556F3E">
        <w:t xml:space="preserve"> </w:t>
      </w:r>
      <w:r>
        <w:t xml:space="preserve">Value at Risk </w:t>
      </w:r>
      <w:proofErr w:type="spellStart"/>
      <w:r>
        <w:t>VaR</w:t>
      </w:r>
      <w:proofErr w:type="spellEnd"/>
      <w:r>
        <w:t>, which represents the backbone of the whole risk management system due to its characteristics of uniformity, consistency and transparency in relation to both economic capital and the Group Finance operations.</w:t>
      </w:r>
    </w:p>
    <w:p w14:paraId="5E63C165" w14:textId="77777777" w:rsidR="00C450DE" w:rsidRDefault="00000000">
      <w:r>
        <w:t>The Group is committed to ensuring an appropriate governance process for CSRBB risk aimed at preserving the corporate economic capital and maximising shareholder value from fluctuations in market credit spreads.</w:t>
      </w:r>
    </w:p>
    <w:p w14:paraId="33FF36C1" w14:textId="77777777" w:rsidR="00C450DE" w:rsidRDefault="00000000">
      <w:r>
        <w:t>Both models are continuously monitored and periodically revised to promptly reflect changes in customer behaviour and characteristics over time, as well as in the relevant regulatory framework.</w:t>
      </w:r>
    </w:p>
    <w:p w14:paraId="60E455A4" w14:textId="77777777" w:rsidR="00C450DE" w:rsidRDefault="00000000">
      <w:r>
        <w:t>For this last type, an open-portfolio macrohedging model has been adopted according to a bottom-layer approach that, in accordance with the interest rate risk measurement method involving modelling of the prepayment phenomenon, is more closely correlated with risk management activity and asset dynamics.</w:t>
      </w:r>
    </w:p>
    <w:p w14:paraId="32B65204" w14:textId="77777777" w:rsidR="00C450DE" w:rsidRDefault="00000000">
      <w:r>
        <w:t>For managerial purposes, the stressed VaR metric is calculated on the entire set of the Group’s portfolios measured at fair value trading and FVOCI in the banking scope and the stressed period is revised at least annually, together with the annual update to the market risk management framework Risk Appetite Framework.</w:t>
      </w:r>
    </w:p>
    <w:p w14:paraId="17752A57" w14:textId="77777777" w:rsidR="00C450DE" w:rsidRDefault="00000000">
      <w:r>
        <w:lastRenderedPageBreak/>
        <w:t>Please note that, in the first quarter of 2024, on the ordinary annual update of the market risk managerial framework, the Board of Directors as part of the 2024 Group Risk Appetite Framework confirmed the specific limit for trading within an overall limit for trading and the hold to collect and sell business model.</w:t>
      </w:r>
    </w:p>
    <w:p w14:paraId="04E5F8A4" w14:textId="77777777" w:rsidR="00C450DE" w:rsidRDefault="00000000">
      <w:r>
        <w:t>Limit absorption trends and the relative congruity analysis are periodically assessed by the Group Financial Risk Committee and Board of Directors within the framework of the Tableau de Bord for the Group’s risks.</w:t>
      </w:r>
    </w:p>
    <w:p w14:paraId="0580656D" w14:textId="641EFF11" w:rsidR="00C450DE" w:rsidRDefault="00000000">
      <w:r>
        <w:t>See also the paragraph The internal control system for a more detailed representation of the risk framework.</w:t>
      </w:r>
    </w:p>
    <w:p w14:paraId="29BFC2C4" w14:textId="142C129C" w:rsidR="00C450DE" w:rsidRDefault="00000000">
      <w:r>
        <w:t xml:space="preserve">The Guidelines for Valuation of Financial Instruments at Fair Value, once a </w:t>
      </w:r>
      <w:proofErr w:type="spellStart"/>
      <w:r>
        <w:t>favourable</w:t>
      </w:r>
      <w:proofErr w:type="spellEnd"/>
      <w:r>
        <w:t xml:space="preserve"> opinion has been given by the Group Financial Risks Committee, are revised and approved at least on an annual basis by the Board of Directors, with the support of the Risks and Sustainability Committee.</w:t>
      </w:r>
    </w:p>
    <w:p w14:paraId="3C9FAD93" w14:textId="77777777" w:rsidR="00C450DE" w:rsidRDefault="00000000">
      <w:r>
        <w:t>The use of all market parameters in Intesa Sanpaolo is subordinated to their certification by Market &amp; Financial Risk Management, in terms of specific controls verifying the integrity of data contained on the proprietary platform with respect to the source of contribution, reliability tests consistency of each single figure with similar or comparable figures and verification of concrete application means.</w:t>
      </w:r>
    </w:p>
    <w:p w14:paraId="54D2A81C" w14:textId="77777777" w:rsidR="00C450DE" w:rsidRDefault="00000000">
      <w:r>
        <w:t>Monitoring and review of measurement methods As required by the applicable regulations, the measurement methods used are subject to ongoing monitoring of their performance with respect to the evolution of financial instruments, markets and methodological innovations developed by the scientific community, in order to ensure their continuous alignment to the market, promptly highlight any inadequacies and initiate the necessary checks and actions.</w:t>
      </w:r>
    </w:p>
    <w:p w14:paraId="30880D7E" w14:textId="77777777" w:rsidR="00C450DE" w:rsidRDefault="00000000">
      <w:r>
        <w:t>This category includes transactions involving ESG contractual clauses that condition cash flows on the achievement of environmental, social or governance objectives by the counterparty.</w:t>
      </w:r>
    </w:p>
    <w:p w14:paraId="6E7A7403" w14:textId="79D29F91" w:rsidR="00C450DE" w:rsidRDefault="00000000">
      <w:r>
        <w:t xml:space="preserve">The Guidelines on Prudent Valuation of Financial Instruments, once a </w:t>
      </w:r>
      <w:proofErr w:type="spellStart"/>
      <w:r>
        <w:t>favourable</w:t>
      </w:r>
      <w:proofErr w:type="spellEnd"/>
      <w:r>
        <w:t xml:space="preserve"> opinion has been given by the Group Financial Risks Committee, are revised and approved at least on an annual basis by the Board of Directors, with the support of the Risks and Sustainability Committee.</w:t>
      </w:r>
    </w:p>
    <w:p w14:paraId="6AC17DBD" w14:textId="77777777" w:rsidR="00C450DE" w:rsidRDefault="00000000">
      <w:r>
        <w:t>In line with these objectives, the Intesa Sanpaolo Group has long since established an overall operational, ICT and security risk governance framework, by setting up a Group policy and organisational processes for measuring, managing and controlling these risks.</w:t>
      </w:r>
    </w:p>
    <w:p w14:paraId="1C01B605" w14:textId="77777777" w:rsidR="00C450DE" w:rsidRDefault="00000000">
      <w:r>
        <w:t>Governance Model An effective and efficient framework for managing operational, ICT and security risks must be fully integrated into decisionmaking processes and management of business operations.</w:t>
      </w:r>
    </w:p>
    <w:p w14:paraId="08B0A90C" w14:textId="57BBEC56" w:rsidR="00C450DE" w:rsidRDefault="00000000">
      <w:r>
        <w:lastRenderedPageBreak/>
        <w:t xml:space="preserve">Accordingly, the Intesa Sanpaolo Group has chosen to involve the organisational </w:t>
      </w:r>
      <w:proofErr w:type="gramStart"/>
      <w:r>
        <w:t>units</w:t>
      </w:r>
      <w:proofErr w:type="gramEnd"/>
      <w:r>
        <w:t xml:space="preserve"> business units, head-office</w:t>
      </w:r>
      <w:r w:rsidR="00931DA9">
        <w:t xml:space="preserve"> </w:t>
      </w:r>
      <w:r>
        <w:t>support structures of the Parent Company, the banks and Group companies with direct responsibility in the Operational, ICT and Security Risk Management process.</w:t>
      </w:r>
    </w:p>
    <w:p w14:paraId="7C51F2EB" w14:textId="097C200C" w:rsidR="00C450DE" w:rsidRDefault="00000000">
      <w:r>
        <w:t>The operational, ICT and security risk governance model has been developed with a view to,</w:t>
      </w:r>
      <w:r w:rsidR="004651D2">
        <w:t xml:space="preserve"> </w:t>
      </w:r>
      <w:proofErr w:type="spellStart"/>
      <w:r>
        <w:t>optimising</w:t>
      </w:r>
      <w:proofErr w:type="spellEnd"/>
      <w:r>
        <w:t xml:space="preserve"> and </w:t>
      </w:r>
      <w:proofErr w:type="spellStart"/>
      <w:r>
        <w:t>maximising</w:t>
      </w:r>
      <w:proofErr w:type="spellEnd"/>
      <w:r>
        <w:t xml:space="preserve"> </w:t>
      </w:r>
      <w:proofErr w:type="spellStart"/>
      <w:r>
        <w:t>organisational</w:t>
      </w:r>
      <w:proofErr w:type="spellEnd"/>
      <w:r>
        <w:t xml:space="preserve"> safeguards, interrelations and information flows between the existing organisational units and integration of the operational, ICT and security risk management approach with other company models developed for specific risks Business Continuity, IT Security, etc.</w:t>
      </w:r>
    </w:p>
    <w:p w14:paraId="6EE11F19" w14:textId="77777777" w:rsidR="00C450DE" w:rsidRDefault="00000000">
      <w:r>
        <w:t>In compliance with current requirements, the individual organisational units are responsible for identifying, assessing, managing and mitigating risks.</w:t>
      </w:r>
    </w:p>
    <w:p w14:paraId="4D72FA57" w14:textId="77777777" w:rsidR="00C450DE" w:rsidRDefault="00000000">
      <w:r>
        <w:t>Specific officers and departments have been identified within these organisational units to be responsible for Operational, ICT &amp; Security Risk Management structured collection of information relative to operational events, detection of issues and related mitigation actions, scenario analyses and evaluation of the business environment and internal control factors.</w:t>
      </w:r>
    </w:p>
    <w:p w14:paraId="4EFAC9F9" w14:textId="77777777" w:rsidR="00C450DE" w:rsidRDefault="00000000">
      <w:r>
        <w:t>In order to support the operational, ICT and security risk management process on a continuous basis, a structured training programme has been implemented for employees actively involved in this process.</w:t>
      </w:r>
    </w:p>
    <w:p w14:paraId="062344A8" w14:textId="77777777" w:rsidR="00C450DE" w:rsidRDefault="00000000">
      <w:r>
        <w:t>In line with the methodological framework established for the governance of operational risks, the ICT and security risk management framework has been developed with a view to integrating and coordinating the specific expertise of the structures involved.</w:t>
      </w:r>
    </w:p>
    <w:p w14:paraId="120D836D" w14:textId="77777777" w:rsidR="00C450DE" w:rsidRDefault="00000000">
      <w:r>
        <w:t>In this regard, in addition to a traditional insurance programme to protect against offences such as employee infidelity, theft and damage, transport of valuables, computer fraud, forgery, cyber-crimes, fire and earthquake, and third-party liability, the Group has taken out an insurance coverage policy named Operational Risk Insurance Programme, in compliance with the requirements established by the regulations and to have access to the capital benefits provided for by the policy, which provides specific cover for Companies included in the AMA scope, significantly increasing the limits and transferring the risk of significant operational losses to the insurance market.</w:t>
      </w:r>
    </w:p>
    <w:p w14:paraId="2B77AE63" w14:textId="77777777" w:rsidR="00C450DE" w:rsidRDefault="00000000">
      <w:r>
        <w:t>Of note, from June 2024, is the inclusion in the scope of the BIA approach of First Bank, whose consolidation into the ISP Group was completed in May 2024.</w:t>
      </w:r>
    </w:p>
    <w:p w14:paraId="2969D1E0" w14:textId="77777777" w:rsidR="00C450DE" w:rsidRDefault="00000000">
      <w:r>
        <w:t>Market &amp; Financial Risk Management performs monthly checks that the limits and early warning level approved in the Risk Appetite Framework are observed at the consolidated and individual level.</w:t>
      </w:r>
    </w:p>
    <w:p w14:paraId="5BA543E8" w14:textId="77777777" w:rsidR="00C450DE" w:rsidRDefault="00000000">
      <w:r>
        <w:lastRenderedPageBreak/>
        <w:t>The Group is committed to ensuring an appropriate governance process for CSRBB risk aimed at preserving the corporate economic capital and maximising shareholder value from fluctuations in market credit spreads.</w:t>
      </w:r>
    </w:p>
    <w:p w14:paraId="6E2B0AB2" w14:textId="77777777" w:rsidR="00C450DE" w:rsidRDefault="00000000">
      <w:r>
        <w:t>Both models are continuously monitored and periodically revised to promptly reflect changes in customer behaviour and characteristics over time, as well as in the relevant regulatory framework.</w:t>
      </w:r>
    </w:p>
    <w:p w14:paraId="044652B1" w14:textId="77777777" w:rsidR="00C450DE" w:rsidRDefault="00000000">
      <w:r>
        <w:t>For this last type, an open-portfolio macrohedging model has been adopted according to a bottom-layer approach that, in accordance with the interest rate risk measurement method involving modelling of the prepayment phenomenon, is more closely correlated with risk management activity and asset dynamics.</w:t>
      </w:r>
    </w:p>
    <w:p w14:paraId="18DF05BA" w14:textId="14EDDB72" w:rsidR="00C450DE" w:rsidRDefault="00000000">
      <w:r>
        <w:t xml:space="preserve">The share of encumbered assets is subject to periodic disclosure to the Board of the Parent Company, which has also established an alert threshold when defining the Risk Appetite </w:t>
      </w:r>
      <w:proofErr w:type="spellStart"/>
      <w:proofErr w:type="gramStart"/>
      <w:r>
        <w:t>Framework</w:t>
      </w:r>
      <w:r w:rsidR="00931DA9">
        <w:t>,</w:t>
      </w:r>
      <w:r>
        <w:t>with</w:t>
      </w:r>
      <w:proofErr w:type="spellEnd"/>
      <w:proofErr w:type="gramEnd"/>
      <w:r>
        <w:t xml:space="preserve"> the aim of preventing any excessive increase in the risk connected to the share of encumbered assets, and a corresponding recovery trigger level.</w:t>
      </w:r>
    </w:p>
    <w:p w14:paraId="3EEB779A" w14:textId="77777777" w:rsidR="00C450DE" w:rsidRDefault="00000000">
      <w:r>
        <w:t>In this regard, it is noted that the governance of the Risk Appetite Framework includes particularly strict escalation mechanisms in the event of breach of the Group’s leverage limit, with the requirement for the Board of Directors to rapidly approve a remediation plan that can have a maximum duration of one year.</w:t>
      </w:r>
    </w:p>
    <w:p w14:paraId="6A583046" w14:textId="77777777" w:rsidR="00C450DE" w:rsidRDefault="00000000">
      <w:r>
        <w:t>In this regard, it is noted that the governance of the Risk Appetite Framework establishes specific escalation mechanisms for the Group companies.</w:t>
      </w:r>
    </w:p>
    <w:p w14:paraId="5440EBC2" w14:textId="77777777" w:rsidR="00C450DE" w:rsidRDefault="00000000">
      <w:r>
        <w:t>Compliance with these limits is monitored in the Tableau de Bord of Group Risks and reported to the Risks and Sustainability Committee and the Board of Directors on a quarterly basis.</w:t>
      </w:r>
    </w:p>
    <w:p w14:paraId="59A154C1" w14:textId="03CCBA76" w:rsidR="00C450DE" w:rsidRDefault="00000000">
      <w:r>
        <w:t>That information is illustrated in greater detail within the 2024 Remuneration and Incentive Policies of Intesa Sanpaolo Group, which forms integral part of Section</w:t>
      </w:r>
      <w:r w:rsidR="00E0509E">
        <w:t xml:space="preserve"> </w:t>
      </w:r>
      <w:r>
        <w:t>of the Report on Remuneration and compensation paid for that year, in compliance with the provisions of Article 123-ter of the Consolidated Law on Finance.</w:t>
      </w:r>
    </w:p>
    <w:p w14:paraId="1D3D63CE" w14:textId="77777777" w:rsidR="00C450DE" w:rsidRDefault="00000000">
      <w:r>
        <w:t>With reference to listed companies, that article provides for the obligation to prepare and make available to the public a specific report on remuneration, divided into two sections the first illustrating the company’s policy in relation to remuneration and the procedures used for the adoption and implementation of this policy, the second providing information on the compensation paid, to be drawn up including the information set out in the Issuers’ Regulation, and to be submitted to the Shareholders’ Meeting resolution.</w:t>
      </w:r>
    </w:p>
    <w:p w14:paraId="572A9AB2" w14:textId="4A3F0CA7" w:rsidR="00C450DE" w:rsidRDefault="00000000">
      <w:r>
        <w:t>An overview of the key features and objectives of remuneration policy, and information about the decision-making process used for determining the remuneration policy and the role of the relevant stakeholders</w:t>
      </w:r>
    </w:p>
    <w:p w14:paraId="187D75BC" w14:textId="20408706" w:rsidR="00C450DE" w:rsidRDefault="00000000">
      <w:r>
        <w:lastRenderedPageBreak/>
        <w:t xml:space="preserve">The shareholders’ meeting The Group Policies aim to align the </w:t>
      </w:r>
      <w:proofErr w:type="gramStart"/>
      <w:r>
        <w:t>management’s</w:t>
      </w:r>
      <w:proofErr w:type="gramEnd"/>
      <w:r>
        <w:t xml:space="preserve"> and personnel’s behaviour with the interests of all Stakeholders, guiding their action towards the achievement of sustainable medium-long term objectives within the framework of a prudent assumption of current and prospective risks, as well as to contribute to making the Group an Employer of choice for its ability to attract, motivate and retain top resources.</w:t>
      </w:r>
    </w:p>
    <w:p w14:paraId="201A6353" w14:textId="77777777" w:rsidR="00C450DE" w:rsidRDefault="00000000">
      <w:r>
        <w:t>In particular, the Policies are based on the following principles, correlation between remuneration and risks undertaken, orientation towards medium-long term objectives, taking into account the Group Risk Tolerance, merit, fairness and gender neutrality, sustainability to limit expense deriving from application of the policies to values compatible with the available economic and financial means, and compliance with regulatory requirements.</w:t>
      </w:r>
    </w:p>
    <w:p w14:paraId="2F611935" w14:textId="77777777" w:rsidR="00C450DE" w:rsidRDefault="00000000">
      <w:r>
        <w:t>In order to align the incentive systems with prudent risk management policies and ensure long-term solidity and business continuity, the annual Incentive Systems take into account the Group's Risk Appetite and Risk Tolerance as expressed in the RAF.</w:t>
      </w:r>
    </w:p>
    <w:p w14:paraId="3B10C69E" w14:textId="77777777" w:rsidR="00C450DE" w:rsidRDefault="00000000">
      <w:r>
        <w:t>Whether the management body or the remuneration committee where established reviewed the institution’s remuneration policy during the past year, and if so, an overview of any changes that were made, the reasons for those changes and their impact on remuneration The Group Policies were reviewed and updated in 2024, albeit drawn up in substantial continuity with the 2023 Policies.</w:t>
      </w:r>
    </w:p>
    <w:p w14:paraId="0DA0765D" w14:textId="77777777" w:rsidR="00C450DE" w:rsidRDefault="00000000">
      <w:r>
        <w:t>In light of a stable regulatory environment compared with the past year and taking into account the fact that the Group remuneration and incentive Policies are adequate to support the achievement of the Business Plan goals, no significant changes have been made for 2024 in terms of impact on general or specific clusters of the personnel.</w:t>
      </w:r>
    </w:p>
    <w:p w14:paraId="5FE994E4" w14:textId="29E4ED62" w:rsidR="00C450DE" w:rsidRDefault="00000000">
      <w:r>
        <w:t>The main new provision with an impact exclusively on one Top Risk Taker of the Intesa Sanpaolo Group</w:t>
      </w:r>
      <w:r w:rsidR="00E0509E">
        <w:t>.</w:t>
      </w:r>
    </w:p>
    <w:p w14:paraId="1F01D721" w14:textId="69D2E065" w:rsidR="00C450DE" w:rsidRDefault="00000000">
      <w:r>
        <w:t>The Manager responsible for preparing the Company’s financial reports, a role exclusively provided for by Italian law and other 6 Group Risk Takers</w:t>
      </w:r>
      <w:r w:rsidR="00E0509E">
        <w:t>.</w:t>
      </w:r>
    </w:p>
    <w:p w14:paraId="24A6E0D6" w14:textId="77777777" w:rsidR="00C450DE" w:rsidRDefault="00000000">
      <w:r>
        <w:t>The Head of the Administrative Governance and Controls structure and the Heads of the Human Resources Function at Group level is the increase from 33% to 60% of the maximum limit on the ratio between variable and fixed remuneration socalled cap.</w:t>
      </w:r>
    </w:p>
    <w:p w14:paraId="310C2F09" w14:textId="77777777" w:rsidR="00C450DE" w:rsidRDefault="00000000">
      <w:r>
        <w:t>With particular reference to the annual Incentive System, the KPIs present in the Performance Scorecards of the Company Control Functions are typically of a project nature or are linked to requests from the Supervisory Authority including but not limited to, Development of the Credit Risk management framework.</w:t>
      </w:r>
    </w:p>
    <w:p w14:paraId="3B753613" w14:textId="7AC6E386" w:rsidR="00C450DE" w:rsidRDefault="00000000">
      <w:r>
        <w:t xml:space="preserve">However, in compliance with the Supervisory Provisions, </w:t>
      </w:r>
      <w:proofErr w:type="gramStart"/>
      <w:r>
        <w:t>in order to</w:t>
      </w:r>
      <w:proofErr w:type="gramEnd"/>
      <w:r>
        <w:t xml:space="preserve"> attract new personnel, it is possible to award,</w:t>
      </w:r>
      <w:r w:rsidR="00556F3E">
        <w:t xml:space="preserve"> </w:t>
      </w:r>
      <w:r>
        <w:t xml:space="preserve">a one-off welcome bonus, subject to a detailed assessment and analysis of market practices, which is not subject to any requirement applicable to variable </w:t>
      </w:r>
      <w:r>
        <w:lastRenderedPageBreak/>
        <w:t>remuneration, including variable remuneration cap and pay-out schemes, if awarded in a single instalment known as welcome bonus.</w:t>
      </w:r>
    </w:p>
    <w:p w14:paraId="1AA84D86" w14:textId="77777777" w:rsidR="00C450DE" w:rsidRDefault="00000000">
      <w:r>
        <w:t>Disclosures shall include an overview of the key risks, their measurement and how these measures affect remuneration As part of the Group's annual Incentive Systems, ex ante risk monitoring is guaranteed both in the bonus pool activation phase and in the Performance Scorecard definition phase as part of the annual Incentive System for Risk Takers.</w:t>
      </w:r>
    </w:p>
    <w:p w14:paraId="45B2C042" w14:textId="77777777" w:rsidR="00C450DE" w:rsidRDefault="00000000">
      <w:r>
        <w:t>Once the gateway conditions have been met, in order to ensure financial sustainability, the incentive systems are funded by a structured bonus pool mechanism.</w:t>
      </w:r>
    </w:p>
    <w:p w14:paraId="75866EC1" w14:textId="4D4BB4F5" w:rsidR="00C450DE" w:rsidRDefault="00000000">
      <w:r>
        <w:t>Instead, in the Performance Scorecard definition phase, risk monitoring is ensured through the allocation of KPIs defined according to the Cost of risk</w:t>
      </w:r>
      <w:r w:rsidR="00931DA9">
        <w:t xml:space="preserve"> </w:t>
      </w:r>
      <w:r>
        <w:t>Sustainability strategic driver and aimed at an express risk reduction and</w:t>
      </w:r>
      <w:r w:rsidR="00931DA9">
        <w:t xml:space="preserve"> </w:t>
      </w:r>
      <w:r>
        <w:t>or mitigation as defined by the RAF.</w:t>
      </w:r>
    </w:p>
    <w:p w14:paraId="4153C698" w14:textId="77777777" w:rsidR="00C450DE" w:rsidRDefault="00000000">
      <w:r>
        <w:t>Thus, the process used to identify these KPIs involves the Chief Risk Officer Governance Area, in order to ensure the consistency of the KPIs with the Group’s RAF.</w:t>
      </w:r>
    </w:p>
    <w:p w14:paraId="45F67F06" w14:textId="77777777" w:rsidR="00C450DE" w:rsidRDefault="00000000">
      <w:r>
        <w:t>It is standard Group practice to establish ex-ante balanced limits on variable remuneration for all clusters of Group personnel, by setting specific caps on bonuses in the event of any over-performance.</w:t>
      </w:r>
    </w:p>
    <w:p w14:paraId="1C73DFCD" w14:textId="36D7802B" w:rsidR="00C450DE" w:rsidRDefault="00000000">
      <w:r>
        <w:t>More specifically, the economic-financial and non -quantitative KPIs are clustered within 4 drivers Growth, Profitability, Productivity and Cost of Risk</w:t>
      </w:r>
      <w:r w:rsidR="00931DA9">
        <w:t xml:space="preserve"> </w:t>
      </w:r>
      <w:r>
        <w:t>Sustainability with reference to the personnel of the Company Control Functions, the non-economic-financial quantitative KPIs allocated are linked solely to the last two drivers, while the non-financial</w:t>
      </w:r>
      <w:r w:rsidR="00556F3E">
        <w:t xml:space="preserve"> </w:t>
      </w:r>
      <w:r>
        <w:t>qualitative KPIs are divided into strategic actions or projects that represent the enabling factors for the achievement of the financial KPIs or contribute to the achievement of the Strategic Plan objectives and promote or act as an incentive for good conduct, especially with reference to businesses and areas that involve direct customer relationships.</w:t>
      </w:r>
    </w:p>
    <w:p w14:paraId="245D6E0D" w14:textId="57F1161A" w:rsidR="00C450DE" w:rsidRDefault="00000000">
      <w:r>
        <w:t>Furthermore, for the Company Control Functions, for 2024, in keeping with 2018, a crossfunctional KPI was confirmed that lies within the objective of Risk Culture</w:t>
      </w:r>
      <w:r w:rsidR="00556F3E">
        <w:t xml:space="preserve"> </w:t>
      </w:r>
      <w:r>
        <w:t>Promoting awareness at all levels of the organisation regarding emerging risks, with a particular focus on the risks related to climate change and technological innovation, by means of educational, awareness raising and training initiatives.</w:t>
      </w:r>
    </w:p>
    <w:p w14:paraId="2F53B381" w14:textId="77777777" w:rsidR="00C450DE" w:rsidRDefault="00000000">
      <w:r>
        <w:t>Among the incentive initiatives dedicated to highly profitable business segments established by the Group, the Incentive System for the Relationship Managers of the Private Banking Division’s International Sales Networks and the Incentive System for the Non-Employee Financial Advisors of the Private Banking Division also include individuals identified as Risk Takers within these clusters.</w:t>
      </w:r>
    </w:p>
    <w:p w14:paraId="391A19FB" w14:textId="77777777" w:rsidR="00C450DE" w:rsidRDefault="00000000">
      <w:r>
        <w:t xml:space="preserve">The performance is measured through both economic-financial KPIs that reflect the value generated and non-financial KPIs that include measures to guide behaviour towards </w:t>
      </w:r>
      <w:r>
        <w:lastRenderedPageBreak/>
        <w:t>customer satisfaction, compliance with the principles of fairness in customer relations and reduction of operational risks.</w:t>
      </w:r>
    </w:p>
    <w:p w14:paraId="39637BEA" w14:textId="76D980D4" w:rsidR="00C450DE" w:rsidRDefault="00000000">
      <w:r>
        <w:t>An overview of how amounts of individual variable remuneration are linked to institution-wide and individual performance The total amount due to the Risk Takers is allocated annually based on the evaluation of the results of the individual performance scorecard which, as illustrated in the previous point, has a three-fold structure which includes, among other things, both KPIs linked to the performance of the Intesa Sanpaolo Group and KPIs linked to the performance of the respective Division</w:t>
      </w:r>
      <w:r w:rsidR="00931DA9">
        <w:t xml:space="preserve"> </w:t>
      </w:r>
      <w:r>
        <w:t>Governance Area.</w:t>
      </w:r>
    </w:p>
    <w:p w14:paraId="38958FA8" w14:textId="77777777" w:rsidR="00C450DE" w:rsidRDefault="00000000">
      <w:r>
        <w:t>Information on the criteria used to determine the balance between different types of instruments awarded including shares, equivalent ownership interest, options and other instruments In compliance with the Supervisory Provisions, the financial instruments used by the Intesa Sanpaolo Group to pay the variable remuneration portions to be settled in financial instruments are Intesa Sanpaolo shares see paragraph f.</w:t>
      </w:r>
    </w:p>
    <w:p w14:paraId="5CB4FD17" w14:textId="22D6D611" w:rsidR="00C450DE" w:rsidRDefault="00000000">
      <w:r>
        <w:t xml:space="preserve">Information of the measures the institution will implement to adjust variable remuneration </w:t>
      </w:r>
      <w:proofErr w:type="gramStart"/>
      <w:r>
        <w:t>in the event that</w:t>
      </w:r>
      <w:proofErr w:type="gramEnd"/>
      <w:r>
        <w:t xml:space="preserve"> performance metrics are weak, including the institution’s criteria for determining weak performance metrics.</w:t>
      </w:r>
    </w:p>
    <w:p w14:paraId="265E4C20" w14:textId="043842F5" w:rsidR="00C450DE" w:rsidRDefault="00000000">
      <w:r>
        <w:t>Institutions shall explain the criteria</w:t>
      </w:r>
      <w:r w:rsidR="00931DA9">
        <w:t xml:space="preserve"> </w:t>
      </w:r>
      <w:r>
        <w:t xml:space="preserve">thresholds for determining that the performance is weak and that does not justify that the variable remuneration can be paid or vested </w:t>
      </w:r>
      <w:proofErr w:type="gramStart"/>
      <w:r>
        <w:t>The</w:t>
      </w:r>
      <w:proofErr w:type="gramEnd"/>
      <w:r>
        <w:t xml:space="preserve"> measures implemented by the Group to adjust the variable component of the remuneration </w:t>
      </w:r>
      <w:proofErr w:type="gramStart"/>
      <w:r>
        <w:t>in the event that</w:t>
      </w:r>
      <w:proofErr w:type="gramEnd"/>
      <w:r>
        <w:t xml:space="preserve"> the performance measurement metrics are weak impact both the bonus pool and the bonus accrued by </w:t>
      </w:r>
      <w:proofErr w:type="gramStart"/>
      <w:r>
        <w:t>each individual</w:t>
      </w:r>
      <w:proofErr w:type="gramEnd"/>
      <w:r>
        <w:t>.</w:t>
      </w:r>
    </w:p>
    <w:p w14:paraId="0A9B2944" w14:textId="77777777" w:rsidR="00C450DE" w:rsidRDefault="00000000">
      <w:r>
        <w:t>An overview of the institution’s policy on deferral, payout in instrument, retention periods and vesting of variable remuneration including where it is different among staff or categories of staff Illustrated below are the methods for the payment of the variable remuneration adopted by the Intesa Sanpaolo Group according to the personnel category, the amount of variable remuneration and the incidence of variable remuneration in relation to fixed remuneration.</w:t>
      </w:r>
    </w:p>
    <w:p w14:paraId="7D8ACDAC" w14:textId="77777777" w:rsidR="00C450DE" w:rsidRDefault="00000000">
      <w:r>
        <w:t>In compliance with the Supervisory Provisions, for the Risk Takers, the financial instruments used by the Intesa Sanpaolo Group to pay the variable remuneration portion to be settled in financial instruments are Intesa Sanpaolo shares see point f.</w:t>
      </w:r>
    </w:p>
    <w:p w14:paraId="5101339F" w14:textId="619390BC" w:rsidR="00C450DE" w:rsidRDefault="00000000">
      <w:r>
        <w:t>With reference to the trend of remuneration between 2024 and 2023, it should be noted that, with regard to,</w:t>
      </w:r>
      <w:r w:rsidR="00556F3E">
        <w:t xml:space="preserve"> </w:t>
      </w:r>
      <w:r>
        <w:t>the Other senior management, the comparison of remuneration data with the previous years is partially significant against the increase of the number of the members of this cluster, mainly due to Intesa Sanpaolo’s implementation, in April 2024, of the generational change in the leaderships roles through a reorganisation that valued female talent and created a mix of expert and young managers to support innovation and to face the challenges of the European banking sector.</w:t>
      </w:r>
    </w:p>
    <w:p w14:paraId="3626496F" w14:textId="58338D9C" w:rsidR="00C450DE" w:rsidRDefault="00000000">
      <w:r>
        <w:lastRenderedPageBreak/>
        <w:t>Compared to 2023, an increase can be observed in the number of subjects included in this cluster, in brief, due to the increase, in the Other senior management cluster and, of the Financial Advisors who accrued a remuneration equal to or higher than 1 million euro.</w:t>
      </w:r>
    </w:p>
    <w:p w14:paraId="75DBE5A9" w14:textId="60D6816F" w:rsidR="00C450DE" w:rsidRDefault="00000000">
      <w:r>
        <w:t>In accordance with the above-mentioned regulatory requirements, the Pillar 3 document is required to contain, on a halfyearly basis starting from 31 December 2022, three qualitative sections below Tables and</w:t>
      </w:r>
      <w:r w:rsidR="00556F3E">
        <w:t xml:space="preserve"> </w:t>
      </w:r>
      <w:r>
        <w:t>when fully implemented</w:t>
      </w:r>
      <w:r w:rsidR="00556F3E">
        <w:t xml:space="preserve"> </w:t>
      </w:r>
      <w:r>
        <w:t>a total of ten quantitative disclosures below Templates, of which four are dedicated to climate change transition risk and one to climate change physical risk, and five provide quantitative information on the actions that institutions are implementing to mitigate climate change related risks, including information on actions aligned with the taxonomy Green Asset Ratio</w:t>
      </w:r>
      <w:r w:rsidR="00556F3E">
        <w:t xml:space="preserve"> </w:t>
      </w:r>
      <w:r>
        <w:t>GAR and Banking Taxonomy Alignment Ratio</w:t>
      </w:r>
      <w:r w:rsidR="00556F3E">
        <w:t xml:space="preserve"> </w:t>
      </w:r>
      <w:r>
        <w:t>BTAR and on any other mitigation actions.</w:t>
      </w:r>
    </w:p>
    <w:p w14:paraId="10068965" w14:textId="77777777" w:rsidR="00C450DE" w:rsidRDefault="00000000">
      <w:r>
        <w:t>This qualitative disclosure describes the integration of environmental, social and governance risks into strategic and governance decisions, business processes and risk management.</w:t>
      </w:r>
    </w:p>
    <w:p w14:paraId="65D1AB0D" w14:textId="77777777" w:rsidR="00C450DE" w:rsidRDefault="00000000">
      <w:r>
        <w:t>The topics of Strategy, Governance and Risk Management are then broken down for these types of risk E, S and G, with references, where necessary, to paragraphs that already provide an exhaustive description of the required content.</w:t>
      </w:r>
    </w:p>
    <w:p w14:paraId="379BF6E0" w14:textId="7AA8689D" w:rsidR="00C450DE" w:rsidRDefault="00000000">
      <w:r>
        <w:t xml:space="preserve">In particular, the work </w:t>
      </w:r>
      <w:proofErr w:type="gramStart"/>
      <w:r>
        <w:t>continued on</w:t>
      </w:r>
      <w:proofErr w:type="gramEnd"/>
      <w:r>
        <w:t xml:space="preserve"> the Target Setting project, aimed at setting the 2030 financed emissions targets to be pursued for the priority sectors of the Net-Zero Banking Alliance</w:t>
      </w:r>
      <w:r w:rsidR="00556F3E">
        <w:t xml:space="preserve"> </w:t>
      </w:r>
      <w:r>
        <w:t>NZBA additional to those indicated in the Business Plan together with the related monitoring.</w:t>
      </w:r>
    </w:p>
    <w:p w14:paraId="755AD174" w14:textId="77777777" w:rsidR="00C450DE" w:rsidRDefault="00000000">
      <w:r>
        <w:t>Intesa Sanpaolo’s climate strategy includes a strong commitment to financing the energy transition and is oriented towards the creation and promotion of sustainable financial products and services, also in consideration of the EU Taxonomy.</w:t>
      </w:r>
    </w:p>
    <w:p w14:paraId="3822466D" w14:textId="77777777" w:rsidR="00C450DE" w:rsidRDefault="00000000">
      <w:r>
        <w:t>With these additional objectives, Intesa Sanpaolo has completed the target setting for decarbonisation by 2030 for high-emission sectors that are significant for the Group, as indicated in the guidelines of the Net Zero Banking Alliance.</w:t>
      </w:r>
    </w:p>
    <w:p w14:paraId="15F4A409" w14:textId="77777777" w:rsidR="00C450DE" w:rsidRDefault="00000000">
      <w:r>
        <w:t>Also of note is the development of a reforestation and natural capital preservation project, called Think Forestry launched in November 2023, with the dual objective of accelerating climate change mitigation by acting on the management and reduction of CO2 emissions of customer companies and to safeguard and promote nature.</w:t>
      </w:r>
    </w:p>
    <w:p w14:paraId="654597FA" w14:textId="77777777" w:rsidR="00C450DE" w:rsidRDefault="00000000">
      <w:r>
        <w:t>In addition, work continued on the EU Taxonomy Green Enhancement project, aimed at introducing rules and processes for classifying lending transactions in line with the regulatory requirements of the EU Taxonomy and for actively steering the loan portfolio, in order to improve the Green Asset Ratio.</w:t>
      </w:r>
    </w:p>
    <w:p w14:paraId="39E44031" w14:textId="77777777" w:rsidR="00C450DE" w:rsidRDefault="00000000">
      <w:r>
        <w:t xml:space="preserve">In particular, in the first half of 2024, Eurizon Capital SGR introduced two new proprietary frameworks dedicated to, evaluating the oversight and monitoring of climate change issues </w:t>
      </w:r>
      <w:r>
        <w:lastRenderedPageBreak/>
        <w:t>by the management bodies of the portfolio companies and, assessing issuers that could negatively impact biodiversity.</w:t>
      </w:r>
    </w:p>
    <w:p w14:paraId="047F60A3" w14:textId="77777777" w:rsidR="00C450DE" w:rsidRDefault="00000000">
      <w:r>
        <w:t>The focus on climate issues was further explored by investors with structured questionnaires and surveys.</w:t>
      </w:r>
    </w:p>
    <w:p w14:paraId="25AAEF9C" w14:textId="77777777" w:rsidR="00C450DE" w:rsidRDefault="00000000">
      <w:r>
        <w:t>Each workshop establishes common objectives and operating methods in order to propose a path designed to help companies identify their strengths and areas for improvement, stimulating change that generates value not only for the company, but also for the community and the environment, with the goal of making ESG practices a priority in business decisions and development strategies.</w:t>
      </w:r>
    </w:p>
    <w:p w14:paraId="29B6F576" w14:textId="1FDC5819" w:rsidR="00C450DE" w:rsidRDefault="00000000">
      <w:r>
        <w:t>The activities of the Circular Economy Lab fall into three lines,</w:t>
      </w:r>
      <w:r w:rsidR="00556F3E">
        <w:t xml:space="preserve"> </w:t>
      </w:r>
      <w:r>
        <w:t>training, employing methods of disseminating the circular economy culture aimed at companies and the academic world, through dedicated workshops and lectures.</w:t>
      </w:r>
    </w:p>
    <w:p w14:paraId="6AF375C6" w14:textId="1D247C23" w:rsidR="00C450DE" w:rsidRDefault="00000000">
      <w:r>
        <w:t xml:space="preserve">In line with the commitments made in subscribing to the NZAMI58, and concerning the objective related to stewardship activities, Eurizon engaged with 71 companies representing over 71% of the financed emissions of the In-Scope Portfolio and therefore exceeding the target set of 70% by 2025 and planned to conduct further engagements by 2030 with issuers representing 90% of financed emissions, prioritising companies in sectors considered </w:t>
      </w:r>
      <w:r w:rsidR="004651D2">
        <w:t xml:space="preserve"> </w:t>
      </w:r>
      <w:r>
        <w:t>material</w:t>
      </w:r>
      <w:r w:rsidR="004651D2">
        <w:t xml:space="preserve"> </w:t>
      </w:r>
      <w:r>
        <w:t xml:space="preserve"> for </w:t>
      </w:r>
      <w:proofErr w:type="spellStart"/>
      <w:r>
        <w:t>decarbonisation</w:t>
      </w:r>
      <w:proofErr w:type="spellEnd"/>
      <w:r>
        <w:t>.</w:t>
      </w:r>
    </w:p>
    <w:p w14:paraId="18FA18D4" w14:textId="202018A3" w:rsidR="00C450DE" w:rsidRDefault="00000000">
      <w:r>
        <w:t>In 2023, Eurizon also subscribed to Advance to encourage issuer companies to adopt best practices regarding human rights, society and workers.</w:t>
      </w:r>
    </w:p>
    <w:p w14:paraId="4D974612" w14:textId="3B2E940B" w:rsidR="00C450DE" w:rsidRDefault="00000000">
      <w:r>
        <w:t>Risks and Sustainability Committee It supports the Board of Directors in the performance of all the above tasks, focusing</w:t>
      </w:r>
      <w:proofErr w:type="gramStart"/>
      <w:r>
        <w:t>, in particular, on</w:t>
      </w:r>
      <w:proofErr w:type="gramEnd"/>
      <w:r>
        <w:t>,</w:t>
      </w:r>
      <w:r w:rsidR="00556F3E">
        <w:t xml:space="preserve"> </w:t>
      </w:r>
      <w:r>
        <w:t>the assessment and investigation of sustainability matters related to the Bank's business operations.</w:t>
      </w:r>
    </w:p>
    <w:p w14:paraId="3F67FE33" w14:textId="77777777" w:rsidR="00C450DE" w:rsidRDefault="00000000">
      <w:r>
        <w:t>Specifically, the Committee monitored the progress of the activities necessary to prepare the Consolidated Sustainability Statement in accordance with applicable legislation, shared the ESG KPIs for the 2024 Budget and the portfolio sector-specific targets, as well as the streamlining of the process to identify and monitor climate and environmental risks.</w:t>
      </w:r>
    </w:p>
    <w:p w14:paraId="138FC651" w14:textId="77777777" w:rsidR="00C450DE" w:rsidRDefault="00000000">
      <w:r>
        <w:t>The CSO Governance Area also includes that of the Chief Social Impact Officer Governance Area, which directs, governs and implements social impact initiatives and projects, promotes the wellbeing and inclusion of people and the Community, and directs, coordinates and oversees initiatives to mitigate the direct environmental impacts generated by the Group.</w:t>
      </w:r>
    </w:p>
    <w:p w14:paraId="0DB7D876" w14:textId="77777777" w:rsidR="00C450DE" w:rsidRDefault="00000000">
      <w:r>
        <w:t>Its main purpose is to share, update and monitor ESG activities and goals, with the collective participation of all Governance Areas and Business Divisions through Sustainability Managers.</w:t>
      </w:r>
    </w:p>
    <w:p w14:paraId="60F7E1D6" w14:textId="77777777" w:rsidR="00C450DE" w:rsidRDefault="00000000">
      <w:r>
        <w:t>Its mission is to ensure comprehensive oversight of the ESG initiatives of the Wealth Management Divisions.</w:t>
      </w:r>
    </w:p>
    <w:p w14:paraId="209FA6B6" w14:textId="77777777" w:rsidR="00C450DE" w:rsidRDefault="00000000">
      <w:r>
        <w:lastRenderedPageBreak/>
        <w:t>This panel will coordinate and steer the Social Impact area, in addition to examining, monitoring and discussing specifically related initiatives and topics.</w:t>
      </w:r>
    </w:p>
    <w:p w14:paraId="27CB5109" w14:textId="77777777" w:rsidR="00C450DE" w:rsidRDefault="00000000">
      <w:r>
        <w:t>The head of the CSO Governance Area chairs the ESG Control Room and the related Panels, except for the Social Impact Panel which is chaired by the head of the Chief Social Impact Officer Governance Area.</w:t>
      </w:r>
    </w:p>
    <w:p w14:paraId="3DF09399" w14:textId="77777777" w:rsidR="00C450DE" w:rsidRDefault="00000000">
      <w:r>
        <w:t>As part of the Risk Appetite Framework, and in view of the subsequent submission to the Corporate Bodies, a level of ESG including climate change and reputational risk tolerance is proposed, defining specific exposure limits, risk indicators, and actions to be monitored and updated.</w:t>
      </w:r>
    </w:p>
    <w:p w14:paraId="515B1971" w14:textId="77777777" w:rsidR="00C450DE" w:rsidRDefault="00000000">
      <w:r>
        <w:t>The CRO Governance Area also heads climate risk identification, assessment and management processes.</w:t>
      </w:r>
    </w:p>
    <w:p w14:paraId="2EEBDB1E" w14:textId="77777777" w:rsidR="00C450DE" w:rsidRDefault="00000000">
      <w:r>
        <w:t>With respect to strategic assessment elements, in 2024, the Board of Directors approved the definition of new sector targets61, confirming the Group's commitment to climate transition, and promoted the definition of new operational tools to support communities in order to strengthen the Intesa Sanpaolo Group's positioning in terms of social responsibility.</w:t>
      </w:r>
    </w:p>
    <w:p w14:paraId="2941EA49" w14:textId="5B74EDAF" w:rsidR="00C450DE" w:rsidRDefault="00000000">
      <w:r>
        <w:t>In the Chief Sustainability Officer Governance Area,</w:t>
      </w:r>
      <w:r w:rsidR="00556F3E">
        <w:t xml:space="preserve"> </w:t>
      </w:r>
      <w:r>
        <w:t>ESG Steering, in collaboration with the other competent functions, performs the following main functions, assisting in the establishment of guidelines, policies, and project initiatives concerning ESG, ensuring the planning and coordination of strategic ESG initiatives, and defining the ESG Key Performance Indicators and their respective targets in line with the strategies established.</w:t>
      </w:r>
    </w:p>
    <w:p w14:paraId="60C5CAEF" w14:textId="77777777" w:rsidR="00C450DE" w:rsidRDefault="00000000">
      <w:r>
        <w:t>It oversees the Code of Ethics and its implementation, and manages internal and external communications on ESG issues, including the preparation of the sustainability reporting for its areas of responsibility, providing support in promoting the ESG culture at Group level.</w:t>
      </w:r>
    </w:p>
    <w:p w14:paraId="1F07198E" w14:textId="77777777" w:rsidR="00C450DE" w:rsidRDefault="00000000">
      <w:r>
        <w:t>It is also responsible for developing and managing a common scoring model, aimed at determining the sustainability positioning of the Parent Company’s corporate counterparties and the subsidiary banks.</w:t>
      </w:r>
    </w:p>
    <w:p w14:paraId="6E6C112F" w14:textId="39DF1091" w:rsidR="00C450DE" w:rsidRDefault="00000000">
      <w:r>
        <w:t>In the Chief Social Impact Officer Governance Area,</w:t>
      </w:r>
      <w:r w:rsidR="00556F3E">
        <w:t xml:space="preserve"> </w:t>
      </w:r>
      <w:r>
        <w:t>Intesa Sanpaolo for Social Impact directs and governs social impact activities to strengthen the leadership position of the Bank and the Group, establishing guidelines, policies, and intervention priorities, and implementing programmes and initiatives to combat inequalities and various aspects of poverty, promoting social cohesion and inclusion, education, guidance, and employability of vulnerable groups, and coordinating the Group’s efforts in impact finance and social housing.</w:t>
      </w:r>
    </w:p>
    <w:p w14:paraId="42DC258B" w14:textId="672AC612" w:rsidR="00C450DE" w:rsidRDefault="00000000">
      <w:r>
        <w:t>It also contributes to managing risks related to climate change, assessing climate risks for the Bank’s assets, ensuring the control of compliance risk, and it acts as a specialist function in relation to environmental regulations under Legislative Decree 152</w:t>
      </w:r>
      <w:r w:rsidR="00931DA9">
        <w:t xml:space="preserve"> </w:t>
      </w:r>
      <w:r>
        <w:t>2006.</w:t>
      </w:r>
    </w:p>
    <w:p w14:paraId="12992DE0" w14:textId="2964F910" w:rsidR="00C450DE" w:rsidRDefault="00000000">
      <w:r>
        <w:lastRenderedPageBreak/>
        <w:t>Within the Chief Risk Officer Governance Area,</w:t>
      </w:r>
      <w:r w:rsidR="00556F3E">
        <w:t xml:space="preserve"> </w:t>
      </w:r>
      <w:r>
        <w:t>Enterprise Risk Management draws up, among others, the proposed Risk Appetite Framework.</w:t>
      </w:r>
    </w:p>
    <w:p w14:paraId="19819ED4" w14:textId="77777777" w:rsidR="00C450DE" w:rsidRDefault="00000000">
      <w:r>
        <w:t>It is responsible for the design, development and maintenance of the Group’s internal ESG including climate change risk management and assessment system.</w:t>
      </w:r>
    </w:p>
    <w:p w14:paraId="1CB6E430" w14:textId="0A5DF731" w:rsidR="00C450DE" w:rsidRDefault="00000000">
      <w:r>
        <w:t>Within the Chief Audit Officer area, the Audit Global &amp; Strategic Risks Head Office Department ensures cross-cutting oversight of the strategic risk and ESG-related risks, including climate change.</w:t>
      </w:r>
    </w:p>
    <w:p w14:paraId="2F5CCF9E" w14:textId="77777777" w:rsidR="00C450DE" w:rsidRDefault="00000000">
      <w:r>
        <w:t>Within its activity plan, drawn up from a risk-based perspective, it also monitors the action plan on climate-related and environmental risk management, which also incorporates the expectations of the European Central Bank.</w:t>
      </w:r>
    </w:p>
    <w:p w14:paraId="1695B37F" w14:textId="77777777" w:rsidR="00C450DE" w:rsidRDefault="00000000">
      <w:r>
        <w:t>In accordance with the compliance risk management model set out in the Group Compliance Guidelines, the Chief Compliance Officer Governance Area ensures that compliance risks related to ESG issues are also monitored and ensures that, during the alignment to changes in external regulations, the legal and regulatory liability risks are duly taken into account and effectively integrated into the relevant business processes.</w:t>
      </w:r>
    </w:p>
    <w:p w14:paraId="0813D37A" w14:textId="77777777" w:rsidR="00C450DE" w:rsidRDefault="00000000">
      <w:r>
        <w:t>Through the Chief Institutional Affairs and External Communication Officer Governance Area, Intesa Sanpaolo also regularly monitors the regulatory framework relating to climate change at international, European and national level.</w:t>
      </w:r>
    </w:p>
    <w:p w14:paraId="7BA4959B" w14:textId="5E696985" w:rsidR="00C450DE" w:rsidRDefault="00000000">
      <w:r>
        <w:t>During 2024, several strategic and significant sustainability-related projects were managed for the Group, including,</w:t>
      </w:r>
      <w:r w:rsidR="00E0509E">
        <w:t xml:space="preserve"> </w:t>
      </w:r>
      <w:r>
        <w:t>the activities of the Target Setting project for the decarbonisation targets, which focused, as required by the NZBA, on the intermediate targets for 2030 for the additional sectors with respect to those indicated in the Business Plan and on the documentation submitted for validation by the SBTi.</w:t>
      </w:r>
    </w:p>
    <w:p w14:paraId="740C548A" w14:textId="77777777" w:rsidR="00C450DE" w:rsidRDefault="00000000">
      <w:r>
        <w:t>The Group’s major sustainability-related initiatives also include the end of the multi-year ESG Reporting project launched in 2021, aimed at creating an integrated and transversal approach to the Group’s ESG Reporting able to address the new regulatory requirements and emerging best practices.</w:t>
      </w:r>
    </w:p>
    <w:p w14:paraId="18142E4B" w14:textId="4F0F5846" w:rsidR="00C450DE" w:rsidRDefault="00000000">
      <w:r>
        <w:t>In preparation for the new reporting under the European standards established by the Corporate Sustainability Reporting Directive</w:t>
      </w:r>
      <w:r w:rsidR="00931DA9">
        <w:t>,</w:t>
      </w:r>
      <w:r>
        <w:t>2024 saw the launch of the new CSRD project organised into 7 workstreams, which focused mainly on 62 On 13 January 2025, NZAMI launched a review of the initiative to ensure its appropriateness for the new global context.</w:t>
      </w:r>
    </w:p>
    <w:p w14:paraId="5940A5F9" w14:textId="77777777" w:rsidR="00C450DE" w:rsidRDefault="00000000">
      <w:r>
        <w:t>In addition, the Board of Directors reviews the quarterly reporting produced by the Steering Committee and the Group Control Coordination and Non-Financial Risks Committee.</w:t>
      </w:r>
    </w:p>
    <w:p w14:paraId="202C1A2D" w14:textId="77777777" w:rsidR="00C450DE" w:rsidRDefault="00000000">
      <w:r>
        <w:t xml:space="preserve">In particular, in line with the Bank’s growing commitment to social, cultural and environmental sustainability and with the aim of creating long-term value for its people, customers, the community and the environment, since 2021 this KPI has been included in the annual Incentive System for the Group’s Risk Takers and Middle Management and, in </w:t>
      </w:r>
      <w:r>
        <w:lastRenderedPageBreak/>
        <w:t>2024, it was assigned within the scorecards for the CEO and around 3,000 of the Group’s managers in Italy and abroad.</w:t>
      </w:r>
    </w:p>
    <w:p w14:paraId="56F4E638" w14:textId="77777777" w:rsidR="00C450DE" w:rsidRDefault="00000000">
      <w:r>
        <w:t>If the indicator is not achieved, the amount that would have been paid to employees will be invested by the Bank in ESG projects that contribute to the achievement of the ESG objectives concerned.</w:t>
      </w:r>
    </w:p>
    <w:p w14:paraId="0C30E330" w14:textId="1C98D0E6" w:rsidR="00C450DE" w:rsidRDefault="00000000">
      <w:r>
        <w:t>For both Plans, the sub-KPI referring to the Environmental component of the composite ESG KPI, which is given a weight of 40%63, relates to the new lending for the green</w:t>
      </w:r>
      <w:r w:rsidR="00931DA9">
        <w:t xml:space="preserve"> </w:t>
      </w:r>
      <w:r>
        <w:t>circular economy and green transition with a focus on supporting the transition of Corporates</w:t>
      </w:r>
      <w:r w:rsidR="00931DA9">
        <w:t xml:space="preserve"> </w:t>
      </w:r>
      <w:r>
        <w:t>SMEs.</w:t>
      </w:r>
    </w:p>
    <w:p w14:paraId="4A88710B" w14:textId="77777777" w:rsidR="00C450DE" w:rsidRDefault="00000000">
      <w:r>
        <w:t>The range of risks and opportunities related to climate change is analysed by the various corporate functions, in order to include them in the ordinary processes of risk identification, assessment and monitoring, in the Group’s credit strategies and commercial offering.</w:t>
      </w:r>
    </w:p>
    <w:p w14:paraId="6F658D35" w14:textId="77777777" w:rsidR="00C450DE" w:rsidRDefault="00000000">
      <w:r>
        <w:t>Economic policies and regulation Technology Market sentiment Preferences and expectations of consumers and investors Credit risks Credit risks increase if climate-related and environmental risks reduce the ability of borrowers to repay their debt income effect or the ability of banks to fully recover the value of a loan in the event of default wealth effect.</w:t>
      </w:r>
    </w:p>
    <w:p w14:paraId="25E71EC5" w14:textId="77777777" w:rsidR="00C450DE" w:rsidRDefault="00000000">
      <w:r>
        <w:t>Energy efficiency standards will, on the one hand, lead to high adaptation costs with possible strains on the profitability indicators and a consequent increase in PD.</w:t>
      </w:r>
    </w:p>
    <w:p w14:paraId="2E94306D" w14:textId="77777777" w:rsidR="00C450DE" w:rsidRDefault="00000000">
      <w:r>
        <w:t>The reference framework is the European regulatory framework and the guidelines are provided by the main supranational partnerships that guide financial institutions in the transition to Net-Zero.</w:t>
      </w:r>
    </w:p>
    <w:p w14:paraId="06129CAB" w14:textId="42880CDB" w:rsidR="00C450DE" w:rsidRDefault="00000000">
      <w:r>
        <w:t>Physical risks represent the negative financial impact from climate change, including more frequent extreme weather events and gradual climate change, as well as environmental degradation</w:t>
      </w:r>
      <w:r w:rsidR="00E0509E">
        <w:t>.</w:t>
      </w:r>
    </w:p>
    <w:p w14:paraId="13110226" w14:textId="77777777" w:rsidR="00C450DE" w:rsidRDefault="00000000">
      <w:r>
        <w:t>Air, water and soil pollution, water stress, biodiversity loss, and deforestation.</w:t>
      </w:r>
    </w:p>
    <w:p w14:paraId="0E8C1DDC" w14:textId="736E18EF" w:rsidR="00C450DE" w:rsidRDefault="00000000">
      <w:r>
        <w:t>Transition risks are the negative financial impacts that an institution may incur, directly or indirectly, as a result of the process of adjustment to a low-carbon and more environmentally sustainable economy, arising from,</w:t>
      </w:r>
      <w:r w:rsidR="00556F3E">
        <w:t xml:space="preserve"> </w:t>
      </w:r>
      <w:r>
        <w:t xml:space="preserve">public policy and legal risks, this category includes policies that attempt to limit actions that contribute to the negative effects of climate change or political actions that seek to promote adaptation to climate change and the legal risk arising from the inability of </w:t>
      </w:r>
      <w:proofErr w:type="spellStart"/>
      <w:r>
        <w:t>organisations</w:t>
      </w:r>
      <w:proofErr w:type="spellEnd"/>
      <w:r>
        <w:t xml:space="preserve"> to mitigate</w:t>
      </w:r>
      <w:r w:rsidR="00931DA9">
        <w:t xml:space="preserve"> </w:t>
      </w:r>
      <w:r>
        <w:t>adapt to climate change.</w:t>
      </w:r>
    </w:p>
    <w:p w14:paraId="30624149" w14:textId="77777777" w:rsidR="00C450DE" w:rsidRDefault="00000000">
      <w:r>
        <w:t>Climate change risk may be broken down in terms of its impact on financial risks through the relevant transmission channels.</w:t>
      </w:r>
    </w:p>
    <w:p w14:paraId="446F687C" w14:textId="02748156" w:rsidR="00C450DE" w:rsidRDefault="00000000">
      <w:r>
        <w:t>The above also applies in relation to the broader category and the transmission channels of environmental risks, where the main sources of risk for Intesa Sanpaolo’s counterparties and, consequently, for the Group arise from,</w:t>
      </w:r>
      <w:r w:rsidR="00556F3E">
        <w:t xml:space="preserve"> </w:t>
      </w:r>
      <w:r>
        <w:t xml:space="preserve">impacts on nature, changes in the state quality </w:t>
      </w:r>
      <w:r>
        <w:lastRenderedPageBreak/>
        <w:t>and quantity of natural capital caused by an organisation’s activities that may result in changes in nature’s ability to provide social and economic functions.</w:t>
      </w:r>
    </w:p>
    <w:p w14:paraId="01082428" w14:textId="0B29AC9B" w:rsidR="00C450DE" w:rsidRDefault="00000000">
      <w:r>
        <w:t>To this end, specific processes and responsibilities have been defined and set up to also identify, manage and monitor environmental</w:t>
      </w:r>
      <w:r w:rsidR="00931DA9">
        <w:t xml:space="preserve"> </w:t>
      </w:r>
      <w:r>
        <w:t xml:space="preserve">climate-related risks within the Group’s risk management framework, </w:t>
      </w:r>
      <w:proofErr w:type="gramStart"/>
      <w:r>
        <w:t>in order to</w:t>
      </w:r>
      <w:proofErr w:type="gramEnd"/>
      <w:r>
        <w:t xml:space="preserve"> ensure long-term solidity and business continuity, extending the benefits to the Group’s stakeholders.</w:t>
      </w:r>
    </w:p>
    <w:p w14:paraId="305FD478" w14:textId="278D3C08" w:rsidR="00C450DE" w:rsidRDefault="00000000">
      <w:proofErr w:type="gramStart"/>
      <w:r>
        <w:t>With regard to</w:t>
      </w:r>
      <w:proofErr w:type="gramEnd"/>
      <w:r>
        <w:t xml:space="preserve"> the identification and assessment of environmental </w:t>
      </w:r>
      <w:proofErr w:type="gramStart"/>
      <w:r>
        <w:t>risks in particular, the</w:t>
      </w:r>
      <w:proofErr w:type="gramEnd"/>
      <w:r>
        <w:t xml:space="preserve"> ESG risk governance framework includes,</w:t>
      </w:r>
      <w:r w:rsidR="00556F3E">
        <w:t xml:space="preserve"> </w:t>
      </w:r>
      <w:r>
        <w:t>a materiality analysis ESG</w:t>
      </w:r>
      <w:r w:rsidR="00931DA9">
        <w:t xml:space="preserve"> </w:t>
      </w:r>
      <w:r>
        <w:t>Climate Materiality Assessment, aimed at assessing the relevance of ESG risk factors with respect to different risk portfolios and categories, discussed below.</w:t>
      </w:r>
    </w:p>
    <w:p w14:paraId="6766D370" w14:textId="77777777" w:rsidR="00C450DE" w:rsidRDefault="00000000">
      <w:r>
        <w:t>In compliance with these guidelines, applied on a voluntary basis by Intesa Sanpaolo, transactions governed by the Equator Principles are subject to a specific analysis of the ESG risks related to the project and subsequent monitoring over the course of its implementation.</w:t>
      </w:r>
    </w:p>
    <w:p w14:paraId="6ECA5ED7" w14:textId="01660986" w:rsidR="00C450DE" w:rsidRDefault="00000000">
      <w:r>
        <w:t xml:space="preserve">These methods are tailored to the characteristics of the products and their classification under the SFDR Regulation and can be </w:t>
      </w:r>
      <w:proofErr w:type="spellStart"/>
      <w:r>
        <w:t>summarised</w:t>
      </w:r>
      <w:proofErr w:type="spellEnd"/>
      <w:r>
        <w:t xml:space="preserve"> into three Macro Strategies,</w:t>
      </w:r>
      <w:r w:rsidR="00556F3E">
        <w:t xml:space="preserve"> </w:t>
      </w:r>
      <w:r>
        <w:t xml:space="preserve">Negative screening, which involves the application of limits relating to issuers, operating in sectors considered not socially responsible SRI Binding screening and, </w:t>
      </w:r>
      <w:proofErr w:type="gramStart"/>
      <w:r>
        <w:t>critical,</w:t>
      </w:r>
      <w:r w:rsidR="00E0509E">
        <w:t>.</w:t>
      </w:r>
      <w:proofErr w:type="gramEnd"/>
    </w:p>
    <w:p w14:paraId="64A55CF5" w14:textId="77777777" w:rsidR="00C450DE" w:rsidRDefault="00000000">
      <w:r>
        <w:t>With a high exposure to sustainability risks ESG Binding screening.</w:t>
      </w:r>
    </w:p>
    <w:p w14:paraId="36EC10C6" w14:textId="7C2331D5" w:rsidR="00C450DE" w:rsidRDefault="00000000">
      <w:r>
        <w:t xml:space="preserve">These objectives are pursued through investment selection methodologies aimed </w:t>
      </w:r>
      <w:proofErr w:type="spellStart"/>
      <w:proofErr w:type="gramStart"/>
      <w:r>
        <w:t>at,</w:t>
      </w:r>
      <w:r w:rsidR="00931DA9">
        <w:t>,</w:t>
      </w:r>
      <w:proofErr w:type="gramEnd"/>
      <w:r>
        <w:t>contributing</w:t>
      </w:r>
      <w:proofErr w:type="spellEnd"/>
      <w:r>
        <w:t xml:space="preserve"> to sustainable development objectives through selection processes based on sustainable investment criteria pursuant to the SFDR SDG Investing.</w:t>
      </w:r>
    </w:p>
    <w:p w14:paraId="194C59BE" w14:textId="6977D561" w:rsidR="00C450DE" w:rsidRDefault="00000000">
      <w:r>
        <w:t xml:space="preserve">The company has adopted a proprietary score, called the </w:t>
      </w:r>
      <w:proofErr w:type="spellStart"/>
      <w:r>
        <w:t>Eurizon</w:t>
      </w:r>
      <w:proofErr w:type="spellEnd"/>
      <w:r>
        <w:t xml:space="preserve"> ESG Score, which integrates environmental, social and governance factors, as an additional assessment component supporting the investment decisions by the managers.</w:t>
      </w:r>
    </w:p>
    <w:p w14:paraId="211B9163" w14:textId="77777777" w:rsidR="00C450DE" w:rsidRDefault="00000000">
      <w:r>
        <w:t>The proprietary model consists of a comprehensive system of assessment differentiated according to, corporate issuers and, government issuers, through the analysis of specific KPIs that assess environmental, social and corporate governance components.</w:t>
      </w:r>
    </w:p>
    <w:p w14:paraId="39A541C1" w14:textId="77777777" w:rsidR="00C450DE" w:rsidRDefault="00000000">
      <w:r>
        <w:t>The Insurance Group’s efforts focus on expanding the product offering and developing investment options and services with sustainability features, through the placement of pension and insurance investment products and the addition of detailed information to the documentation provided to customers.</w:t>
      </w:r>
    </w:p>
    <w:p w14:paraId="13D86B33" w14:textId="17EEFA98" w:rsidR="00C450DE" w:rsidRDefault="00000000">
      <w:r>
        <w:t xml:space="preserve">Accordingly, in addition to the economic-financial and technical-organisational characteristics of each supplier, the supplier assessment process </w:t>
      </w:r>
      <w:proofErr w:type="gramStart"/>
      <w:r>
        <w:t>takes into account</w:t>
      </w:r>
      <w:proofErr w:type="gramEnd"/>
      <w:r>
        <w:t xml:space="preserve"> the checks on business ethics and respect for human rights, labour rights and the environment, based on the declarations made when completing specific questionnaires and</w:t>
      </w:r>
      <w:r w:rsidR="00931DA9">
        <w:t xml:space="preserve"> </w:t>
      </w:r>
      <w:r>
        <w:t xml:space="preserve">or the possession of </w:t>
      </w:r>
      <w:proofErr w:type="gramStart"/>
      <w:r>
        <w:t>particular certifications</w:t>
      </w:r>
      <w:proofErr w:type="gramEnd"/>
      <w:r>
        <w:t>.</w:t>
      </w:r>
    </w:p>
    <w:p w14:paraId="70952E15" w14:textId="77777777" w:rsidR="00C450DE" w:rsidRDefault="00000000">
      <w:r>
        <w:lastRenderedPageBreak/>
        <w:t>It follows that, in relation to specific product categories with a greater environmental or social impact, suppliers who fail to comply with the minimum requirements can be excluded from tenders.</w:t>
      </w:r>
    </w:p>
    <w:p w14:paraId="2615E26D" w14:textId="77777777" w:rsidR="00C450DE" w:rsidRDefault="00000000">
      <w:r>
        <w:t>With regard to the monitoring and reporting process, the ESG risk governance framework provides for quarterly reporting within the Group Tableau de Board for Risks.</w:t>
      </w:r>
    </w:p>
    <w:p w14:paraId="309C40BF" w14:textId="7B1E918A" w:rsidR="00C450DE" w:rsidRDefault="00000000">
      <w:r>
        <w:t>As discussed in point b of this section, Intesa Sanpaolo has developed a regulatory framework that provides for the definition, preparation and implementation of sectoral rules that limit credit operations in specific economic sectors</w:t>
      </w:r>
      <w:r w:rsidR="00931DA9">
        <w:t xml:space="preserve"> </w:t>
      </w:r>
      <w:proofErr w:type="spellStart"/>
      <w:r>
        <w:t>microsectors</w:t>
      </w:r>
      <w:proofErr w:type="spellEnd"/>
      <w:r>
        <w:t>.</w:t>
      </w:r>
    </w:p>
    <w:p w14:paraId="756CAE5C" w14:textId="77777777" w:rsidR="00C450DE" w:rsidRDefault="00000000">
      <w:r>
        <w:t>In addition, a prior assessment of the risk profiles is carried out for all transactions of particular relevance that could have a significant impact on the Bank’s risk profile for the purposes of reputational and ESG-Climate change risks.</w:t>
      </w:r>
    </w:p>
    <w:p w14:paraId="6569EA7E" w14:textId="77777777" w:rsidR="00C450DE" w:rsidRDefault="00000000">
      <w:r>
        <w:t>The pursuit of ESG objectives also includes an offering of sustainable products aimed at supporting customers in their process of transition to a more sustainable, low-carbon economy see point a of this section.</w:t>
      </w:r>
    </w:p>
    <w:p w14:paraId="2B55D358" w14:textId="77777777" w:rsidR="00C450DE" w:rsidRDefault="00000000">
      <w:r>
        <w:t>The prevention activities described above are accompanied by the dissemination of the principles of the Code of Ethics and the culture of sustainability in order to promote the reduction of the exposure to environmental risks.</w:t>
      </w:r>
    </w:p>
    <w:p w14:paraId="16999C35" w14:textId="77777777" w:rsidR="00C450DE" w:rsidRDefault="00000000">
      <w:r>
        <w:t>Sovereign issuers, Impact on real economy and financial system, coupled with social adjustments to support transition, may lead to higher costs for highemitting nations, which, in turn could impact their creditworthiness, solvency and the value of the financial instruments traded on the financial markets.</w:t>
      </w:r>
    </w:p>
    <w:p w14:paraId="1E0A4A70" w14:textId="77777777" w:rsidR="00C450DE" w:rsidRDefault="00000000">
      <w:r>
        <w:t>Sovereign issuers, Severe weather events, both acute and chronic may impact the real economy and financial systems, coupled with social adjustments to support businesses and population in case of physical climate events.</w:t>
      </w:r>
    </w:p>
    <w:p w14:paraId="0BD67279" w14:textId="6C454A38" w:rsidR="00C450DE" w:rsidRDefault="00000000">
      <w:r>
        <w:t xml:space="preserve">In particular, </w:t>
      </w:r>
      <w:proofErr w:type="gramStart"/>
      <w:r>
        <w:t>with regard to</w:t>
      </w:r>
      <w:proofErr w:type="gramEnd"/>
      <w:r>
        <w:t xml:space="preserve"> the transition risk on the most emission-intensive sectors of the Banking Book Oil &amp; Gas, Power Generation and Automotive, intermediate sector targets to 2030 have been set in the Business Plan</w:t>
      </w:r>
      <w:r w:rsidR="00556F3E">
        <w:t xml:space="preserve"> </w:t>
      </w:r>
      <w:r>
        <w:t>aligned to the Net-Zero target by 2050</w:t>
      </w:r>
      <w:r w:rsidR="00556F3E">
        <w:t xml:space="preserve"> </w:t>
      </w:r>
      <w:r>
        <w:t>subject to a transition plan in accordance with the NZBA guidance, to mitigate the potential future risk.</w:t>
      </w:r>
    </w:p>
    <w:p w14:paraId="3CF23FE2" w14:textId="77777777" w:rsidR="00C450DE" w:rsidRDefault="00000000">
      <w:r>
        <w:t>Specifically, intermediate sector targets for 2030 have been set within the Business Plan for the most emission-intensive sectors, subject to a transition plan for mitigating the potential future risk, in accordance with the recommendations of the NZBA.</w:t>
      </w:r>
    </w:p>
    <w:p w14:paraId="34899639" w14:textId="77777777" w:rsidR="00C450DE" w:rsidRDefault="00000000">
      <w:r>
        <w:t>The planned developments for 2025 will enable the integration of nature related metrics into the materiality assessments, enhancing the governance framework for ESG risks.</w:t>
      </w:r>
    </w:p>
    <w:p w14:paraId="1D54C95F" w14:textId="2F31DD53" w:rsidR="00C450DE" w:rsidRDefault="00000000">
      <w:r>
        <w:t>The RAF also identifies the main choices in terms of limitations and exclusions to lending to sectors</w:t>
      </w:r>
      <w:r w:rsidR="00931DA9">
        <w:t xml:space="preserve"> </w:t>
      </w:r>
      <w:r>
        <w:t>counterparties most exposed to ESG risks, which are then integrated into the self-regulatory policy and</w:t>
      </w:r>
      <w:r w:rsidR="00931DA9">
        <w:t xml:space="preserve"> </w:t>
      </w:r>
      <w:r>
        <w:t>or company processes.</w:t>
      </w:r>
    </w:p>
    <w:p w14:paraId="58BE11FC" w14:textId="72BC2C25" w:rsidR="00C450DE" w:rsidRDefault="00000000">
      <w:r>
        <w:lastRenderedPageBreak/>
        <w:t>In addition, all transactions with counterparties with significant environmental</w:t>
      </w:r>
      <w:r w:rsidR="00931DA9">
        <w:t xml:space="preserve"> </w:t>
      </w:r>
      <w:r>
        <w:t>climate-related risk elements</w:t>
      </w:r>
    </w:p>
    <w:p w14:paraId="0EC4CD89" w14:textId="77777777" w:rsidR="00C450DE" w:rsidRDefault="00000000">
      <w:r>
        <w:t>Top polluting companies are subject to the ESG &amp; Reputational Risk Clearing process, classified as Most Significant Transactions and therefore subject to an enhanced assessment and the binding opinion of the Chief Risk Officer.</w:t>
      </w:r>
    </w:p>
    <w:p w14:paraId="2F0DC435" w14:textId="3541EBCA" w:rsidR="00C450DE" w:rsidRDefault="00000000">
      <w:r>
        <w:t xml:space="preserve">The Group published the Rules on Biodiversity and Nature through which it governs its operations </w:t>
      </w:r>
      <w:proofErr w:type="gramStart"/>
      <w:r>
        <w:t>with regard to</w:t>
      </w:r>
      <w:proofErr w:type="gramEnd"/>
      <w:r>
        <w:t xml:space="preserve"> risks linked to biodiversity and ecosystems, setting specific limitation and exclusion criteria, refining risk assessment procedures, and encouraging sustainable financing aimed at maintaining or improving biodiversity and ecosystem services.</w:t>
      </w:r>
    </w:p>
    <w:p w14:paraId="3E2CEB03" w14:textId="063A8813" w:rsidR="00C450DE" w:rsidRDefault="00000000">
      <w:r>
        <w:t>This decision takes into account the fact that the impact of climate and environmental risks may be direct, for example due to lower earnings of companies or the reduction in value of assets, or indirect, for example due to legal actions legal risk or reputational damage that arises when the public, counterparties of the institution and</w:t>
      </w:r>
      <w:r w:rsidR="00931DA9">
        <w:t xml:space="preserve"> </w:t>
      </w:r>
      <w:r>
        <w:t>or investors associate the institution with adverse environmental effects reputational risk.</w:t>
      </w:r>
    </w:p>
    <w:p w14:paraId="5C40B00C" w14:textId="77777777" w:rsidR="00C450DE" w:rsidRDefault="00000000">
      <w:r>
        <w:t>Within the market risk management model, the assessment of exposure to ESG risks also involves stress tests to investigate the sensitivity of the portfolios to ESG risk factors and estimate the impact that those factors, particularly climate and environmental risks, may have on the actual risk level of the exposures.</w:t>
      </w:r>
    </w:p>
    <w:p w14:paraId="38AEB405" w14:textId="77777777" w:rsidR="00C450DE" w:rsidRDefault="00000000">
      <w:r>
        <w:t>With regard to liquidity risk, significant climate and environmental risks may lead to an increase in net cash outflows or erode available liquidity reserves.</w:t>
      </w:r>
    </w:p>
    <w:p w14:paraId="213D00BB" w14:textId="77777777" w:rsidR="00C450DE" w:rsidRDefault="00000000">
      <w:r>
        <w:t>In the assessment of the various scenarios, including stress scenarios, on the timing of inflows and outflows and the quantitative and qualitative adequacy of liquidity buffers, attention is also devoted to analysing the impact of climate and environmental risk factors that could compromise the liquidity positions on a forward-looking basis over a medium-term time horizon.</w:t>
      </w:r>
    </w:p>
    <w:p w14:paraId="3C51C267" w14:textId="77777777" w:rsidR="00C450DE" w:rsidRDefault="00000000">
      <w:r>
        <w:t>The operational losses identified in relation to climate and environmental risks, together with the results in terms of expected loss and VaR of the Self-Diagnosis of the assessment of the possible impacts of those risks, contribute to the calculation of the capital requirement at individual and consolidated Group level, using an advanced approach, and are included in the operational risk reporting periodically submitted to the Group Control Coordination and Non-Financial Risks Committee.</w:t>
      </w:r>
    </w:p>
    <w:p w14:paraId="279BB34D" w14:textId="53B77E73" w:rsidR="00C450DE" w:rsidRDefault="00000000">
      <w:r>
        <w:t>The Group also monitors its web and press reputation by integrating specific assessments of events related to environmental risks</w:t>
      </w:r>
      <w:r w:rsidR="00931DA9">
        <w:t xml:space="preserve"> </w:t>
      </w:r>
      <w:r>
        <w:t>climate change</w:t>
      </w:r>
    </w:p>
    <w:p w14:paraId="1B3A4833" w14:textId="77777777" w:rsidR="00C450DE" w:rsidRDefault="00000000">
      <w:r>
        <w:t>Events resulting from protests or adverse campaigns arising from the Bank’s lending activities.</w:t>
      </w:r>
    </w:p>
    <w:p w14:paraId="25F07AFC" w14:textId="77777777" w:rsidR="00C450DE" w:rsidRDefault="00000000">
      <w:r>
        <w:lastRenderedPageBreak/>
        <w:t>With regard to direct environmental risks, in view of the increasing strategic significance of the issue of CO2 emissions, in 2022 Intesa Sanpaolo drew up a new plan, called the Own Emissions Plan, which sets a 2030 Carbon Neutrality target for own emissions through energy efficiency measures and greater use of energy from renewable sources and the purchase of carbon credits for the residual emissions.</w:t>
      </w:r>
    </w:p>
    <w:p w14:paraId="15AAE0B4" w14:textId="77777777" w:rsidR="00C450DE" w:rsidRDefault="00000000">
      <w:r>
        <w:t>Intesa Sanpaolo is also committed to analysing and containing possible risks on its properties, as well as taking swift action to deal with any environmental emergencies that may arise.</w:t>
      </w:r>
    </w:p>
    <w:p w14:paraId="577B13FC" w14:textId="77777777" w:rsidR="00C450DE" w:rsidRDefault="00000000">
      <w:r>
        <w:t>Reporting to the latter is the Intesa Sanpaolo for Social Impact structure, which ensures the governance, strategic direction, coordination, and monitoring of the social activities conducted by the Group.</w:t>
      </w:r>
    </w:p>
    <w:p w14:paraId="39B4D8CB" w14:textId="77777777" w:rsidR="00C450DE" w:rsidRDefault="00000000">
      <w:r>
        <w:t>At the end of 2024, in support of the implementation of the Social Action Plan, which identifies the lines of action for the achievement of the Group’s social objectives, the Intesa Sanpaolo for Social Impact Observatory was set up, which is tasked with analysing and monitoring the main current and emerging social scenarios, trends and needs, also in order to guide the Bank's social action.</w:t>
      </w:r>
    </w:p>
    <w:p w14:paraId="69EDAF32" w14:textId="77777777" w:rsidR="00C450DE" w:rsidRDefault="00000000">
      <w:r>
        <w:t>To increase the knowledge and skills that corporate customers require in this area, a project has been developed that involves both a dedicated online platform and custom designed training and support programmes, taking advantage of internal skills and external partnerships.</w:t>
      </w:r>
    </w:p>
    <w:p w14:paraId="5E670DFE" w14:textId="77777777" w:rsidR="00C450DE" w:rsidRDefault="00000000">
      <w:r>
        <w:t>Intesa Sanpaolo-Digit’Ed joint training programmes are also available to corporate customers, with a particular focus on ESG issues, accessible remotely and through virtual classrooms.</w:t>
      </w:r>
    </w:p>
    <w:p w14:paraId="3290BAA4" w14:textId="77777777" w:rsidR="00C450DE" w:rsidRDefault="00000000">
      <w:r>
        <w:t>The Board of Directors is also responsible for approving the Group’s Code of Ethics and Code of Conduct.</w:t>
      </w:r>
    </w:p>
    <w:p w14:paraId="7554F899" w14:textId="77777777" w:rsidR="00C450DE" w:rsidRDefault="00000000">
      <w:r>
        <w:t>To give concrete expression to the commitments and values set out in the Code of Ethics, the Group applies Principles on Human Rights, as approved by the Board of Directors, which take up and develop the values set out in the Group Code of Ethics.</w:t>
      </w:r>
    </w:p>
    <w:p w14:paraId="57D1E94F" w14:textId="77777777" w:rsidR="00C450DE" w:rsidRDefault="00000000">
      <w:r>
        <w:t>The protection of workers’ rights, including those along the supply chain, and of human rights is guaranteed by compliance with the general principles set out in the Code of Ethics and with the Principles on Human Rights.</w:t>
      </w:r>
    </w:p>
    <w:p w14:paraId="2AF072E9" w14:textId="77777777" w:rsidR="00C450DE" w:rsidRDefault="00000000">
      <w:r>
        <w:t>With regard to the community impact, the Articles of Association grant to the Board of Directors of Intesa Sanpaolo, among other things, the power to intervene with donations within the framework of an annual plan of interventions to support worthy initiatives, in the event of emergency events or to support specific situations in the local territory.</w:t>
      </w:r>
    </w:p>
    <w:p w14:paraId="5B76BD5D" w14:textId="221FBB76" w:rsidR="00C450DE" w:rsidRDefault="00000000">
      <w:r>
        <w:t xml:space="preserve">F Lines of reporting and frequency of reporting relating to social risk Within the ESG risk processes and monitoring, the Chief Risk Officer reports quarterly to the Risks and </w:t>
      </w:r>
      <w:r>
        <w:lastRenderedPageBreak/>
        <w:t>Sustainability Committee on the portfolio exposure to sectors exposed to ESG and climate-related risks, as part of the Tableau de Bord for the Group’s risks, as detailed in point l of the section Qualitative information on environmental risk.</w:t>
      </w:r>
    </w:p>
    <w:p w14:paraId="754B86C7" w14:textId="11857D21" w:rsidR="00C450DE" w:rsidRDefault="00000000">
      <w:r>
        <w:t>In particular, in line with the Bank’s growing commitment to social, cultural and environmental sustainability and its goal of creating long-term value for its people, customers, the community and the environment, since 2021 this KPI</w:t>
      </w:r>
      <w:r w:rsidR="00556F3E">
        <w:t xml:space="preserve"> </w:t>
      </w:r>
      <w:r>
        <w:t>which represents an evolution from the previous transversal Diversity &amp; Inclusion KPI assigned from 2018</w:t>
      </w:r>
      <w:r w:rsidR="00556F3E">
        <w:t xml:space="preserve"> </w:t>
      </w:r>
      <w:r>
        <w:t>has been included in the annual Incentive System for the Group’s Risk Takers and Middle Management and, in 2024, it was assigned within the scorecards for the CEO and around 3,000 of the Group’s managers in Italy and abroad.</w:t>
      </w:r>
    </w:p>
    <w:p w14:paraId="6D7E7301" w14:textId="77777777" w:rsidR="00C450DE" w:rsidRDefault="00000000">
      <w:r>
        <w:t>The internal regulatory framework has been developed in order to implement the principles and values set out in the Code of Ethics.</w:t>
      </w:r>
    </w:p>
    <w:p w14:paraId="270EF12A" w14:textId="77777777" w:rsidR="00C450DE" w:rsidRDefault="00000000">
      <w:r>
        <w:t>For example, in the 2022-2025 Business Plan Intesa Sanpaolo has committed to providing 25 billion euro in social lending over the entire period.</w:t>
      </w:r>
    </w:p>
    <w:p w14:paraId="03469F38" w14:textId="216D6C64" w:rsidR="00C450DE" w:rsidRDefault="00000000">
      <w:r>
        <w:t>The strategic guidelines and policies on sustainability</w:t>
      </w:r>
      <w:r w:rsidR="00931DA9">
        <w:t xml:space="preserve"> </w:t>
      </w:r>
      <w:r>
        <w:t xml:space="preserve">ESG are approved by the Board of Directors, with the support of the Risks and Sustainability Committee, </w:t>
      </w:r>
      <w:proofErr w:type="gramStart"/>
      <w:r>
        <w:t>taking into account</w:t>
      </w:r>
      <w:proofErr w:type="gramEnd"/>
      <w:r>
        <w:t xml:space="preserve"> the objectives of solid and sustainable value creation and distribution for all stakeholders.</w:t>
      </w:r>
    </w:p>
    <w:p w14:paraId="4756DB58" w14:textId="36675098" w:rsidR="00C450DE" w:rsidRDefault="00000000">
      <w:r>
        <w:t>More information on the committees can be found in the section Qualitative information on environmental risk in points e and g.</w:t>
      </w:r>
    </w:p>
    <w:p w14:paraId="6A299B0E" w14:textId="2F410853" w:rsidR="00C450DE" w:rsidRDefault="00000000">
      <w:r>
        <w:t>In line with the paradigm of sustainable economic development, the environmental, social or governance factors of an economic activity can have a positive opportunities or negative risk factors impact on the economic</w:t>
      </w:r>
      <w:r w:rsidR="00931DA9">
        <w:t xml:space="preserve"> </w:t>
      </w:r>
      <w:r>
        <w:t>financial performance or solvency of a counterparty, the environment and the community in relation to specific transmission channels.</w:t>
      </w:r>
    </w:p>
    <w:p w14:paraId="592E61FE" w14:textId="348BAFEF" w:rsidR="00C450DE" w:rsidRDefault="00000000">
      <w:r>
        <w:t>More information on the assessment of ESG risk factors is available in the section Qualitative information on governance risk in point d.</w:t>
      </w:r>
    </w:p>
    <w:p w14:paraId="63723B6B" w14:textId="284B704B" w:rsidR="00C450DE" w:rsidRDefault="00000000">
      <w:r>
        <w:t>In addition, as already noted in the Risk management point l of the section Qualitative information on environmental risk, the governance dimension is an integral part of the counterparty ESG score and the ESG sectoral assessment.</w:t>
      </w:r>
    </w:p>
    <w:p w14:paraId="305E5229" w14:textId="77777777" w:rsidR="00C450DE" w:rsidRDefault="00000000">
      <w:r>
        <w:t>The internal counterparty ESG score uses information from specialist external info-providers, with regard to the governance aspects of large companies that publish a CNFS, which has been replaced from 2025 by the Consolidated Sustainability Statement with for the reporting for the year 2024.</w:t>
      </w:r>
    </w:p>
    <w:p w14:paraId="2D82C404" w14:textId="12E20B93" w:rsidR="00C450DE" w:rsidRDefault="00000000">
      <w:r>
        <w:t xml:space="preserve">The disclosure is accompanied by information on </w:t>
      </w:r>
      <w:proofErr w:type="gramStart"/>
      <w:r>
        <w:t>environmentally-sustainable</w:t>
      </w:r>
      <w:proofErr w:type="gramEnd"/>
      <w:r>
        <w:t xml:space="preserve"> exposures in terms of climate change mitigation or enabling mitigation, in accordance with Articles 10 and 16 of Regulation No 2020</w:t>
      </w:r>
      <w:r w:rsidR="00931DA9">
        <w:t xml:space="preserve"> </w:t>
      </w:r>
      <w:r>
        <w:t>852, and on companies that are excluded from the EU Paris-aligned benchmarks as specified in Article 121d to g and Article 12, of Delegated Regulation 2020</w:t>
      </w:r>
      <w:r w:rsidR="00931DA9">
        <w:t xml:space="preserve"> </w:t>
      </w:r>
      <w:r>
        <w:t>1818.</w:t>
      </w:r>
    </w:p>
    <w:p w14:paraId="0CA68E1F" w14:textId="77777777" w:rsidR="00C450DE" w:rsidRDefault="00000000">
      <w:r>
        <w:lastRenderedPageBreak/>
        <w:t>To this end, information was used on the alignment of the counterparty’s activities with environmental objectives provided by external providers.</w:t>
      </w:r>
    </w:p>
    <w:p w14:paraId="6CA6E55E" w14:textId="77777777" w:rsidR="00C450DE" w:rsidRDefault="00000000">
      <w:r>
        <w:t>To date, the Scope 3 financed emissions estimation approach for the other sectors is not considered sufficiently robust mainly due to the scarcity of data.</w:t>
      </w:r>
    </w:p>
    <w:p w14:paraId="59BA4A7F" w14:textId="77777777" w:rsidR="00C450DE" w:rsidRDefault="00000000">
      <w:r>
        <w:t>Compared to June 2024, there was an increase in financed emissions due to a methodological refinement in the estimation of the emissions, which affected the international banks division, when not attributable to an increase in exposure.</w:t>
      </w:r>
    </w:p>
    <w:p w14:paraId="5AC8D402" w14:textId="77777777" w:rsidR="00C450DE" w:rsidRDefault="00000000">
      <w:r>
        <w:t>The exposure includes positions that differ from those in the target setting, whose scoping is directly linked to the identification of processes on which the counterparties can act to reduce their emissions and achieve the targets set.</w:t>
      </w:r>
    </w:p>
    <w:p w14:paraId="657A43D1" w14:textId="77777777" w:rsidR="00C450DE" w:rsidRDefault="00000000">
      <w:r>
        <w:t>Thanks to the collaboration with Influence Map, the Climate Accountability Institute has updated the Carbon Majors76 list to 2022 and is committed to the annual update.</w:t>
      </w:r>
    </w:p>
    <w:p w14:paraId="1E8882C4" w14:textId="77777777" w:rsidR="00C450DE" w:rsidRDefault="00000000">
      <w:r>
        <w:t>Both Templates show a slight decrease in the exposure subject to chronic physical risk and to both chronic and acute physical risk, while there is a small increase in the exposure sensitive to the impact of acute events related to climate change.</w:t>
      </w:r>
    </w:p>
    <w:p w14:paraId="760D6ADF" w14:textId="24177AA2" w:rsidR="00C450DE" w:rsidRDefault="00000000">
      <w:r>
        <w:t>In accordance with the provisions of the regulations, and as specified in the clarifications published by the European Commission concerning how the reported indicators are calculated, the following is noted in general,</w:t>
      </w:r>
      <w:r w:rsidR="00556F3E">
        <w:t xml:space="preserve"> </w:t>
      </w:r>
      <w:r>
        <w:t>exposures to financial and non-financial counterparties with use of proceeds not known have been weighted according to the taxonomy-eligible and taxonomy-aligned turnover indicators against the environmental objectives of climate change mitigation and climate change adaptation published by those counterparties in their Non-Financial Statements actual data81 and obtained by Intesa Sanpaolo through a specialist infoprovider.</w:t>
      </w:r>
    </w:p>
    <w:p w14:paraId="7BC9ECC3" w14:textId="77777777" w:rsidR="00C450DE" w:rsidRDefault="00000000">
      <w:r>
        <w:t>Management is also responsible for such internal controls as it determines is necessary to enable the preparation of a Pillar 3 disclosure that is free from material misstatement, whether due to fraud or error.</w:t>
      </w:r>
    </w:p>
    <w:p w14:paraId="0C8CE982" w14:textId="77777777" w:rsidR="00C450DE" w:rsidRDefault="00000000">
      <w:r>
        <w:t>Our firm applies International Standard on Quality Management 1 ISQM Italia 1 and, accordingly, maintains a comprehensive system of quality control including documented policies and procedures regarding compliance with ethical requirements, professional standards and applicable legal and regulatory requirements.</w:t>
      </w:r>
    </w:p>
    <w:sectPr w:rsidR="00C450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685791031">
    <w:abstractNumId w:val="8"/>
  </w:num>
  <w:num w:numId="2" w16cid:durableId="1546679406">
    <w:abstractNumId w:val="6"/>
  </w:num>
  <w:num w:numId="3" w16cid:durableId="59641897">
    <w:abstractNumId w:val="5"/>
  </w:num>
  <w:num w:numId="4" w16cid:durableId="2119059996">
    <w:abstractNumId w:val="4"/>
  </w:num>
  <w:num w:numId="5" w16cid:durableId="2064405397">
    <w:abstractNumId w:val="7"/>
  </w:num>
  <w:num w:numId="6" w16cid:durableId="329410953">
    <w:abstractNumId w:val="3"/>
  </w:num>
  <w:num w:numId="7" w16cid:durableId="2066558666">
    <w:abstractNumId w:val="2"/>
  </w:num>
  <w:num w:numId="8" w16cid:durableId="652949171">
    <w:abstractNumId w:val="1"/>
  </w:num>
  <w:num w:numId="9" w16cid:durableId="41336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1D2"/>
    <w:rsid w:val="004C589D"/>
    <w:rsid w:val="004F5755"/>
    <w:rsid w:val="00556F3E"/>
    <w:rsid w:val="00764EE2"/>
    <w:rsid w:val="007838A7"/>
    <w:rsid w:val="00931DA9"/>
    <w:rsid w:val="009C18C5"/>
    <w:rsid w:val="009E0F20"/>
    <w:rsid w:val="00A77559"/>
    <w:rsid w:val="00AA1D8D"/>
    <w:rsid w:val="00AD0014"/>
    <w:rsid w:val="00B47730"/>
    <w:rsid w:val="00C450DE"/>
    <w:rsid w:val="00C6494E"/>
    <w:rsid w:val="00CB0664"/>
    <w:rsid w:val="00E0509E"/>
    <w:rsid w:val="00F75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A8B21"/>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35</Pages>
  <Words>14768</Words>
  <Characters>84181</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12</cp:revision>
  <dcterms:created xsi:type="dcterms:W3CDTF">2013-12-23T23:15:00Z</dcterms:created>
  <dcterms:modified xsi:type="dcterms:W3CDTF">2025-08-03T13:25:00Z</dcterms:modified>
  <cp:category/>
</cp:coreProperties>
</file>