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9276" w14:textId="77777777" w:rsidR="00EA1DF6" w:rsidRDefault="00000000">
      <w:r>
        <w:t>Save in accordance with the applicable regulatory framework, the Bank does not assume any obligation to update forecasts and estimates, when new and updated information, future events and other facts become available.</w:t>
      </w:r>
    </w:p>
    <w:p w14:paraId="0094987B" w14:textId="60AC5AAC" w:rsidR="00EA1DF6" w:rsidRDefault="00000000">
      <w:r>
        <w:t xml:space="preserve">The quantitative information included with reference to ESG risk has been established </w:t>
      </w:r>
      <w:proofErr w:type="gramStart"/>
      <w:r>
        <w:t>on the basis of</w:t>
      </w:r>
      <w:proofErr w:type="gramEnd"/>
      <w:r>
        <w:t xml:space="preserve"> the best estimates currently available, which will be subject to amendment based on changes in the regulations and</w:t>
      </w:r>
      <w:r w:rsidR="00FD3426">
        <w:t xml:space="preserve"> </w:t>
      </w:r>
      <w:r>
        <w:t>or classification of environmentally sustainable activities by the Mediobanca Group, and on fine-tuning of the calculation methodologies applied to date.</w:t>
      </w:r>
    </w:p>
    <w:p w14:paraId="5FAA5177" w14:textId="798B13FA" w:rsidR="00EA1DF6" w:rsidRDefault="00000000">
      <w:r>
        <w:t xml:space="preserve">In so doing, the Committee has maintained the approach based on three </w:t>
      </w:r>
      <w:proofErr w:type="spellStart"/>
      <w:r>
        <w:t>Pillarsthat</w:t>
      </w:r>
      <w:proofErr w:type="spellEnd"/>
      <w:r>
        <w:t xml:space="preserve"> underpinned the previous capital accord known as Basel II”, adding to it and reinforcing it </w:t>
      </w:r>
      <w:proofErr w:type="gramStart"/>
      <w:r>
        <w:t>in order to</w:t>
      </w:r>
      <w:proofErr w:type="gramEnd"/>
      <w:r>
        <w:t xml:space="preserve"> increase the quantity and quality of intermediaries’ capital, and introducing anti-cyclical supervisory instruments, and regulations on liquidity risk management and on containing financial leverage.</w:t>
      </w:r>
    </w:p>
    <w:p w14:paraId="24043792" w14:textId="77777777" w:rsidR="00EA1DF6" w:rsidRDefault="00000000">
      <w:r>
        <w:t>The contents of the disclosure, to be provided on a halfyearly basis and subject to a phase-in period lasting until 2024, involve qualitative information on environmental, social and governance risks, quantitative information on climate change transition risk, quantitative information on climate change physical risk, and quantitative information and KPIs regarding the climate change mitigation measures implemented, including the Green Asset Ratio.</w:t>
      </w:r>
    </w:p>
    <w:p w14:paraId="09DF7B19" w14:textId="6CC4682E" w:rsidR="00EA1DF6" w:rsidRDefault="00000000">
      <w:r>
        <w:t>Within the framework of the risk governance system implemented by Mediobanca S</w:t>
      </w:r>
      <w:r w:rsidR="00B42848">
        <w:t xml:space="preserve">, </w:t>
      </w:r>
      <w:r>
        <w:t>the following managerial committees have specific responsibilities in the processes of taking, managing, measuring and controlling risks, the Group Risk Management committee, which is tasked with addressing all risks at Group level excluding conduct risk.</w:t>
      </w:r>
    </w:p>
    <w:p w14:paraId="5D821BA3" w14:textId="77777777" w:rsidR="00EA1DF6" w:rsidRDefault="00000000">
      <w:r>
        <w:t>As required by the prudential regulations, the formalization of risk objectives, through definition of the RAF, which are consistent with the maximum risk that can be taken, the business model and strategic guidance, is a key factor in establishing a risk governance policy and internal controls system with the objective of enhancing the Bank’s capability in terms of governing its own company risks, and also ensuring sustainable growth over the medium and long term.</w:t>
      </w:r>
    </w:p>
    <w:p w14:paraId="636B26D6" w14:textId="77777777" w:rsidR="00EA1DF6" w:rsidRDefault="00000000">
      <w:r>
        <w:t>In this connection, the Group has developed a Risk Appetite Framework governance model which identifies the roles and responsibilities of the corporate bodies and units involved, with co-ordination mechanisms instituted to ensure the risk appetite is suitably bedded into the management processes.</w:t>
      </w:r>
    </w:p>
    <w:p w14:paraId="20BDCBCB" w14:textId="77777777" w:rsidR="00EA1DF6" w:rsidRDefault="00000000">
      <w:r>
        <w:t>For each pillar analysed, the risk assumed is set against a system of objectives and limits representative of the regulatory restrictions and the Group’s general attitude towards risk, as defined in accordance with the strategic planning, ICAAP and risk management processes.</w:t>
      </w:r>
    </w:p>
    <w:p w14:paraId="2C3FDB60" w14:textId="00CE1E82" w:rsidR="00EA1DF6" w:rsidRDefault="00000000">
      <w:r>
        <w:lastRenderedPageBreak/>
        <w:t>In addition to identifying and setting risk appetite parameters, Mediobanca also governs the mechanisms regulating the governance and processes for establishing and implementing the RAF, in terms of updating</w:t>
      </w:r>
      <w:r w:rsidR="00FD3426">
        <w:t xml:space="preserve"> </w:t>
      </w:r>
      <w:r>
        <w:t>revising it, monitoring, and escalating reporting to the Committees and corporate bodies.</w:t>
      </w:r>
    </w:p>
    <w:p w14:paraId="28CFC74C" w14:textId="77777777" w:rsidR="00EA1DF6" w:rsidRDefault="00000000">
      <w:r>
        <w:t>Transition risk is defined as an institution’s financial loss that can result, directly or indirectly, from the process of adjustment towards a lower carbon and more environmentally sustainable economy.</w:t>
      </w:r>
    </w:p>
    <w:p w14:paraId="461D64C8" w14:textId="6C37F41B" w:rsidR="00EA1DF6" w:rsidRDefault="00000000">
      <w:r>
        <w:t>In view of the recognized increase in the relevance of certain classes of operational risk, including IT &amp; cyber risk, third party</w:t>
      </w:r>
      <w:r w:rsidR="00FD3426">
        <w:t xml:space="preserve"> </w:t>
      </w:r>
      <w:r>
        <w:t>outsourcing risk and fraud risk, a Non-Financial Risk Management project is being implemented with a view to developing further specific frameworks for analysing, monitoring and mitigating each instance of risk, while at the same time maintaining a global vision.</w:t>
      </w:r>
    </w:p>
    <w:p w14:paraId="32A1B236" w14:textId="651B1B22" w:rsidR="00EA1DF6" w:rsidRDefault="00000000">
      <w:r>
        <w:t>Interest rate risk management is organized centrally at Mediobanca S</w:t>
      </w:r>
      <w:r w:rsidR="007E48EF">
        <w:t xml:space="preserve">, </w:t>
      </w:r>
      <w:r>
        <w:t>which defines the Group’s strategy and the guidelines with which the Group’s legal entities must comply.</w:t>
      </w:r>
    </w:p>
    <w:p w14:paraId="003E9D69" w14:textId="4816D77F" w:rsidR="00EA1DF6" w:rsidRDefault="00000000">
      <w:r>
        <w:t>The objective is to manage the Group’s interest rate risk centrally, with a view to optimizing the balance sheet’s risk</w:t>
      </w:r>
      <w:r w:rsidR="00FD3426">
        <w:t xml:space="preserve"> </w:t>
      </w:r>
      <w:r>
        <w:t>return profile through on-balance sheet business policy and off-balance-sheet derivatives transactions through the following actions, Transfer of risks to the ALM governance centre by the individual Group companies and the various business units of Mediobanca S.</w:t>
      </w:r>
    </w:p>
    <w:p w14:paraId="7D2965CF" w14:textId="678A57E0" w:rsidR="00EA1DF6" w:rsidRDefault="00000000">
      <w:r>
        <w:t xml:space="preserve">As stated previously, in calculating the interest rate risk on the trading book, the Group applies the </w:t>
      </w:r>
      <w:proofErr w:type="gramStart"/>
      <w:r>
        <w:t>duration based</w:t>
      </w:r>
      <w:proofErr w:type="gramEnd"/>
      <w:r>
        <w:t xml:space="preserve"> approach”, CRR, Article 340, </w:t>
      </w:r>
      <w:proofErr w:type="gramStart"/>
      <w:r>
        <w:t>in order to</w:t>
      </w:r>
      <w:proofErr w:type="gramEnd"/>
      <w:r>
        <w:t xml:space="preserve"> ensure that the capital estimation methodology is aligned to both the operating metrics and the imminent regulatory changes due to be introduced in the new future CRR III and Fundamental Review del Trading Book.</w:t>
      </w:r>
    </w:p>
    <w:p w14:paraId="3833BDE6" w14:textId="77777777" w:rsidR="00EA1DF6" w:rsidRDefault="00000000">
      <w:r>
        <w:t>Equally, the inclusion of the minor entities among the companies consolidated on a net equity basis drove an increase of €20.</w:t>
      </w:r>
    </w:p>
    <w:p w14:paraId="5398331C" w14:textId="0DDDD480" w:rsidR="00EA1DF6" w:rsidRDefault="00000000">
      <w:r>
        <w:t xml:space="preserve">In a situation such as this, changes can be made at the client’s initiative or on a preventative basis with a view to maintaining the relationship with the client by improving the commercial terms offered, without having to forfeit a satisfactory return on the risk taken and in compliance with the general strategic objectives set </w:t>
      </w:r>
      <w:r w:rsidR="00CB79C9">
        <w:t>i</w:t>
      </w:r>
      <w:r>
        <w:t>n terms of target customers.</w:t>
      </w:r>
    </w:p>
    <w:p w14:paraId="10ED9902" w14:textId="77777777" w:rsidR="00EA1DF6" w:rsidRDefault="00000000">
      <w:r>
        <w:t>Credit monitoring Credit Risk Management is responsible for constantly updating the assessment of Corporate credit standing as expressed in the counterparties’ rating.</w:t>
      </w:r>
    </w:p>
    <w:p w14:paraId="0613A16B" w14:textId="77777777" w:rsidR="00EA1DF6" w:rsidRDefault="00000000">
      <w:r>
        <w:t>In accordance with the internal regulatory framework which Mediobanca Premier has put in place, the renegotiation of the loan is considered forborne even if there is no objective state of financial difficulties, for this may be assumed if the position shows a high risk rating in the last 12 months.</w:t>
      </w:r>
    </w:p>
    <w:p w14:paraId="3A24487C" w14:textId="77777777" w:rsidR="00EA1DF6" w:rsidRDefault="00000000">
      <w:r>
        <w:lastRenderedPageBreak/>
        <w:t>ICAAP and Risk Appetite Framework As part of the stress testing, which is an integral component of the ICAAP process, Risk Management applies risk parameters derived from the regulatory parameters through the application of satellite models.</w:t>
      </w:r>
    </w:p>
    <w:p w14:paraId="1CFD82E2" w14:textId="77777777" w:rsidR="00EA1DF6" w:rsidRDefault="00000000">
      <w:r>
        <w:t>The EBA Guidelines also provide for a phase-in period until June 2024 for some of the information that is more complex in terms of data collection and risk measurement methodology, such as reporting Scope 3 emissions and Portfolio Alignment.</w:t>
      </w:r>
    </w:p>
    <w:p w14:paraId="50422B4C" w14:textId="4FF13391" w:rsidR="00EA1DF6" w:rsidRDefault="00000000">
      <w:r>
        <w:t xml:space="preserve">Therefore, for this disclosure, a total of eight templates are required by the regulations, containing information </w:t>
      </w:r>
      <w:r w:rsidR="00CE26BE">
        <w:t>o</w:t>
      </w:r>
      <w:r>
        <w:t>n GHG emissions provided on a best-efforts basis, which will become mandatory according to the phase-in procedure referred to above not before 30 June 2024.</w:t>
      </w:r>
    </w:p>
    <w:p w14:paraId="1583DFE6" w14:textId="77777777" w:rsidR="00EA1DF6" w:rsidRDefault="00000000">
      <w:r>
        <w:t>With reference to sustainability issues and topics related to climate change or ESG issues in general, the Board of Directors approves the company’s ESG Strategy and monitors its application, and defines and approves the strategic guidelines on risk taking, risk governance policies, and overall risk objectives, including climate and environmental risk.</w:t>
      </w:r>
    </w:p>
    <w:p w14:paraId="7F31337F" w14:textId="415A2888" w:rsidR="00EA1DF6" w:rsidRDefault="00000000">
      <w:r>
        <w:t>In this area, the Committee is responsible for prior analysis of sustainability issues, and for compiling proposals to be submitted to the approval of the Board of Directors, including the CSR policies, the Consolidated Non-Financial Statement the CNFS”, and the ESG strategy, at the CEO’s proposal.</w:t>
      </w:r>
    </w:p>
    <w:p w14:paraId="1D919124" w14:textId="77777777" w:rsidR="00EA1DF6" w:rsidRDefault="00000000">
      <w:r>
        <w:t>It also organizes and runs training sessions on ESG issues, in conjunction with Group Sustainability, to promote a corporate culture on these issues.</w:t>
      </w:r>
    </w:p>
    <w:p w14:paraId="7479CB3F" w14:textId="77777777" w:rsidR="00EA1DF6" w:rsidRDefault="00000000">
      <w:r>
        <w:t>The units involved in the internal control framework for environmental risk in particular are as follows, First line of defence The front office teams contribute to defining the ESG strategy with a view to identifying possible business opportunities in the ESG space.</w:t>
      </w:r>
    </w:p>
    <w:p w14:paraId="7F77206D" w14:textId="77777777" w:rsidR="00EA1DF6" w:rsidRDefault="00000000">
      <w:r>
        <w:t>In conjunction with Risk Management and Group Sustainability, they also analyse lending counterparties’ ESG transition plans, and pursue a policy of active engagement to promote the adoption of business models that are compatible with reaching the Paris Agreement objectives.</w:t>
      </w:r>
    </w:p>
    <w:p w14:paraId="1823EF0F" w14:textId="457597D5" w:rsidR="00EA1DF6" w:rsidRDefault="00000000">
      <w:r>
        <w:t xml:space="preserve">In this connection </w:t>
      </w:r>
      <w:r w:rsidR="009D4863">
        <w:t>it h</w:t>
      </w:r>
      <w:r>
        <w:t>andles relations with the supervisory authorities, in particular in terms of liaising with the JST, and monitors the external regulations and best practices on ESG issues for risk management areas.</w:t>
      </w:r>
    </w:p>
    <w:p w14:paraId="3596D6DC" w14:textId="77777777" w:rsidR="00EA1DF6" w:rsidRDefault="00000000">
      <w:r>
        <w:t>In this connection, the Group Risk Management area defines the ESG metrics and data, with the support of the CFO area, used to perform the stress tests, and prepares the relevant internal reporting.</w:t>
      </w:r>
    </w:p>
    <w:p w14:paraId="76BD898A" w14:textId="77777777" w:rsidR="00EA1DF6" w:rsidRDefault="00000000">
      <w:r>
        <w:t>In addition to the sections of the CFNS for which it is responsible, the area prepares the questionnaires for Mediobanca’s ESG assessment and the relevant sections of the PRB report, and sends them to Group Sustainability.</w:t>
      </w:r>
    </w:p>
    <w:p w14:paraId="6052683E" w14:textId="77777777" w:rsidR="00EA1DF6" w:rsidRDefault="00000000">
      <w:r>
        <w:lastRenderedPageBreak/>
        <w:t>Third line of defence The Group Audit Unit carries out third-level controls on activities involving ESG issues implemented by the Group in response to the regulatory requirements, the initiatives to which the Group has adhered, and changes in the market scenario.</w:t>
      </w:r>
    </w:p>
    <w:p w14:paraId="54760F21" w14:textId="109A7736" w:rsidR="00EA1DF6" w:rsidRDefault="00000000">
      <w:r>
        <w:t xml:space="preserve">A series of activities is ongoing with the purpose of compiling a shared ESG database which is integrated into the Group’s data architecture, to function as single point of </w:t>
      </w:r>
      <w:proofErr w:type="spellStart"/>
      <w:r>
        <w:t>truthin</w:t>
      </w:r>
      <w:proofErr w:type="spellEnd"/>
      <w:r>
        <w:t xml:space="preserve"> supporting the internal analysis</w:t>
      </w:r>
      <w:r w:rsidR="00FD3426">
        <w:t xml:space="preserve"> </w:t>
      </w:r>
      <w:r>
        <w:t>assessment activities, and to meet the regulatory reporting requirements.</w:t>
      </w:r>
    </w:p>
    <w:p w14:paraId="502F4173" w14:textId="23F53F20" w:rsidR="00EA1DF6" w:rsidRDefault="00000000">
      <w:r>
        <w:t xml:space="preserve">The Group is committed to designing a transition plan that </w:t>
      </w:r>
      <w:proofErr w:type="gramStart"/>
      <w:r>
        <w:t>is able to</w:t>
      </w:r>
      <w:proofErr w:type="gramEnd"/>
      <w:r>
        <w:t xml:space="preserve"> direct its lending and proprietary investment portfolio towards achieving its climate objectives.</w:t>
      </w:r>
    </w:p>
    <w:p w14:paraId="3FEEB829" w14:textId="77777777" w:rsidR="00EA1DF6" w:rsidRDefault="00000000">
      <w:r>
        <w:t>For further details on the Group’s efforts in relation to the points listed above, reference is made to the Pillar III disclosure as at 30 June 2023, and to the Group Remuneration Policy and Report, the Long-Term Incentive Plan 2023-026, and the ESOP 2023-26, all documents that are published on the Group’s official website at The main changes in terms of actions and objectives related to the regulatory requirements and voluntary protocols and to the Group’s environmental risk management framework are described below.</w:t>
      </w:r>
    </w:p>
    <w:p w14:paraId="441BDF80" w14:textId="77777777" w:rsidR="00EA1DF6" w:rsidRDefault="00000000">
      <w:r>
        <w:t>In this annual disclosure, the Group has stated the share of its activities as at 30 June 2023 potentially eligible for the Climate Change Mitigation and Climate Change Adaptation objectives.</w:t>
      </w:r>
    </w:p>
    <w:p w14:paraId="7C5A0CD6" w14:textId="1313AFF5" w:rsidR="00EA1DF6" w:rsidRDefault="00000000">
      <w:r>
        <w:t>The methodologies for calculating the share of Taxonomy-eligible activities are also in the process of being developed for the remaining environmental objectives</w:t>
      </w:r>
      <w:r w:rsidR="00FD3426">
        <w:t>.</w:t>
      </w:r>
    </w:p>
    <w:p w14:paraId="25AB57B1" w14:textId="77777777" w:rsidR="00EA1DF6" w:rsidRDefault="00000000">
      <w:r>
        <w:t>Water and marine resources, Circular economy, Pollution, Biodiversity and Ecosystems and to include the off-balance aligned with the CCM and CCA objectives of part of the Taxonomy-related disclosure.</w:t>
      </w:r>
    </w:p>
    <w:p w14:paraId="394FF4FF" w14:textId="50433B87" w:rsidR="00EA1DF6" w:rsidRDefault="00000000">
      <w:r>
        <w:t xml:space="preserve">It should also be noted that, again in accordance with the EU regulatory framework,22 Mediobanca Premier too has published references on its website to the sources used to obtain information on the financial </w:t>
      </w:r>
      <w:r w:rsidR="009D4863">
        <w:t>instrument’s</w:t>
      </w:r>
      <w:r w:rsidR="00FD3426">
        <w:t xml:space="preserve"> </w:t>
      </w:r>
      <w:r>
        <w:t>products recommended in its advisory services for possible consideration of their adverse effects on sustainability, and, if available, the respective PAIs.</w:t>
      </w:r>
    </w:p>
    <w:p w14:paraId="4B76B05B" w14:textId="77777777" w:rsidR="00EA1DF6" w:rsidRDefault="00000000">
      <w:r>
        <w:t>The report provides an assessment of the environmental, social and governance risks for the loan book and investment portfolio exposures.</w:t>
      </w:r>
    </w:p>
    <w:p w14:paraId="2358651B" w14:textId="17B699B2" w:rsidR="00EA1DF6" w:rsidRDefault="00000000">
      <w:r>
        <w:t xml:space="preserve">Materiality assessment </w:t>
      </w:r>
      <w:r w:rsidR="00FD3426">
        <w:t>the</w:t>
      </w:r>
      <w:r>
        <w:t xml:space="preserve"> activity of quantifying the materiality of the impact of climate and environmental risks has been divided into two separate stages, to achieve the following purposes, </w:t>
      </w:r>
      <w:r w:rsidR="00FD3426">
        <w:t>to</w:t>
      </w:r>
      <w:r>
        <w:t xml:space="preserve"> enable a progressive approach to the analysis in terms of the Group Legal Entities considered.</w:t>
      </w:r>
    </w:p>
    <w:p w14:paraId="112B92AE" w14:textId="77777777" w:rsidR="00EA1DF6" w:rsidRDefault="00000000">
      <w:r>
        <w:t>Mediobanca reviews the materiality of climate and environmental risks across the entire spectrum of its business activities, assessing their impact on the traditional risk categories and at Group level.</w:t>
      </w:r>
    </w:p>
    <w:p w14:paraId="4FA6D6D5" w14:textId="77777777" w:rsidR="00EA1DF6" w:rsidRDefault="00000000">
      <w:r>
        <w:lastRenderedPageBreak/>
        <w:t>For each potentially material Group Legal Entity and their respective type or types of business, the methodologies best suited to detecting the impact of climate and environmental risks are identified.</w:t>
      </w:r>
    </w:p>
    <w:p w14:paraId="4E8C7701" w14:textId="77777777" w:rsidR="00EA1DF6" w:rsidRDefault="00000000">
      <w:r>
        <w:t>The purpose of this threshold is to establish the minimum risk limit beyond which the climate and environmental component must be treated as material in the performance of the Group Legal Entity’s business.</w:t>
      </w:r>
    </w:p>
    <w:p w14:paraId="7DBE4218" w14:textId="4C89AE6B" w:rsidR="00EA1DF6" w:rsidRDefault="00000000">
      <w:r>
        <w:t>SOCIAL The Group integrates social risks into its business model and strategy by offering products and services based on negative screening</w:t>
      </w:r>
      <w:r w:rsidR="00E34519">
        <w:t>.</w:t>
      </w:r>
    </w:p>
    <w:p w14:paraId="06FA7FAB" w14:textId="6EEEB690" w:rsidR="00EA1DF6" w:rsidRDefault="00000000">
      <w:r>
        <w:t>Criteria to identify and exclude parties involved in specific activities considered to be controversial from a social perspective and specific ESG products and services that also implement positive screening criteria</w:t>
      </w:r>
      <w:r w:rsidR="00E34519">
        <w:t>.</w:t>
      </w:r>
    </w:p>
    <w:p w14:paraId="53007AA4" w14:textId="68E14A7C" w:rsidR="00EA1DF6" w:rsidRDefault="00000000">
      <w:r>
        <w:t>Criteria to identify parties and</w:t>
      </w:r>
      <w:r w:rsidR="00FD3426">
        <w:t xml:space="preserve"> </w:t>
      </w:r>
      <w:r>
        <w:t>or assets assessed positively from an ESG standpoint.</w:t>
      </w:r>
    </w:p>
    <w:p w14:paraId="546DD645" w14:textId="43769EFE" w:rsidR="00EA1DF6" w:rsidRDefault="00000000">
      <w:r>
        <w:t xml:space="preserve">Ongoing and increasing attention is being focused on social issues, with specific targets and objectives being included in the 2023-26 Strategic Plan, and a dedicated action plan being 118 developed, with the objective of creating an even more inclusive workplace </w:t>
      </w:r>
      <w:r w:rsidR="00A16134">
        <w:t>them</w:t>
      </w:r>
      <w:r w:rsidR="00E34519">
        <w:t xml:space="preserve"> </w:t>
      </w:r>
      <w:r>
        <w:t>to</w:t>
      </w:r>
      <w:r w:rsidR="00E34519">
        <w:t xml:space="preserve"> </w:t>
      </w:r>
      <w:r>
        <w:t>DEI</w:t>
      </w:r>
      <w:r w:rsidR="00E34519">
        <w:t xml:space="preserve"> </w:t>
      </w:r>
      <w:r>
        <w:t>project.</w:t>
      </w:r>
      <w:r w:rsidR="00FD3426">
        <w:t xml:space="preserve"> </w:t>
      </w:r>
    </w:p>
    <w:p w14:paraId="14C1F61A" w14:textId="77777777" w:rsidR="00EA1DF6" w:rsidRDefault="00000000">
      <w:r>
        <w:t>The main changes in the Group’s Social Risk Management Framework are described below.</w:t>
      </w:r>
    </w:p>
    <w:p w14:paraId="700AFF89" w14:textId="77777777" w:rsidR="00EA1DF6" w:rsidRDefault="00000000">
      <w:r>
        <w:t>For lending portfolio counterparties, this analysis is performed through the use of a qualitative questionnaire, which takes various aspects into account, including governance systems, ethics, inclusiveness, transparency, management of conflicts of interest, etc.</w:t>
      </w:r>
    </w:p>
    <w:p w14:paraId="70FA1E88" w14:textId="77777777" w:rsidR="00EA1DF6" w:rsidRDefault="00000000">
      <w:r>
        <w:t>When the Corporate Sustainability Reporting Directive comes into force, further aspects will also be integrated into the analysis of the Group counterparties’ governance risk.</w:t>
      </w:r>
    </w:p>
    <w:p w14:paraId="467239AC" w14:textId="77777777" w:rsidR="00EA1DF6" w:rsidRDefault="00000000">
      <w:r>
        <w:t>This latter criterion has been assessed on whether or not there is litigation pending against the counterparty with respect to one or more environmental objectives.</w:t>
      </w:r>
    </w:p>
    <w:p w14:paraId="271B557A" w14:textId="77777777" w:rsidR="00EA1DF6" w:rsidRDefault="00000000">
      <w:r>
        <w:t>GHG emissions has been compiled on a best efforts basis, and will become compulsory as from 30 June 2024, in accordance with the phase-in period provided by the EBA ITS.</w:t>
      </w:r>
    </w:p>
    <w:p w14:paraId="5EAAE290" w14:textId="47867FEC" w:rsidR="00EA1DF6" w:rsidRDefault="00000000">
      <w:r>
        <w:t>Regarding the methodological approach used to quantify the GHG emissions data, as required by the ECB,32 the calculation has been made based on the Global GHG Accounting and Reporting Standard for the Financial Industry December 2022 compiled by the Partnership for Carbon Accounting Financials</w:t>
      </w:r>
      <w:r w:rsidR="00FD3426">
        <w:t xml:space="preserve">, </w:t>
      </w:r>
      <w:r>
        <w:t>a detailed guide for financial institutions, developed in accordance with the GHG Protocol Corporate Value Chain Scope 3 Accounting and Reporting Standard.</w:t>
      </w:r>
    </w:p>
    <w:p w14:paraId="5CC2A5D2" w14:textId="77777777" w:rsidR="00EA1DF6" w:rsidRDefault="00000000">
      <w:r>
        <w:t xml:space="preserve">To ensure greater accuracy in the calculation of counterparties’ GHG emissions, a data source hierarchy has been adopted, according to which priority is given to information </w:t>
      </w:r>
      <w:r>
        <w:lastRenderedPageBreak/>
        <w:t>deriving from a leading info-provider, and thereafter to data obtained from a different provider.</w:t>
      </w:r>
    </w:p>
    <w:p w14:paraId="32605EA1" w14:textId="77777777" w:rsidR="00EA1DF6" w:rsidRDefault="00000000">
      <w:r>
        <w:t>Guide on climaterelated and environmental risks Supervisory expectations relating to risk management and disclosure, ECB, November 2020.</w:t>
      </w:r>
    </w:p>
    <w:p w14:paraId="361B0B33" w14:textId="77777777" w:rsidR="00EA1DF6" w:rsidRDefault="00000000">
      <w:r>
        <w:t>For the properties of which ownership has been acquired as a result of enforcements, it has been possible to obtain EPC labels, while for a share of the commercial properties used as collateral, energy efficiency data has been estimated using the methodologies developed internally for climate stress testing.</w:t>
      </w:r>
    </w:p>
    <w:p w14:paraId="46896CA8" w14:textId="77777777" w:rsidR="00EA1DF6" w:rsidRDefault="00000000">
      <w:r>
        <w:t>As stated in the TCFD report published in September 2023 with reference to the situation as at 30 June 2023, Mediobanca has assessed the impact of climate transition risk on the Group’s Lending and Investment portfolios as at end-2022,40 measuring the level of alignment current and future with the objective of reaching Net-Zero CO2 emissions by 2050.</w:t>
      </w:r>
    </w:p>
    <w:p w14:paraId="211A4DAA" w14:textId="77777777" w:rsidR="00EA1DF6" w:rsidRDefault="00000000">
      <w:r>
        <w:t>The Mediobanca Group will perform the portfolio alignment exercise again in conjunction with the TCFD Report for FY 2023-24 and the Pillar III disclosure to the public as at 30 June 2024, updating the existing portfolio targets and setting targets for the sectors provided by Pillar III but as yet not reported.</w:t>
      </w:r>
    </w:p>
    <w:p w14:paraId="09222410" w14:textId="04B1CC47" w:rsidR="00EA1DF6" w:rsidRDefault="00000000">
      <w:r>
        <w:t>In order to classify the properties used as collateral that are exposed to physical risks, chronic and</w:t>
      </w:r>
      <w:r w:rsidR="00FD3426">
        <w:t xml:space="preserve"> </w:t>
      </w:r>
      <w:r>
        <w:t>or acute, a methodological approach has been adopted which is based on estimates of the size of the potential damages to earnings expected for the properties, which are calculated based on the precise geographical location of the asset, risk maps of the principal physical climate risk factors relevant for Italy, and the outstanding duration of the exposure guaranteed.</w:t>
      </w:r>
    </w:p>
    <w:p w14:paraId="7DCE4137" w14:textId="77777777" w:rsidR="00EA1DF6" w:rsidRDefault="00000000">
      <w:r>
        <w:t>Exposures to Non-Financial Corporates To classify counterparties exposed to physical climate risks, a methodology has been adopted that allows a distinction to be made between chronic and acute physical risks, using a quantitative approach based on the estimated economic impacts deriving from the different physical risk factors to which the counterparty might be exposed.</w:t>
      </w:r>
    </w:p>
    <w:p w14:paraId="6CA8DF27" w14:textId="77777777" w:rsidR="00EA1DF6" w:rsidRDefault="00000000">
      <w:r>
        <w:t>The economic impact is determined by considering the average value of the impacts estimated over a 15-year time horizon, which is considered to be an adequate period of time to record potential climate changes and the uncertainty regarding the future development of climate risk events, in line with the EBA Guidelines.</w:t>
      </w:r>
    </w:p>
    <w:p w14:paraId="2585C4E5" w14:textId="5C32D072" w:rsidR="00EA1DF6" w:rsidRDefault="00000000">
      <w:r>
        <w:t>For the Secured loans and collateral recovered component, the only significant figure for the exposures sensitive to the impact of physical events related to climate change is for Italy,47 which amounts to €1,0853m 30</w:t>
      </w:r>
      <w:r w:rsidR="00FD3426">
        <w:t xml:space="preserve"> </w:t>
      </w:r>
      <w:r>
        <w:t>6</w:t>
      </w:r>
      <w:r w:rsidR="00FD3426">
        <w:t xml:space="preserve"> </w:t>
      </w:r>
      <w:r>
        <w:t>23, €1,054.</w:t>
      </w:r>
    </w:p>
    <w:p w14:paraId="6B42B622" w14:textId="7D9AF5A5" w:rsidR="00EA1DF6" w:rsidRDefault="00000000">
      <w:r>
        <w:lastRenderedPageBreak/>
        <w:t>As from this disclosure, the analysis has been expanded to identify the Taxonomy-aligned exposures versus the two climate objectives referred to above, in line with the requirements of Commission Implementing Regulation 2022</w:t>
      </w:r>
      <w:r w:rsidR="00FD3426">
        <w:t xml:space="preserve"> </w:t>
      </w:r>
      <w:r>
        <w:t>2453.</w:t>
      </w:r>
    </w:p>
    <w:p w14:paraId="600F8DD5" w14:textId="5F542662" w:rsidR="00EA1DF6" w:rsidRDefault="00000000">
      <w:r>
        <w:t xml:space="preserve">The entire scope is made up as follows, Sustainable-linked loans, the terms of which vary based on the performance of certain climate KPIs </w:t>
      </w:r>
      <w:r w:rsidR="00B93EC0">
        <w:t>e</w:t>
      </w:r>
      <w:r>
        <w:t>nergy efficiency and emissions reductions, worth approx.</w:t>
      </w:r>
    </w:p>
    <w:p w14:paraId="4FC11F56" w14:textId="77777777" w:rsidR="00EA1DF6" w:rsidRDefault="00000000">
      <w:r>
        <w:t>These sources amend the previous regulatory framework, by revising the approaches to be used in order to calculate the capital requirements, introduce definitions of simple, transparent and standardized securitizations that are subject to preferential treatment, with re-securitized positions strongly penalized to limit the use of them, and preserve the level of transparency and simplicity.</w:t>
      </w:r>
    </w:p>
    <w:p w14:paraId="3EDC02DB" w14:textId="77777777" w:rsidR="00EA1DF6" w:rsidRDefault="00000000">
      <w:r>
        <w:t>Over a medium-term perspective, the Bank’s strategy for its exposure to equity, in view inter alia of the market conditions, is geared towards progressively valorizing its investments, without prejudice to the requisites in terms of the Bank’s profitability and risk profile approved by the Board of Directors in the Risk Appetite Framework.</w:t>
      </w:r>
    </w:p>
    <w:p w14:paraId="19665285" w14:textId="77777777" w:rsidR="00EA1DF6" w:rsidRDefault="00000000">
      <w:r>
        <w:t>In accordance with this strategy, the trading limits are set at an aggregate level in terms of overall exposure to the portfolio of holdings in non-financial companies, and by individual investment in the same portfolio at levels in terms of regulatory capital that are far lower than the current regulatory limits of 60% and 15%.</w:t>
      </w:r>
    </w:p>
    <w:p w14:paraId="05786C52" w14:textId="6F37EDDA" w:rsidR="00EA1DF6" w:rsidRDefault="00000000">
      <w:r>
        <w:t>To measure the risk of exposures in Undertakings in Collective Investments in Transferable Securities and to determine the relevant capital requirement, alternative calculation methods are applied, to ensure greater transparency, Look-through approach, based on breaking down the investment into the individual underlying components in which the UCITS invests, and applying the respective weighting.</w:t>
      </w:r>
    </w:p>
    <w:p w14:paraId="77E03B82" w14:textId="61A726A0" w:rsidR="00EA1DF6" w:rsidRDefault="00000000">
      <w:r>
        <w:t>Milan, 21 March 2024 Head of Company Financial Reporting Emanuele Flappini 189 Annexes Annex 1, Lists of the world’s top 20 most polluting companies 1 Climate Accountability Institute</w:t>
      </w:r>
      <w:r w:rsidR="0000689E">
        <w:t xml:space="preserve"> </w:t>
      </w:r>
      <w:r>
        <w:t xml:space="preserve">CAI </w:t>
      </w:r>
      <w:proofErr w:type="spellStart"/>
      <w:r>
        <w:t>PressRelease</w:t>
      </w:r>
      <w:proofErr w:type="spellEnd"/>
      <w:r>
        <w:t xml:space="preserve"> Dec20 climate</w:t>
      </w:r>
      <w:r w:rsidR="006306BE">
        <w:t xml:space="preserve"> </w:t>
      </w:r>
      <w:r>
        <w:t>accountability.</w:t>
      </w:r>
    </w:p>
    <w:p w14:paraId="79251FFB" w14:textId="38B24E0B" w:rsidR="00EA1DF6" w:rsidRDefault="00000000">
      <w:r>
        <w:t xml:space="preserve">Directors’ responsibility for the Pillar 3 disclosure </w:t>
      </w:r>
      <w:proofErr w:type="gramStart"/>
      <w:r>
        <w:t>The</w:t>
      </w:r>
      <w:proofErr w:type="gramEnd"/>
      <w:r>
        <w:t xml:space="preserve"> directors of Mediobanca S</w:t>
      </w:r>
      <w:r w:rsidR="006B17C5">
        <w:t>, t</w:t>
      </w:r>
      <w:r>
        <w:t xml:space="preserve">he </w:t>
      </w:r>
      <w:proofErr w:type="spellStart"/>
      <w:r>
        <w:t>Bankare</w:t>
      </w:r>
      <w:proofErr w:type="spellEnd"/>
      <w:r>
        <w:t xml:space="preserve"> responsible for the preparation of the Pillar 3 Disclosure in accordance with the provisions of part VIII of Regulation no.</w:t>
      </w:r>
    </w:p>
    <w:p w14:paraId="26C9883B" w14:textId="1CBE3628" w:rsidR="00EA1DF6" w:rsidRDefault="00000000">
      <w:r>
        <w:t>The directors are also responsible for such internal control as they determine is necessary to enable the preparation of a Pillar 3 Disclosure that is free from material misstatement, whether due to fraud or error.</w:t>
      </w:r>
    </w:p>
    <w:sectPr w:rsidR="00EA1D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68841215">
    <w:abstractNumId w:val="8"/>
  </w:num>
  <w:num w:numId="2" w16cid:durableId="1889755319">
    <w:abstractNumId w:val="6"/>
  </w:num>
  <w:num w:numId="3" w16cid:durableId="771054842">
    <w:abstractNumId w:val="5"/>
  </w:num>
  <w:num w:numId="4" w16cid:durableId="911965352">
    <w:abstractNumId w:val="4"/>
  </w:num>
  <w:num w:numId="5" w16cid:durableId="1553155552">
    <w:abstractNumId w:val="7"/>
  </w:num>
  <w:num w:numId="6" w16cid:durableId="473572651">
    <w:abstractNumId w:val="3"/>
  </w:num>
  <w:num w:numId="7" w16cid:durableId="1041126167">
    <w:abstractNumId w:val="2"/>
  </w:num>
  <w:num w:numId="8" w16cid:durableId="779492277">
    <w:abstractNumId w:val="1"/>
  </w:num>
  <w:num w:numId="9" w16cid:durableId="11286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9E"/>
    <w:rsid w:val="00034616"/>
    <w:rsid w:val="0006063C"/>
    <w:rsid w:val="0015074B"/>
    <w:rsid w:val="0029639D"/>
    <w:rsid w:val="00326F90"/>
    <w:rsid w:val="005235FB"/>
    <w:rsid w:val="005E7043"/>
    <w:rsid w:val="006306BE"/>
    <w:rsid w:val="006B17C5"/>
    <w:rsid w:val="006C11B7"/>
    <w:rsid w:val="007E48EF"/>
    <w:rsid w:val="009D4863"/>
    <w:rsid w:val="00A16134"/>
    <w:rsid w:val="00AA1D8D"/>
    <w:rsid w:val="00B42848"/>
    <w:rsid w:val="00B47730"/>
    <w:rsid w:val="00B93EC0"/>
    <w:rsid w:val="00CB0664"/>
    <w:rsid w:val="00CB79C9"/>
    <w:rsid w:val="00CE26BE"/>
    <w:rsid w:val="00E34519"/>
    <w:rsid w:val="00EA1DF6"/>
    <w:rsid w:val="00FC693F"/>
    <w:rsid w:val="00FD34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E3066"/>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14</cp:revision>
  <dcterms:created xsi:type="dcterms:W3CDTF">2013-12-23T23:15:00Z</dcterms:created>
  <dcterms:modified xsi:type="dcterms:W3CDTF">2025-08-12T19:49:00Z</dcterms:modified>
  <cp:category/>
</cp:coreProperties>
</file>