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81C38" w14:textId="77777777" w:rsidR="00BD211C" w:rsidRDefault="00000000">
      <w:r>
        <w:t>Save in accordance with the applicable regulatory framework, the Bank does not assume any obligation to update forecasts and estimates, when new and updated information, future events and other facts become available.</w:t>
      </w:r>
    </w:p>
    <w:p w14:paraId="04CF579B" w14:textId="4BDFD166" w:rsidR="00BD211C" w:rsidRDefault="00000000">
      <w:r>
        <w:t xml:space="preserve">The quantitative information included with reference to ESG risk has been established </w:t>
      </w:r>
      <w:proofErr w:type="gramStart"/>
      <w:r>
        <w:t>on the basis of</w:t>
      </w:r>
      <w:proofErr w:type="gramEnd"/>
      <w:r>
        <w:t xml:space="preserve"> the best estimates currently available, which will be subject to amendment based on changes in the regulations and</w:t>
      </w:r>
      <w:r w:rsidR="005D59AF">
        <w:t xml:space="preserve"> </w:t>
      </w:r>
      <w:r>
        <w:t>or classification of environmentally sustainable activities by the Mediobanca Group, and on fine-tuning of the calculation methodologies applied to date.</w:t>
      </w:r>
    </w:p>
    <w:p w14:paraId="21607ED2" w14:textId="77777777" w:rsidR="00BD211C" w:rsidRDefault="00000000">
      <w:r>
        <w:t>The contents of the disclosure, to be provided on a halfyearly basis, disclose qualitative information on environmental, social and governance risks, quantitative information on climate change transition risk, quantitative information on climate change physical risk, and quantitative information and KPIs regarding the climate change mitigation measures implemented, including the Green Asset Ratio.</w:t>
      </w:r>
    </w:p>
    <w:p w14:paraId="0DEE09E5" w14:textId="77777777" w:rsidR="00BD211C" w:rsidRDefault="00000000">
      <w:r>
        <w:t>The Pillar III disclosure to the public is approved by the Board of Directors and the document is published on the Bank’s website at where the full disclosure as at 30 June 2024 is also available, for further details.</w:t>
      </w:r>
    </w:p>
    <w:p w14:paraId="5AF2448F" w14:textId="3B359636" w:rsidR="00BD211C" w:rsidRDefault="00000000">
      <w:r>
        <w:t>Within the framework of the risk governance system implemented by Mediobanca S</w:t>
      </w:r>
      <w:r w:rsidR="00776034">
        <w:t xml:space="preserve"> </w:t>
      </w:r>
      <w:r>
        <w:t>the following managerial committees have specific responsibilities in the processes of taking, managing, measuring and controlling risks, the Group Risk Management Committee, which is tasked with addressing all risks at Group level excluding conduct risk.</w:t>
      </w:r>
    </w:p>
    <w:p w14:paraId="1B3CF5CC" w14:textId="77777777" w:rsidR="00BD211C" w:rsidRDefault="00000000">
      <w:r>
        <w:t>As required by the prudential regulations, the formalization of risk objectives, through definition of the RAF, that are consistent with the maximum risk that can be taken, the business model and strategic guidance is a key factor in establishing a risk governance policy and internal controls system with the aim of enhancing the Bank’s capability in terms of governing its own company risks, and ensuring sustainable growth over the medium and long term.</w:t>
      </w:r>
    </w:p>
    <w:p w14:paraId="0CAE5067" w14:textId="77777777" w:rsidR="00BD211C" w:rsidRDefault="00000000">
      <w:r>
        <w:t>In this connection, the Group has developed a Risk Appetite Framework governance model which identifies the roles and responsibilities of the corporate bodies and units involved, with co-ordination mechanisms instituted to ensure the risk appetite is suitably bedded into the management processes.</w:t>
      </w:r>
    </w:p>
    <w:p w14:paraId="164F493A" w14:textId="77777777" w:rsidR="00BD211C" w:rsidRDefault="00000000">
      <w:r>
        <w:t>For each pillar analysed, the risk assumed is set against a system of objectives and limits representative of the regulatory restrictions and the Group’s general attitude towards risk, as defined in accordance with the strategic planning, ICAAP, ILAAP and risk management processes.</w:t>
      </w:r>
    </w:p>
    <w:p w14:paraId="7AB8E652" w14:textId="5ED508DF" w:rsidR="00BD211C" w:rsidRDefault="00000000">
      <w:r>
        <w:t>In addition to identifying and setting risk appetite parameters, Mediobanca also governs the mechanisms regulating the governance and processes for establishing and implementing the RAF, in terms of updating</w:t>
      </w:r>
      <w:r w:rsidR="005D59AF">
        <w:t xml:space="preserve"> </w:t>
      </w:r>
      <w:r>
        <w:t>revising it, monitoring, and reporting escalation to the Committees and corporate bodies.</w:t>
      </w:r>
    </w:p>
    <w:p w14:paraId="2268D718" w14:textId="77777777" w:rsidR="00BD211C" w:rsidRDefault="00000000">
      <w:r>
        <w:lastRenderedPageBreak/>
        <w:t>Based on its operations and the markets in which it operates, the Mediobanca Group has identified the relevant risks to be submitted to specific assessment in the course of the reporting for the ICAAP Internal Capital Adequacy Assessment Process, appraising its own capital adequacy from both a present 16 and future perspective which takes into account the strategies and development of the reference scenario.</w:t>
      </w:r>
    </w:p>
    <w:p w14:paraId="2B107E93" w14:textId="77777777" w:rsidR="00BD211C" w:rsidRDefault="00000000">
      <w:r>
        <w:t>Transition risk is defined as an institution’s financial loss that can result, directly or indirectly, from the process of adjustment towards a lower carbon and more environmentally sustainable economy.</w:t>
      </w:r>
    </w:p>
    <w:p w14:paraId="32D4927D" w14:textId="77777777" w:rsidR="00BD211C" w:rsidRDefault="00000000">
      <w:r>
        <w:t>Based on the Group Operational and Reputational Risk Management Policy and in accordance with the principle of proportionality, the processes for identifying operational risks are defined and implemented both at parent company level and in the individual Group Legal Entities by collecting and analysing loss data, assessing and estimating the risks themselves, and identifying and promoting the appropriate mitigation actions.</w:t>
      </w:r>
    </w:p>
    <w:p w14:paraId="20048B05" w14:textId="64CF9DD3" w:rsidR="00BD211C" w:rsidRDefault="00000000">
      <w:r>
        <w:t>Based on the provisions of the DORA the Digital Operational Resilience Act, the Group is developing a specific adaptation programme which is structured in five areas, − ICT risk management.</w:t>
      </w:r>
    </w:p>
    <w:p w14:paraId="69560ED6" w14:textId="447F0AF4" w:rsidR="00BD211C" w:rsidRDefault="00000000">
      <w:proofErr w:type="gramStart"/>
      <w:r>
        <w:t>Objectives</w:t>
      </w:r>
      <w:r w:rsidR="005D59AF">
        <w:t xml:space="preserve">,  </w:t>
      </w:r>
      <w:r>
        <w:t>to</w:t>
      </w:r>
      <w:proofErr w:type="gramEnd"/>
      <w:r>
        <w:t xml:space="preserve"> review and update the ICT risk management framework to ensure a high level of digital operational resilience in proportion with the organization’s complexity.</w:t>
      </w:r>
    </w:p>
    <w:p w14:paraId="258427A6" w14:textId="2A12F61F" w:rsidR="00BD211C" w:rsidRDefault="00000000">
      <w:r>
        <w:t xml:space="preserve">As stated previously, in calculating the interest rate risk on the trading book, the Group applies the </w:t>
      </w:r>
      <w:r w:rsidR="00776034">
        <w:t>duration-based</w:t>
      </w:r>
      <w:r>
        <w:t xml:space="preserve"> approach, CRR, Article 340, </w:t>
      </w:r>
      <w:proofErr w:type="gramStart"/>
      <w:r>
        <w:t>in order to</w:t>
      </w:r>
      <w:proofErr w:type="gramEnd"/>
      <w:r>
        <w:t xml:space="preserve"> ensure that the capital estimation methodology is aligned to both the operating metrics and the imminent regulatory changes due to be introduced in the new future CRR III and Fundamental Review of Trading Book.</w:t>
      </w:r>
    </w:p>
    <w:p w14:paraId="59F1C11A" w14:textId="77777777" w:rsidR="00BD211C" w:rsidRDefault="00000000">
      <w:r>
        <w:t>Conversely, the inclusion of the minor Group Legal Entities among the equity-accounted companies drove an increase of €12m in the heading Equity investments at the same date.</w:t>
      </w:r>
    </w:p>
    <w:p w14:paraId="2A89EC52" w14:textId="68822DD0" w:rsidR="00BD211C" w:rsidRDefault="00000000">
      <w:r>
        <w:t xml:space="preserve">As from 31 December 2024, the Mediobanca Group must maintain a CET1 ratio on a consolidated 8 The most recent stress test exercise confirmed the Group’s solidity, the Common Equity Tier 1 ratio, fully loaded, for the final year of the </w:t>
      </w:r>
      <w:proofErr w:type="gramStart"/>
      <w:r>
        <w:t>exercise</w:t>
      </w:r>
      <w:r w:rsidR="005D59AF">
        <w:t xml:space="preserve">,  </w:t>
      </w:r>
      <w:r>
        <w:t>factoring</w:t>
      </w:r>
      <w:proofErr w:type="gramEnd"/>
      <w:r>
        <w:t xml:space="preserve"> in the Equity Tier 1 ratio fully loaded is comfortably above the regulatory limits.</w:t>
      </w:r>
    </w:p>
    <w:p w14:paraId="7A07EBCA" w14:textId="03071FA1" w:rsidR="00BD211C" w:rsidRDefault="00000000">
      <w:r>
        <w:t>In a situation such as this, changes can be made at the client’s initiative or on a preventative basis with a view to maintaining the relationship with the client by improving the commercial terms offered, without having to forfeit a satisfactory return on the risk taken and in compliance with the general strategic objectives set</w:t>
      </w:r>
      <w:r w:rsidR="009F0164">
        <w:t xml:space="preserve"> i</w:t>
      </w:r>
      <w:r>
        <w:t>n terms of target customers.</w:t>
      </w:r>
    </w:p>
    <w:p w14:paraId="1CED9C6C" w14:textId="77777777" w:rsidR="00BD211C" w:rsidRDefault="00000000">
      <w:r>
        <w:t>Credit monitoring The Risk Management unit is responsible for constantly updating the assessment of corporate credit standing as expressed in the counterparties’ rating.</w:t>
      </w:r>
    </w:p>
    <w:p w14:paraId="62968E42" w14:textId="77777777" w:rsidR="00BD211C" w:rsidRDefault="00000000">
      <w:r>
        <w:t xml:space="preserve">In accordance with the internal regulatory framework with which Mediobanca Premier is equipped, the renegotiation of the loan is considered forborne even if no objective status of </w:t>
      </w:r>
      <w:r>
        <w:lastRenderedPageBreak/>
        <w:t>financial difficulty has been declared, as this can be inferred if the position shows a high risk rating in the last 12 months.</w:t>
      </w:r>
    </w:p>
    <w:p w14:paraId="44DC6E91" w14:textId="77777777" w:rsidR="00BD211C" w:rsidRDefault="00000000">
      <w:r>
        <w:t>The regulatory PD, which has been transformed into a point-in-time and forward-looking approach, and applied on a lifetime basis, is also used to allocate exposures to Stage 2.</w:t>
      </w:r>
    </w:p>
    <w:p w14:paraId="578A7C6D" w14:textId="77777777" w:rsidR="00BD211C" w:rsidRDefault="00000000">
      <w:r>
        <w:t>The approach described above also applies to the calculation of the expected lifetime loss for the non-performing exposures, using the regulatory parameters, with the exception of the Mediobanca and Mediobanca International Corporate exposures, and the Mediobanca Premier mortgage loans classified as bad debts which are subject to individual assessment.</w:t>
      </w:r>
    </w:p>
    <w:p w14:paraId="4AA4FF12" w14:textId="51CD38D2" w:rsidR="00BD211C" w:rsidRDefault="00000000">
      <w:r>
        <w:t>Regarding the assignment of roles and responsibilities and the IT framework for data management, as these are aspects common to all three spheres,</w:t>
      </w:r>
      <w:r w:rsidR="00DD13BF">
        <w:t xml:space="preserve"> </w:t>
      </w:r>
      <w:r>
        <w:t>Environmental, Social and Governance, they are discussed jointly in the paragraphs that follow.</w:t>
      </w:r>
    </w:p>
    <w:p w14:paraId="36DA2A22" w14:textId="77777777" w:rsidR="00BD211C" w:rsidRDefault="00000000">
      <w:r>
        <w:t>With reference to sustainability issues and topics related to climate change or ESG issues in general, the Board of Directors approves the company’s ESG Strategy and monitors its application, and defines and approves the strategic guidelines on risk taking, risk governance policies, and overall risk objectives, including climate and environmental risk.</w:t>
      </w:r>
    </w:p>
    <w:p w14:paraId="6A8F36F6" w14:textId="1D151B78" w:rsidR="00BD211C" w:rsidRDefault="00000000">
      <w:r>
        <w:t xml:space="preserve">With reference to the roles and responsibilities on ESG issues, it should be noted that, </w:t>
      </w:r>
      <w:r w:rsidR="00DD13BF">
        <w:t>t</w:t>
      </w:r>
      <w:r>
        <w:t>he Sustainability Committee checks that the Group is positioned correctly relative to its strategy for sustainable growth over time, in terms of valorizing its people, sensitivity to social issues, and the reduction of its direct and indirect impact on the environment.</w:t>
      </w:r>
    </w:p>
    <w:p w14:paraId="0F89024E" w14:textId="52B20500" w:rsidR="00BD211C" w:rsidRDefault="00000000">
      <w:r>
        <w:t>With reference to the IT framework for measuring Environmental, Social and Governance risks, the following data is used, the client’s internal data at the counterparty level,23 external public</w:t>
      </w:r>
      <w:r w:rsidR="00E51BCA">
        <w:t xml:space="preserve"> e</w:t>
      </w:r>
      <w:r>
        <w:t>conomic sector codes used for statistical purposes.</w:t>
      </w:r>
    </w:p>
    <w:p w14:paraId="162A2010" w14:textId="77777777" w:rsidR="00BD211C" w:rsidRDefault="00000000">
      <w:r>
        <w:t>In accordance with the NZBA, the absolute emissions financed for all sectors Scope 3, Category 15 GHG Protocol are calculated, and all the climate objectives for the Group’s proprietary credit exposure in all the sectors required by its commitment have been defined.</w:t>
      </w:r>
    </w:p>
    <w:p w14:paraId="691CC25A" w14:textId="77777777" w:rsidR="00BD211C" w:rsidRDefault="00000000">
      <w:r>
        <w:t>In the sustainable finance area, the Group continues to apply the Green, Social and Sustainability Bond Framework, which lays down the rules and procedures for identifying eligible projects and initiatives.</w:t>
      </w:r>
    </w:p>
    <w:p w14:paraId="0F58EDE9" w14:textId="77777777" w:rsidR="00BD211C" w:rsidRDefault="00000000">
      <w:r>
        <w:t>The final stage of the framework is based on the results achieved, that allow the qualifying characteristics to be identified to be able to execute green transactions, and, if appropriate, to enable the results of the ESG score assigned by the Risk Management unit into the credit assessment process single-name assessment.</w:t>
      </w:r>
    </w:p>
    <w:p w14:paraId="61ABB6BE" w14:textId="77777777" w:rsidR="00BD211C" w:rsidRDefault="00000000">
      <w:r>
        <w:t>The framework is supported by high-level quantitative analysis to estimate the Expected Credit Losses on selected portfolios by making a series of projections of demand for credit based on macroeconomic, climate and environmental scenarios NGFS Net Zero 2050, Delayed Transition, and Current Policies.</w:t>
      </w:r>
    </w:p>
    <w:p w14:paraId="138E9295" w14:textId="77777777" w:rsidR="00BD211C" w:rsidRDefault="00000000">
      <w:r>
        <w:lastRenderedPageBreak/>
        <w:t>Actions and objectives related to regulatory requirements and voluntary protocols The Group discloses the share of its assets that are eligible or aligned with the EU Taxonomy Regulations once a year, in its Consolidated Non-Financial Statement.</w:t>
      </w:r>
    </w:p>
    <w:p w14:paraId="5F9A25C2" w14:textId="77777777" w:rsidR="00BD211C" w:rsidRDefault="00000000">
      <w:r>
        <w:t>Environmental risks governance, reporting, and remuneration policies As regards the reporting on environmental risks, the Group Chief Risk Officer briefs the Board of Directors once every three months on the risk trends observed, including climate-related risks, and on the performances of the climate and environmental risk metrics integrated into the RAF during the reference period.</w:t>
      </w:r>
    </w:p>
    <w:p w14:paraId="37A77631" w14:textId="77777777" w:rsidR="00BD211C" w:rsidRDefault="00000000">
      <w:r>
        <w:t>The Group updates its remuneration and incentivization policies and practices on a regular basis, with the objective of stimulating behaviours consistent with the business strategy for ESG issues and the climate and environment risk appetite, and of aligning the Group senior management’s remuneration with measurement of performances over the long term.</w:t>
      </w:r>
    </w:p>
    <w:p w14:paraId="2E6E132A" w14:textId="77777777" w:rsidR="00BD211C" w:rsidRDefault="00000000">
      <w:r>
        <w:t>This activity serves to make the process of integrating climate and ESG considerations generally into the loan pricing framework more efficient by providing for specific ESG incentives.</w:t>
      </w:r>
    </w:p>
    <w:p w14:paraId="4FE1F22C" w14:textId="0CBCE80D" w:rsidR="00BD211C" w:rsidRDefault="00000000">
      <w:r>
        <w:t xml:space="preserve">Methodologies have also been developed internally, based on international standards United Nations Environment </w:t>
      </w:r>
      <w:proofErr w:type="spellStart"/>
      <w:r>
        <w:t>Programme</w:t>
      </w:r>
      <w:proofErr w:type="spellEnd"/>
      <w:r>
        <w:t xml:space="preserve"> Finance 32 Fit for 55 is a package designed by the European Union to reduce its net greenhouse gas emissions by at least 55% by 2030, and to adopt EU legislation in line with the 2030 objective.</w:t>
      </w:r>
    </w:p>
    <w:p w14:paraId="2A145981" w14:textId="461F0367" w:rsidR="00BD211C" w:rsidRDefault="00000000">
      <w:r>
        <w:t>To increase the consistency of the analysis and the Heatmap, the ESG factors identified by the UNEP FI have been integrated with some of the themes recommended by the PSI in its document entitled Managing environmental, social and governance risks in non-life insurance business.</w:t>
      </w:r>
    </w:p>
    <w:p w14:paraId="69BA6355" w14:textId="77777777" w:rsidR="00BD211C" w:rsidRDefault="00000000">
      <w:r>
        <w:t>The report provides an assessment of the environmental, social and governance risks for the loan book and investment portfolio exposures, with specific indepth analysis of those sectors with the highest environmental risk.</w:t>
      </w:r>
    </w:p>
    <w:p w14:paraId="2E8199EF" w14:textId="77777777" w:rsidR="00BD211C" w:rsidRDefault="00000000">
      <w:r>
        <w:t>It has been decided to base assessment of the environmental component on the EU Taxonomy objectives.</w:t>
      </w:r>
    </w:p>
    <w:p w14:paraId="3CFB2870" w14:textId="58DD48F9" w:rsidR="00BD211C" w:rsidRDefault="00000000">
      <w:r>
        <w:t>In particular, the following two quantitative indicators have been identified in consideration of the Climate Change Mitigation and Climate Change Adaptation objectives, − Emissions intensity, defined as the sum of Scope 1, Scope 2 and Scope 3 emissions financed tCO2eq.</w:t>
      </w:r>
    </w:p>
    <w:p w14:paraId="0A4B1686" w14:textId="4D1960C3" w:rsidR="00BD211C" w:rsidRDefault="00000000">
      <w:r>
        <w:t>Considering the Sustainable use and protection of water and marine resources and Pollution prevention and control objectives, water intensity and waste intensity have been added as 34 The PSI are a voluntary initiative supported by the United Nations, which has the objective of tackling the risks and opportunities related to environmental, social and governance issues in the insurance sector.</w:t>
      </w:r>
    </w:p>
    <w:p w14:paraId="7DABD13E" w14:textId="77777777" w:rsidR="00BD211C" w:rsidRDefault="00000000">
      <w:r>
        <w:lastRenderedPageBreak/>
        <w:t>Limits for client risk set as part of the Group Risk Appetite Framework To monitor and mitigate the Mediobanca Group’s exposure to environmental risks, the Risk Appetite Framework includes metrics focused on physical risk and transition risk.</w:t>
      </w:r>
    </w:p>
    <w:p w14:paraId="43872B10" w14:textId="77777777" w:rsidR="00BD211C" w:rsidRDefault="00000000">
      <w:r>
        <w:t>Materiality assessment The EU banking regulations require a holistic assessment to be made of the impacts of Climate and Environmental C&amp;E risks on traditional risk categories, such as strategic, credit, market, operational, liquidity, reputational and strategic risks, and their effects over the various time horizons.</w:t>
      </w:r>
    </w:p>
    <w:p w14:paraId="338BE219" w14:textId="77777777" w:rsidR="00BD211C" w:rsidRDefault="00000000">
      <w:r>
        <w:t>With the recent developments, in recognition of the importance of indirect impacts deriving from physical risk factors, the impacts on the upstream value chain have also been introduced to the risk assessment.</w:t>
      </w:r>
    </w:p>
    <w:p w14:paraId="186DB865" w14:textId="77777777" w:rsidR="00BD211C" w:rsidRDefault="00000000">
      <w:r>
        <w:t>Negative screening criteria have been incorporated into the internal regulatory framework, so issuers that do not meet these criteria are not considered eligible for investment purposes.</w:t>
      </w:r>
    </w:p>
    <w:p w14:paraId="0D367631" w14:textId="11BA6545" w:rsidR="00BD211C" w:rsidRDefault="00000000">
      <w:proofErr w:type="gramStart"/>
      <w:r>
        <w:t>In particular, it</w:t>
      </w:r>
      <w:proofErr w:type="gramEnd"/>
      <w:r>
        <w:t xml:space="preserve"> does not engage in business activities that regard or directly involve entities operating in sectors considered not to be socially responsible, with low ESG ratings and</w:t>
      </w:r>
      <w:r w:rsidR="005D59AF">
        <w:t xml:space="preserve"> </w:t>
      </w:r>
      <w:r>
        <w:t xml:space="preserve">or involved in serious events </w:t>
      </w:r>
      <w:r w:rsidR="005D59AF">
        <w:t>c</w:t>
      </w:r>
      <w:r>
        <w:t>ompanies with convictions, that have generated or could generate adverse impacts in the environmental, social or governance spheres indirect impacts.</w:t>
      </w:r>
    </w:p>
    <w:p w14:paraId="7D60F902" w14:textId="77777777" w:rsidR="00BD211C" w:rsidRDefault="00000000">
      <w:r>
        <w:t>Social The Group integrates social risks into its business model and strategy by offering products and services based on negative screening and specific ESG products and services that also implement positive screening criteria, set out in detail in the Group ESG Policy.</w:t>
      </w:r>
    </w:p>
    <w:p w14:paraId="0C3DBF4F" w14:textId="77777777" w:rsidR="00BD211C" w:rsidRDefault="00000000">
      <w:r>
        <w:t>Staff training and increasing the financial competences of clients are key factors in the growth which the Group has committed to achieving as part of the objective to promote financial health and inclusion, an issue on which specific mandatory training has recently been introduced for all the Group’s staff.</w:t>
      </w:r>
    </w:p>
    <w:p w14:paraId="37E0FDA9" w14:textId="77777777" w:rsidR="00BD211C" w:rsidRDefault="00000000">
      <w:r>
        <w:t>Actions and objectives related to regulatory and voluntary protocols In defining its sustainability and ESG policies, the Group has also made reference to internationally recognized principles and frameworks, such as the Universal Declaration of Human Rights, the ten principles of the UN Global Compact, and the UN Sustainable Development Goals SDGs.</w:t>
      </w:r>
    </w:p>
    <w:p w14:paraId="4D700C91" w14:textId="77777777" w:rsidR="00BD211C" w:rsidRDefault="00000000">
      <w:r>
        <w:t>Social risks governance, reporting and remuneration policies The Group Staff Remuneration Policy reflects the principles of neutrality in order ensure equal treatment, based exclusively on merit and professional qualifications.</w:t>
      </w:r>
    </w:p>
    <w:p w14:paraId="5E9EFE26" w14:textId="77777777" w:rsidR="00BD211C" w:rsidRDefault="00000000">
      <w:r>
        <w:t>Furthermore, as Mediobanca is aware of the importance of the quality of the data it uses and accordingly of putting adequate data governance measures in place, the Bank has launched a process to consolidate the application ESG Architecture and ESG data governance solution used.</w:t>
      </w:r>
    </w:p>
    <w:p w14:paraId="1488F217" w14:textId="77777777" w:rsidR="00BD211C" w:rsidRDefault="00000000">
      <w:r>
        <w:lastRenderedPageBreak/>
        <w:t>The ESG Heatmap Governance pillar is integrated into the scoring model by the same means described for the Social pillar, in this case considering factors such as illegal and unethical payments, anti-competition practices, breach of antitrust regulations, unethical conduct, strategy and risk management.</w:t>
      </w:r>
    </w:p>
    <w:p w14:paraId="64BC209D" w14:textId="77777777" w:rsidR="00BD211C" w:rsidRDefault="00000000">
      <w:r>
        <w:t>Furthermore, when the Corporate Sustainability Reporting Directive comes into force, other aspects will also be integrated into the analysis of the Group counterparties’ risk governance.</w:t>
      </w:r>
    </w:p>
    <w:p w14:paraId="203C1316" w14:textId="77777777" w:rsidR="00BD211C" w:rsidRDefault="00000000">
      <w:r>
        <w:t>In particular, as required by the regulations, the sustainability reporting must be supported by a robust process for identifying the material topics.</w:t>
      </w:r>
    </w:p>
    <w:p w14:paraId="3BB4E39F" w14:textId="77777777" w:rsidR="00BD211C" w:rsidRDefault="00000000">
      <w:r>
        <w:t>To this end, during the six months under review analysis was carried out to identify and assess the sustainability issues considered to be material, using a double materiality approach.</w:t>
      </w:r>
    </w:p>
    <w:p w14:paraId="258D202F" w14:textId="77777777" w:rsidR="00BD211C" w:rsidRDefault="00000000">
      <w:r>
        <w:t>The latter criteria is verified on the basis of whether or not litigation has been initiated against the counterparty in connection with one or more environmental objectives.</w:t>
      </w:r>
    </w:p>
    <w:p w14:paraId="32186140" w14:textId="77777777" w:rsidR="00BD211C" w:rsidRDefault="00000000">
      <w:r>
        <w:t>To ensure greater accuracy in calculating the counterparties’ GHG emissions, it has been decided to adopt a hierarchy of data sources that gives priority to the data disclosed publicly by the counterparties themselves, and secondarily to data estimated by external providers using proprietary methodology based on the use of earnings indicators for the counterparties.</w:t>
      </w:r>
    </w:p>
    <w:p w14:paraId="6C57943D" w14:textId="77777777" w:rsidR="00BD211C" w:rsidRDefault="00000000">
      <w:r>
        <w:t>Mediobanca’s approach to calculating emissions is aligned with the PCAF methods for the following asset classes, Listed equity and corporate bonds.</w:t>
      </w:r>
    </w:p>
    <w:p w14:paraId="76DEC6A4" w14:textId="77777777" w:rsidR="00BD211C" w:rsidRDefault="00000000">
      <w:r>
        <w:t>Approach 1 If emissions data disclosed by the company or the info-providers’ estimates are provided, and also the Enterprise Value Including Cash EVIC, for listed companies and the Gross Carrying Amount, where 𝑐 refers to each counterparty.</w:t>
      </w:r>
    </w:p>
    <w:p w14:paraId="5B7783BA" w14:textId="77777777" w:rsidR="00BD211C" w:rsidRDefault="00000000">
      <w:r>
        <w:t>Approach 2, if the counterparty’s emissions are unavailable, but the counterparty’s EVIC and turnover are available, where 𝑠𝑒𝑐𝑡𝑜𝑟 and 𝑐𝑜𝑢𝑛𝑡𝑟𝑦 refer to the sector and country in which the counterparty being considered operate.</w:t>
      </w:r>
    </w:p>
    <w:p w14:paraId="1305640B" w14:textId="77777777" w:rsidR="00BD211C" w:rsidRDefault="00000000">
      <w:r>
        <w:t>Approach 3, if the EVIC and the counterparty’s emissions and turnover are unavailable or none of the data mentioned is available, The EVIC is obtained by asking the info-providers.</w:t>
      </w:r>
    </w:p>
    <w:p w14:paraId="50DBBBEF" w14:textId="77777777" w:rsidR="00BD211C" w:rsidRDefault="00000000">
      <w:r>
        <w:t>For properties which have come to be owned as a result of enforcement procedures, it has been possible to obtain EPC labels, while for a share of the commercial properties used as 126 collateral, energy efficiency data has been estimated using the methodologies developed internally for climate stress testing.</w:t>
      </w:r>
    </w:p>
    <w:p w14:paraId="18C593AC" w14:textId="77777777" w:rsidR="00BD211C" w:rsidRDefault="00000000">
      <w:r>
        <w:t>The definition of coherent and achievable objectives which result in real reductions in emissions is closely dependent upon counterparties’ correct sectors of operation being identified.</w:t>
      </w:r>
    </w:p>
    <w:p w14:paraId="6EBEEAC6" w14:textId="451D7331" w:rsidR="00BD211C" w:rsidRDefault="00000000">
      <w:r>
        <w:lastRenderedPageBreak/>
        <w:t>In order to classify the properties used as collateral that are exposed to physical risks, chronic and</w:t>
      </w:r>
      <w:r w:rsidR="005D59AF">
        <w:t xml:space="preserve"> </w:t>
      </w:r>
      <w:r>
        <w:t>or acute, a methodological approach has been adopted which is based on estimates of the size of the potential damages to earnings expected for the properties, which are calculated based on the precise geographical location of the asset, its technical features, the risk maps of the principal physical climate risk factors relevant for Italy and Europe, and the outstanding duration of the exposure guaranteed.</w:t>
      </w:r>
    </w:p>
    <w:p w14:paraId="2D419E19" w14:textId="77777777" w:rsidR="00BD211C" w:rsidRDefault="00000000">
      <w:r>
        <w:t>Exposures to Non-Financial Corporates To classify corporate counterparties exposed to physical climate risks, a methodology has been developed that allows a distinction to be made between chronic physical risks and acute physical risks, by using an approach that seeks to take into consideration all relevant dimensions that could impact on the estimate of a risk factor as complex and detailed as physical risk.</w:t>
      </w:r>
    </w:p>
    <w:p w14:paraId="495AFBC6" w14:textId="409673F0" w:rsidR="00BD211C" w:rsidRDefault="00000000">
      <w:r>
        <w:t>Columns, to, show the percentage of sustainable assets in view of the Climate Change Mitigation and Climate Change Adaptation objectives and at the Total level69 referred to in Article 9, letters a and b, Regulation 2020</w:t>
      </w:r>
      <w:r w:rsidR="005D59AF">
        <w:t xml:space="preserve"> </w:t>
      </w:r>
      <w:r>
        <w:t>852 the EU Taxonomy Regulation, which lays down the regulatory framework to promote sustainable investments, distinguishing between two different degrees of sustainability, Taxonomy-eligible assets, every asset that potentially contributes to one of the EU Taxonomy Regulation environmental objectives.</w:t>
      </w:r>
    </w:p>
    <w:p w14:paraId="4279BAD7" w14:textId="7662BE78" w:rsidR="00BD211C" w:rsidRDefault="00000000">
      <w:r>
        <w:t xml:space="preserve">A summary of the methodological approach used by the Group to quantify these assets is provided below, </w:t>
      </w:r>
      <w:r w:rsidR="00A0471B">
        <w:t>for</w:t>
      </w:r>
      <w:r>
        <w:t xml:space="preserve"> retail exposures for motor vehicle loans, loans collateralized by residential properties, and repossessed collaterals, the Group has used the technical and DNSH criteria laid down in Annex I of the Climate Delegated Act.</w:t>
      </w:r>
    </w:p>
    <w:p w14:paraId="530190C3" w14:textId="524CC567" w:rsidR="00BD211C" w:rsidRDefault="00000000">
      <w:r>
        <w:t>It should also be noted that the share of Taxonomy-aligned assets at the Total level is again equal to the sum of the two climate objectives CCM and CCA, in line with Commission Implementing Regulation 2022</w:t>
      </w:r>
      <w:r w:rsidR="005D59AF">
        <w:t xml:space="preserve"> </w:t>
      </w:r>
      <w:r>
        <w:t>2453.</w:t>
      </w:r>
    </w:p>
    <w:p w14:paraId="7E1B6DB1" w14:textId="77777777" w:rsidR="00BD211C" w:rsidRDefault="00000000">
      <w:r>
        <w:t>These sources amend the previous regulatory framework, by revising the approaches to be used in order to calculate the capital requirements, introduce definitions of simple, transparent and standardized securitizations that are subject to preferential treatment, with re-securitized positions strongly penalized to limit the use of them, and preserve the level of transparency and simplicity.</w:t>
      </w:r>
    </w:p>
    <w:p w14:paraId="7D4C0BDE" w14:textId="77777777" w:rsidR="00BD211C" w:rsidRDefault="00000000">
      <w:r>
        <w:t>Over a medium-term perspective, the Bank’s strategy for its exposure to equity, in view inter alia of the market conditions, is geared towards progressively valorizing its investments, without prejudice to the requisites in terms of the Bank’s profitability and risk profile approved by the Board of Directors in the Risk Appetite Framework.</w:t>
      </w:r>
    </w:p>
    <w:p w14:paraId="69704B7E" w14:textId="77777777" w:rsidR="00BD211C" w:rsidRDefault="00000000">
      <w:r>
        <w:t>In accordance with this strategy, the trading limits are set at an aggregate level in terms of overall exposure to the portfolio of holdings in non-financial companies, and by individual investment in the same portfolio at levels in terms of regulatory capital that are far lower than the current 74 In March 2024 Mediobanca and The Equity Club promoted the second round of their club deal The Equity Club 2.</w:t>
      </w:r>
    </w:p>
    <w:p w14:paraId="140D06C1" w14:textId="77777777" w:rsidR="00BD211C" w:rsidRDefault="00000000">
      <w:r>
        <w:lastRenderedPageBreak/>
        <w:t>To measure the risk of exposures in Undertakings in Collective Investments in Transferable Securities and to determine the relevant capital requirement, alternative calculation methods are applied, to ensure greater transparency, ⎯ Look-through approach, based on breaking down the investment into the individual underlying components in which the UCITS invests, and applying the respective weighting.</w:t>
      </w:r>
    </w:p>
    <w:p w14:paraId="52C8D5C1" w14:textId="77777777" w:rsidR="00BD211C" w:rsidRDefault="00000000">
      <w:r>
        <w:t>The increase in the sensitivity is due to the management metrics being fully aligned with the regulatory metrics.</w:t>
      </w:r>
    </w:p>
    <w:p w14:paraId="5FEA8983" w14:textId="6C2D90B6" w:rsidR="00BD211C" w:rsidRDefault="00000000">
      <w:r>
        <w:t>Interest rate risk management for the banking book is organized centrally at Mediobanca S</w:t>
      </w:r>
      <w:r w:rsidR="00A0471B">
        <w:t xml:space="preserve"> </w:t>
      </w:r>
      <w:r>
        <w:t>which defines the Group’s strategy and the guidelines with which the Group’s legal entities must comply.</w:t>
      </w:r>
    </w:p>
    <w:p w14:paraId="43AA5DA7" w14:textId="6E0D6618" w:rsidR="00BD211C" w:rsidRDefault="00000000">
      <w:r>
        <w:t>The objective is to manage the Group’s interest rate risk centrally, with a view to optimizing the balance sheet’s risk</w:t>
      </w:r>
      <w:r w:rsidR="005D59AF">
        <w:t xml:space="preserve"> </w:t>
      </w:r>
      <w:r>
        <w:t>return profile through on-balance sheet business policy and off-balancesheet derivatives transactions through the following actions, 186 ⎯ Transfer of risks to the ALM governance centre by the individual Group companies and the various business units of Mediobanca S.</w:t>
      </w:r>
    </w:p>
    <w:p w14:paraId="5F69AA99" w14:textId="63F9556D" w:rsidR="00BD211C" w:rsidRDefault="00000000">
      <w:r>
        <w:t>Directors’ responsibility for the Pillar 3 disclosure The directors of Mediobanca S</w:t>
      </w:r>
      <w:r w:rsidR="004362F3">
        <w:t xml:space="preserve"> t</w:t>
      </w:r>
      <w:r>
        <w:t>he Bank are responsible for the preparation of the Pillar 3 Disclosure in accordance with the provisions of Part Eight of Regulation no.</w:t>
      </w:r>
    </w:p>
    <w:p w14:paraId="73C29CE6" w14:textId="77777777" w:rsidR="00BD211C" w:rsidRDefault="00000000">
      <w:r>
        <w:t>The directors are also responsible for such internal control as they determine is necessary to enable the preparation of a Pillar 3 Disclosure that is free from material misstatement, whether due to fraud or error.</w:t>
      </w:r>
    </w:p>
    <w:p w14:paraId="0C0A2449" w14:textId="77777777" w:rsidR="00BD211C" w:rsidRDefault="00000000">
      <w:r>
        <w:t>Our firm applies International Standard on Quality Management 1 ISQM Italia 1 and accordingly maintains a comprehensive system of quality control including documented policies and procedures regarding compliance with ethical requirements, professional standards and applicable legal and regulatory requirements.</w:t>
      </w:r>
    </w:p>
    <w:p w14:paraId="7C1EBA3D" w14:textId="77777777" w:rsidR="00BD211C" w:rsidRDefault="00000000">
      <w:r>
        <w:t>Specifically, we carried out the following procedures, comparing the financial information presented in the Pillar 3 Disclosure to those included in the Group’s interim condensed consolidated financial statements as of 31 December 2024 and for the six months then ended, upon which we issued our limited review report dated 11 February 2025.</w:t>
      </w:r>
    </w:p>
    <w:p w14:paraId="41DBBF6E" w14:textId="77777777" w:rsidR="00BD211C" w:rsidRDefault="00000000">
      <w:r>
        <w:t>Interviews and discussions with Bank’s management to gather information on the accounting, reporting and technology systems used in preparing the Pillar 3 Disclosure and on the processes and internal control procedures used to gather, combine, process and transmit data and information to support the manager in charge of financial reporting for the purpose of preparing of the Pillar 3 Disclosure.</w:t>
      </w:r>
    </w:p>
    <w:sectPr w:rsidR="00BD21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976328033">
    <w:abstractNumId w:val="8"/>
  </w:num>
  <w:num w:numId="2" w16cid:durableId="1559974223">
    <w:abstractNumId w:val="6"/>
  </w:num>
  <w:num w:numId="3" w16cid:durableId="2051607282">
    <w:abstractNumId w:val="5"/>
  </w:num>
  <w:num w:numId="4" w16cid:durableId="1806314306">
    <w:abstractNumId w:val="4"/>
  </w:num>
  <w:num w:numId="5" w16cid:durableId="1859850528">
    <w:abstractNumId w:val="7"/>
  </w:num>
  <w:num w:numId="6" w16cid:durableId="8217313">
    <w:abstractNumId w:val="3"/>
  </w:num>
  <w:num w:numId="7" w16cid:durableId="1683169103">
    <w:abstractNumId w:val="2"/>
  </w:num>
  <w:num w:numId="8" w16cid:durableId="1942755834">
    <w:abstractNumId w:val="1"/>
  </w:num>
  <w:num w:numId="9" w16cid:durableId="932402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62F3"/>
    <w:rsid w:val="005235FB"/>
    <w:rsid w:val="005D59AF"/>
    <w:rsid w:val="005E7043"/>
    <w:rsid w:val="00776034"/>
    <w:rsid w:val="009F0164"/>
    <w:rsid w:val="00A0471B"/>
    <w:rsid w:val="00AA1D8D"/>
    <w:rsid w:val="00B47730"/>
    <w:rsid w:val="00BD211C"/>
    <w:rsid w:val="00CB0664"/>
    <w:rsid w:val="00DD13BF"/>
    <w:rsid w:val="00E51B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96746"/>
  <w14:defaultImageDpi w14:val="300"/>
  <w15:docId w15:val="{09875724-9D0E-9A4D-9EA8-55F97D78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3400</Words>
  <Characters>19380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8</cp:revision>
  <dcterms:created xsi:type="dcterms:W3CDTF">2013-12-23T23:15:00Z</dcterms:created>
  <dcterms:modified xsi:type="dcterms:W3CDTF">2025-08-12T19:51:00Z</dcterms:modified>
  <cp:category/>
</cp:coreProperties>
</file>