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27C2" w14:textId="10A2F93E" w:rsidR="001F5DDE" w:rsidRDefault="00000000">
      <w:r>
        <w:t>We are committed to be the engine of social progress for our people and our communities.</w:t>
      </w:r>
    </w:p>
    <w:p w14:paraId="6CE400AF" w14:textId="77777777" w:rsidR="001F5DDE" w:rsidRDefault="00000000">
      <w:r>
        <w:t>All of these form links in a chain of governance, and each link in the chain must perform its duties responsibly and adequately to ensure their mutual wellbeing.</w:t>
      </w:r>
    </w:p>
    <w:p w14:paraId="01FB3728" w14:textId="77777777" w:rsidR="001F5DDE" w:rsidRDefault="00000000">
      <w:r>
        <w:t>By continuing to act as a strong link in the chain of governance, we can support the ongoing recovery of Italy and other European countries, as part of our wider ambition to be the bank for Europes future.</w:t>
      </w:r>
    </w:p>
    <w:p w14:paraId="1D7FBD7E" w14:textId="77777777" w:rsidR="001F5DDE" w:rsidRDefault="00000000">
      <w:r>
        <w:t>Under our UniCredit Unlocked strategy, we continue to focus on our transformation as we seek to unlock further value for all our stakeholders.</w:t>
      </w:r>
    </w:p>
    <w:p w14:paraId="48955AF3" w14:textId="77777777" w:rsidR="001F5DDE" w:rsidRDefault="00000000">
      <w:r>
        <w:t>As a further example of the progress and development of our internal asset management capabilities, in 2023 we issued 18 onemarkets funds which you can read more about on as well as rolling out our internal investment platform in Central Europe.</w:t>
      </w:r>
    </w:p>
    <w:p w14:paraId="24CEF465" w14:textId="77777777" w:rsidR="001F5DDE" w:rsidRDefault="00000000">
      <w:r>
        <w:t>To enter, customers had to suggest ideas for improving the quality of life in the local community and our bank will implement the best idea.</w:t>
      </w:r>
    </w:p>
    <w:p w14:paraId="3282918C" w14:textId="77777777" w:rsidR="001F5DDE" w:rsidRDefault="00000000">
      <w:r>
        <w:t>For example, the ESG support we provided to help clients on their own journeys towards more environmentally responsible practices will have a far-reaching impact on Europe in the years to come.</w:t>
      </w:r>
    </w:p>
    <w:p w14:paraId="56166CF1" w14:textId="77777777" w:rsidR="001F5DDE" w:rsidRDefault="00000000">
      <w:r>
        <w:t>HypoVereinsbank has launched a series of educational initiatives targeted specifically at women, including customer events, webinars for customers and employees, and an awareness campaign known as #EmbraceEquity.</w:t>
      </w:r>
    </w:p>
    <w:p w14:paraId="355E4586" w14:textId="77777777" w:rsidR="001F5DDE" w:rsidRDefault="00000000">
      <w:r>
        <w:t>Supporting development in southern Italy During the year we disbursed €17 million to support the investment plans of two companies that are implementing projects in the Campania Special Economic Zone area of Italy.</w:t>
      </w:r>
    </w:p>
    <w:p w14:paraId="7C9DF5B3" w14:textId="77777777" w:rsidR="001F5DDE" w:rsidRDefault="00000000">
      <w:r>
        <w:t>Following the decisive actions we introduced in 2022 through the initial tranche of UniCredit per lItalia, which enabled households and businesses to cope with rising energy and commodity prices, this latest series of initiatives aims to give concrete support to individuals and families grappling with inflation, as well as to provide new resources for the development of specific sectors and territories.</w:t>
      </w:r>
    </w:p>
    <w:p w14:paraId="52E7D3EE" w14:textId="77777777" w:rsidR="001F5DDE" w:rsidRDefault="00000000">
      <w:r>
        <w:t>Tobias Bücher Culture Champion Germany Fabienne Ropeter People &amp; Culture Transformation Germany Read more on the microsite In Germany, for example, our 30 Culture Network members spearheaded the development of the Culture Jour fixe format, helping gather more feedback to support managers and empower colleagues.</w:t>
      </w:r>
    </w:p>
    <w:p w14:paraId="22BA2DB3" w14:textId="77777777" w:rsidR="001F5DDE" w:rsidRDefault="00000000">
      <w:r>
        <w:t>In less than a year since its official launch, our first Group-wide Volunteering Community has grown impressively, engaging employees from all countries in nearly 280 initiatives.</w:t>
      </w:r>
    </w:p>
    <w:p w14:paraId="5B77F681" w14:textId="77777777" w:rsidR="001F5DDE" w:rsidRDefault="00000000">
      <w:r>
        <w:t xml:space="preserve">We empower all colleagues across the Group to volunteer their time, through, Skills-based volunteering, sharing skills and competencies to drive the progress of our local </w:t>
      </w:r>
      <w:r>
        <w:lastRenderedPageBreak/>
        <w:t>communities through education, mentoring and coaching A dedicated Volunteering Day for all UniCredit Group employees, who can dedicate their time to a cause close to their heart Action Volunteering, where we can quickly mobilise our resources in emergencies We know that even a single day can make a big difference and we recognise the importance of extending our efforts across Europe so we can fulfil our Purpose.</w:t>
      </w:r>
    </w:p>
    <w:p w14:paraId="2438A1D6" w14:textId="77777777" w:rsidR="001F5DDE" w:rsidRDefault="00000000">
      <w:r>
        <w:t>We believe that when Diversity, Equity and Inclusion DE&amp;I work in harmony great things happen, People feel respected and valued for their contributions, directly impacting productivity People feel a sense of belonging, connection and shared pride, positively affecting health and well-being at work People feel able to express their views and ideas, fuelling creativity, innovation and diversity of thought People feel their potential is acknowledged, helping to unlock talent and improve performance and job satisfaction Together, this helps us achieve sustainable business growth and better serve everyone from clients and communities to shareholders.</w:t>
      </w:r>
    </w:p>
    <w:p w14:paraId="2BA54298" w14:textId="77777777" w:rsidR="001F5DDE" w:rsidRDefault="00000000">
      <w:r>
        <w:t>These dedicated teams have more than 1,000 members promoting DE&amp;I and running initiatives around gender, disability, the LGBTQIA+ community, ethnicity, the generational gap and care giving.</w:t>
      </w:r>
    </w:p>
    <w:p w14:paraId="7DF88F5E" w14:textId="77777777" w:rsidR="001F5DDE" w:rsidRDefault="00000000">
      <w:r>
        <w:t>Our DE&amp;I Global Policy supports our Culture transformation and defines expected behaviours by everyone in our Group, increasing transparency and providing direction on the ways we are addressing positive change.</w:t>
      </w:r>
    </w:p>
    <w:p w14:paraId="10C8D7B6" w14:textId="195373F1" w:rsidR="001F5DDE" w:rsidRDefault="00000000">
      <w:r>
        <w:t xml:space="preserve">As part of this </w:t>
      </w:r>
      <w:proofErr w:type="gramStart"/>
      <w:r>
        <w:t>commitment</w:t>
      </w:r>
      <w:proofErr w:type="gramEnd"/>
      <w:r>
        <w:t xml:space="preserve"> we launched our UniCredit C</w:t>
      </w:r>
      <w:r w:rsidR="00F81493">
        <w:t xml:space="preserve"> c</w:t>
      </w:r>
      <w:r>
        <w:t>ustomer, Action, Return on investment, Employee and Strategy programme.</w:t>
      </w:r>
    </w:p>
    <w:p w14:paraId="04081B44" w14:textId="77777777" w:rsidR="001F5DDE" w:rsidRDefault="00000000">
      <w:r>
        <w:t>We strive to support our employees growth by providing a unique and dynamic professional journey.</w:t>
      </w:r>
    </w:p>
    <w:p w14:paraId="460AB161" w14:textId="77777777" w:rsidR="001F5DDE" w:rsidRDefault="00000000">
      <w:r>
        <w:t>To further support colleagues personal and professional growth, in 2023 we introduced a new Employee Lifecycle Framework to guide them through their journey with UniCredit.</w:t>
      </w:r>
    </w:p>
    <w:p w14:paraId="2343C07D" w14:textId="77777777" w:rsidR="001F5DDE" w:rsidRDefault="00000000">
      <w:r>
        <w:t>The Framework includes onboarding, learning and development, compensation and benefits, and offboarding and alumni.</w:t>
      </w:r>
    </w:p>
    <w:p w14:paraId="793C449D" w14:textId="77777777" w:rsidR="001F5DDE" w:rsidRDefault="00000000">
      <w:r>
        <w:t>We continued to encourage learning and knowledge sharing through initiatives including smart buddying for managers, ask me anything sessions, a Flow &amp; Grow rotation programme, our Women-2-Women Academy, and Generation Tandems the latter harnessing and sharing the knowledge of the four generations of employees currently working across the Group Tandems the latter reflecting the four generations of employees currently working across the Group.</w:t>
      </w:r>
    </w:p>
    <w:p w14:paraId="182126A3" w14:textId="77777777" w:rsidR="001F5DDE" w:rsidRDefault="00000000">
      <w:r>
        <w:t>More than 8,000 colleagues have joined the initiative by completing an online questionnaire to discover their unique and distinctive characteristics, mapped against our Values and 2,200 have taken part in personalised training sessions as a result, led by our Talent Development Lab.</w:t>
      </w:r>
    </w:p>
    <w:p w14:paraId="4AD3E865" w14:textId="77777777" w:rsidR="001F5DDE" w:rsidRDefault="00000000">
      <w:r>
        <w:lastRenderedPageBreak/>
        <w:t>In 2024, to support this transformation, we will develop further processes aligned with our Values and we will continue to raise awareness among all our employees on the key mindset and behaviours we need from them in order to fulfil our mission.</w:t>
      </w:r>
    </w:p>
    <w:p w14:paraId="3E8758D6" w14:textId="77777777" w:rsidR="001F5DDE" w:rsidRDefault="00000000">
      <w:r>
        <w:t>In February we will officially launch our unified, holistic well-being approach, empowering our people throughout their employee lifecycle and in the moments that matter the most.</w:t>
      </w:r>
    </w:p>
    <w:p w14:paraId="6967E407" w14:textId="77777777" w:rsidR="001F5DDE" w:rsidRDefault="00000000">
      <w:r>
        <w:t>A world-leading gender equity and inclusion programme Milestone December UniCredit 2023 Annual Reports and Accounts 70 In 2023 we became the first pan-European bank with a Global EDGE Certification for gender equity and inclusion made possible by our accelerated efforts on diversity and inclusion at our banks in Hungary, Bulgaria, Czech Republic, Slovakia, Romania, Croatia, and Serbia.</w:t>
      </w:r>
    </w:p>
    <w:p w14:paraId="51A3DC06" w14:textId="77777777" w:rsidR="001F5DDE" w:rsidRDefault="00000000">
      <w:r>
        <w:t>EDGE Certification is the leading global standard for Diversity, Equity, and Inclusion, centred on a workplace gender and intersectional equity approach.</w:t>
      </w:r>
    </w:p>
    <w:p w14:paraId="163CB935" w14:textId="77777777" w:rsidR="001F5DDE" w:rsidRDefault="00000000">
      <w:r>
        <w:t>This assessment of more than 4,000 listed companies all over the world is based on 19 gender equality criteria, including gender balance from the board to the workforce the companys gender pay gap and policies relating to parental leave and sexual harassment, among other topics.</w:t>
      </w:r>
    </w:p>
    <w:p w14:paraId="3299F6BA" w14:textId="77777777" w:rsidR="001F5DDE" w:rsidRDefault="00000000">
      <w:r>
        <w:t>The event was a key moment for reflection on the importance of our guiding behaviours and Values, and their impact on our business and our employees as well as being an opportunity to celebrate all we achieved for our Culture throughout 2023.</w:t>
      </w:r>
    </w:p>
    <w:p w14:paraId="579B1A8E" w14:textId="77777777" w:rsidR="001F5DDE" w:rsidRDefault="00000000">
      <w:r>
        <w:t>Pride Month, in June, was an important moment to renew our support to the LGBTQIA+ community and spread awareness and positivity, promoting equal rights for all and celebrating colleagues across the Group.</w:t>
      </w:r>
    </w:p>
    <w:p w14:paraId="7456A362" w14:textId="77777777" w:rsidR="001F5DDE" w:rsidRDefault="00000000">
      <w:r>
        <w:t>Led by the Unicorns our Employee Network dedicated to the LGBTQIA+ community colleagues reinforced their United in diversity slogan.</w:t>
      </w:r>
    </w:p>
    <w:p w14:paraId="3AC6D2B9" w14:textId="77777777" w:rsidR="001F5DDE" w:rsidRDefault="00000000">
      <w:r>
        <w:t>And we showcased our dedication to supporting the LGBTQIA+ community beyond Pride Month alone, through initiatives including, Group training on Global DE&amp;I Policies and Unconscious Bias DE&amp;I Guidelines for Inclusive Language, Inclusive Recruitment and Gender Transition Diversity, Equity and Inclusion Global Policy and Policy against Harassment, Sexual Misconduct, Bullying and Anti retaliation Continued sharing and usage of inclusive icons Preferred pronouns in e signatures Being open to diversity is first and foremost an opportunity that enriches us.</w:t>
      </w:r>
    </w:p>
    <w:p w14:paraId="788EE13D" w14:textId="77777777" w:rsidR="001F5DDE" w:rsidRDefault="00000000">
      <w:r>
        <w:t>This Community will engage colleagues across our countries to support those that need it the most, either individually or alongside their teams putting our Value of Caring into action and transforming our volunteering efforts.</w:t>
      </w:r>
    </w:p>
    <w:p w14:paraId="1C63DFCB" w14:textId="77777777" w:rsidR="001F5DDE" w:rsidRDefault="00000000">
      <w:r>
        <w:t>In less than a year since its official launch, our first Group wide Volunteering Community has grown impressively, engaging employees from all countries in nearly 280 initiatives.</w:t>
      </w:r>
    </w:p>
    <w:p w14:paraId="3E8D212C" w14:textId="77777777" w:rsidR="001F5DDE" w:rsidRDefault="00000000">
      <w:r>
        <w:lastRenderedPageBreak/>
        <w:t>Our ambitions To hold ourselves to the highest possible standards in order to do the right thing both for our clients and for society To support our clients in a just and fair transition To reflect and respect the views of our stakeholders in our business and decision-making processes €59.</w:t>
      </w:r>
    </w:p>
    <w:p w14:paraId="473E7830" w14:textId="77777777" w:rsidR="001F5DDE" w:rsidRDefault="00000000">
      <w:r>
        <w:t>We want to have a positive social impact in line with our responsibilities as a social actor assisting our clients and communities in making meaningful progress towards a more sustainable, inclusive, and equitable society in the long term.</w:t>
      </w:r>
    </w:p>
    <w:p w14:paraId="4295B629" w14:textId="77777777" w:rsidR="001F5DDE" w:rsidRDefault="00000000">
      <w:r>
        <w:t>We are bigger, with a greater presence, and a bigger opportunity to drive change our position allows us to support our clients and provide the right financing for the transition to Net Zero.</w:t>
      </w:r>
    </w:p>
    <w:p w14:paraId="047A0BE1" w14:textId="77777777" w:rsidR="001F5DDE" w:rsidRDefault="00000000">
      <w:r>
        <w:t>One of the most powerful ways we can do this is through the financing of environmental initiatives.</w:t>
      </w:r>
    </w:p>
    <w:p w14:paraId="59266711" w14:textId="77777777" w:rsidR="001F5DDE" w:rsidRDefault="00000000">
      <w:r>
        <w:t>We are empowering our clients and communities to progress by supporting renewable energy projects and energy efficiency efforts.</w:t>
      </w:r>
    </w:p>
    <w:p w14:paraId="314CD716" w14:textId="77777777" w:rsidR="001F5DDE" w:rsidRDefault="00000000">
      <w:r>
        <w:t>The new product has a maximum duration of 10 years and is available to companies that commit to achieving at least two social improvement objectives relating to employee welfare and community support.</w:t>
      </w:r>
    </w:p>
    <w:p w14:paraId="6BE42DA6" w14:textId="77777777" w:rsidR="001F5DDE" w:rsidRDefault="00000000">
      <w:r>
        <w:t>For UniCredit, sustainable finance is essential to support the energy transition, providing concrete solutions to accelerate the journey of our customers and the communities in which we operate towards a more equitable and sustainable future.</w:t>
      </w:r>
    </w:p>
    <w:p w14:paraId="2BB81E29" w14:textId="77777777" w:rsidR="001F5DDE" w:rsidRDefault="00000000">
      <w:r>
        <w:t>In January 2024 we integrated these targets with an additional carbon-intensive sector, steel.</w:t>
      </w:r>
    </w:p>
    <w:p w14:paraId="5169D11A" w14:textId="77777777" w:rsidR="001F5DDE" w:rsidRDefault="00000000">
      <w:r>
        <w:t>Our ambition is to increase the measurable social impact we generate for our clients and the communities we operate in.</w:t>
      </w:r>
    </w:p>
    <w:p w14:paraId="6387B3DA" w14:textId="77777777" w:rsidR="001F5DDE" w:rsidRDefault="00000000">
      <w:r>
        <w:t>We have five strategic goals addressed to specific beneficiaries, that we support with financing and social initiatives, 1.</w:t>
      </w:r>
    </w:p>
    <w:p w14:paraId="680B9121" w14:textId="77777777" w:rsidR="001F5DDE" w:rsidRDefault="00000000">
      <w:r>
        <w:t>Support corporates to become more socially oriented, sustaining the development of social enterprises and improvement of the social impact made by corporate clients 3.</w:t>
      </w:r>
    </w:p>
    <w:p w14:paraId="1ECB7E26" w14:textId="77777777" w:rsidR="001F5DDE" w:rsidRDefault="00000000">
      <w:r>
        <w:t>Ensure communities sustainable progress, with focus on youth and education, supporting the stakeholders in our communities to tackle key social challenges 4.</w:t>
      </w:r>
    </w:p>
    <w:p w14:paraId="7FB34580" w14:textId="77777777" w:rsidR="001F5DDE" w:rsidRDefault="00000000">
      <w:r>
        <w:t>Ensure positive work conditions for employees, granting equal opportunities for all and striving for the highest working standards, including education, work life balance and Diversity, Equity and Inclusion Our Social Strategy reflects our commitment to assist our stakeholders in making meaningful progress towards a more sustainable and equitable society.</w:t>
      </w:r>
    </w:p>
    <w:p w14:paraId="1B7E4D91" w14:textId="77777777" w:rsidR="001F5DDE" w:rsidRDefault="00000000">
      <w:r>
        <w:lastRenderedPageBreak/>
        <w:t>So, because some of the countries we operate in are more advanced in their transition to Net Zero than others, we need to be flexible in the parameters we place on financing initiatives.</w:t>
      </w:r>
    </w:p>
    <w:p w14:paraId="57727623" w14:textId="77777777" w:rsidR="001F5DDE" w:rsidRDefault="00000000">
      <w:r>
        <w:t>In 2023 our Group ESG and Compliance functions coordinated a multidisciplinary working group to identify our definition of greenwashing, design the general principles and propose ESG product guidelines to be incorporated into the new product policy.</w:t>
      </w:r>
    </w:p>
    <w:p w14:paraId="5D2AFAF9" w14:textId="77777777" w:rsidR="001F5DDE" w:rsidRDefault="00000000">
      <w:r>
        <w:t>We are dedicated to mitigating the risks of greenwashing and socialwashing, while actively supporting sustainable economic growth, the transition to a more inclusive and equitable society, and the development of a lowcarbon economy.</w:t>
      </w:r>
    </w:p>
    <w:p w14:paraId="54EB0FA0" w14:textId="77777777" w:rsidR="001F5DDE" w:rsidRDefault="00000000">
      <w:r>
        <w:t>We also focus on our own social contribution, supporting our clients and communities with donations, sponsorship and partnership, education and training on ESG topics so that we can make a sustained, long-term difference.</w:t>
      </w:r>
    </w:p>
    <w:p w14:paraId="58C35FEA" w14:textId="77777777" w:rsidR="001F5DDE" w:rsidRDefault="00000000">
      <w:r>
        <w:t>Our colleagues at branches throughout the country completed intensive training on how to support people with dementia and help them remain active members of society for as long as possible, creating an inclusive environment for our customers.</w:t>
      </w:r>
    </w:p>
    <w:p w14:paraId="5A437856" w14:textId="77777777" w:rsidR="001F5DDE" w:rsidRDefault="00000000">
      <w:r>
        <w:t>Road to Social Change aims to generate positive social impact beyond lending alone, by developing and increasing competency and knowledge in the fields of sustainability and ESG.</w:t>
      </w:r>
    </w:p>
    <w:p w14:paraId="696C5D65" w14:textId="77777777" w:rsidR="001F5DDE" w:rsidRDefault="00000000">
      <w:r>
        <w:t>Sustainability in all its forms is an integral part of UniCredits strategy.</w:t>
      </w:r>
    </w:p>
    <w:p w14:paraId="7D47E9F1" w14:textId="77777777" w:rsidR="001F5DDE" w:rsidRDefault="00000000">
      <w:r>
        <w:t>A key tool of our ESG Digital Architecture is the ESG Cockpit, a unique dashboard supporting colleagues during the credit origination by displaying a set of relevant information for the sustainability assessment of each client including Environmental, Social and Governance factors, transition risk and physical risk.</w:t>
      </w:r>
    </w:p>
    <w:p w14:paraId="4AE6C53A" w14:textId="77777777" w:rsidR="001F5DDE" w:rsidRDefault="00000000">
      <w:r>
        <w:t>On the social side, we will spend today to collect tomorrow investing in projects and initiatives with a long-term horizon.</w:t>
      </w:r>
    </w:p>
    <w:p w14:paraId="12291385" w14:textId="77777777" w:rsidR="001F5DDE" w:rsidRDefault="00000000">
      <w:r>
        <w:t>In terms of measurable impacts on society, we will focus on youth and education, financial inclusion and the health of vulnerable people and enterprises, as well as supporting corporates to become more socially oriented.</w:t>
      </w:r>
    </w:p>
    <w:p w14:paraId="4CDE99CD" w14:textId="77777777" w:rsidR="001F5DDE" w:rsidRDefault="00000000">
      <w:r>
        <w:t>Our Net Zero journey has continued with new climate ambitions for steel the backbone of the European economy but also one of the primary contributors to CO subscript 2 emissions and will progress in 2024 with new targets to be set on other carbon-intensive sectors in our loan portfolio.</w:t>
      </w:r>
    </w:p>
    <w:p w14:paraId="12BF2810" w14:textId="77777777" w:rsidR="001F5DDE" w:rsidRDefault="00000000">
      <w:r>
        <w:t>Moreover, as the traditional scope of ESG broadens, we also intend to sharpen our focus on the nascent topics of biodiversity and the circular economy.</w:t>
      </w:r>
    </w:p>
    <w:p w14:paraId="4A70B871" w14:textId="77777777" w:rsidR="001F5DDE" w:rsidRDefault="00000000">
      <w:r>
        <w:lastRenderedPageBreak/>
        <w:t>We are part of the United Nations Environment Programme Finance Initiative UNEP FI, a network of banks, insurers and investors accelerating sustainable development, and were the first Italian bank to sign up to the Finance for Biodiversity Pledge, giving us fixed deadlines to support biodiversity by the end of 2024.</w:t>
      </w:r>
    </w:p>
    <w:p w14:paraId="61609D97" w14:textId="77777777" w:rsidR="001F5DDE" w:rsidRDefault="00000000">
      <w:r>
        <w:t>Our sustainability governance has been significantly strengthened in recent years at both steering and execution levels, which will help us further integrate ESG criteria into the Groups overall business strategy.</w:t>
      </w:r>
    </w:p>
    <w:p w14:paraId="528AA231" w14:textId="77777777" w:rsidR="001F5DDE" w:rsidRDefault="00000000">
      <w:r>
        <w:t>Widely anticipated by the market, the deal was a key focus of the investor community with 80+ accounts involved in early marketing phase.</w:t>
      </w:r>
    </w:p>
    <w:p w14:paraId="2B7D00B4" w14:textId="77777777" w:rsidR="001F5DDE" w:rsidRDefault="00000000">
      <w:r>
        <w:t>For the planet and future generations Milestone February In February 2023, taking another crucial step in our Net Zero journey, we announced the disclosure of 2030 targets for three of the most carbon intensive sectors within our loan portfolio Oil &amp; Gas, Power Generation and Automotive to reach our Net Zero ambition by 2050.</w:t>
      </w:r>
    </w:p>
    <w:p w14:paraId="7590B721" w14:textId="77777777" w:rsidR="001F5DDE" w:rsidRDefault="00000000">
      <w:r>
        <w:t>In January 2024, we complemented this first set of goals with targets for the Steel sector, another carbon intensive sector in our portfolio.</w:t>
      </w:r>
    </w:p>
    <w:p w14:paraId="4BCE609A" w14:textId="77777777" w:rsidR="001F5DDE" w:rsidRDefault="00000000">
      <w:r>
        <w:t>It includes dedicated initiatives focusing on, Strengthening advisory services for corporates in high emitting sectors Significantly boosting our sustainable lending green loans and sustainability linked loans to support our clients in their journey to decarbonise their operations and diversify away from carbon intensive sectors Supporting clients in the development and scaling up of innovative climate solutions Targeted partnerships with companies specialised in sustainability for specific sectors Our ambition is to announce the disclosure of targets for further sectors in 2024.</w:t>
      </w:r>
    </w:p>
    <w:p w14:paraId="475CD846" w14:textId="77777777" w:rsidR="001F5DDE" w:rsidRDefault="00000000">
      <w:r>
        <w:t>These targets reinforce our commitment to reach Net Zero on our own emissions by 2030 and on our financed emissions by 2050.</w:t>
      </w:r>
    </w:p>
    <w:p w14:paraId="4FE1D796" w14:textId="77777777" w:rsidR="001F5DDE" w:rsidRDefault="00000000">
      <w:r>
        <w:t>In 2023 UniCredit SpA published its Sustainability Bond Report, related to the allocation and impact of three important, ESG-focused bonds, our €1 billion Senior Preferred Green Bond issued in June 2021, our €1 billion Senior Non-preferred Green Bond issued in November 2022, and our €155 million Retail Social Bond issued in October 2021.</w:t>
      </w:r>
    </w:p>
    <w:p w14:paraId="26186D63" w14:textId="77777777" w:rsidR="001F5DDE" w:rsidRDefault="00000000">
      <w:r>
        <w:t>The proceeds of the two green bonds have been allocated entirely towards the funding of renewable energy and green buildings, while the social bond has thus far financed 88 social impact initiatives in Italy.</w:t>
      </w:r>
    </w:p>
    <w:p w14:paraId="122924EB" w14:textId="77777777" w:rsidR="001F5DDE" w:rsidRDefault="00000000">
      <w:r>
        <w:t>We continue to work towards having a positive social impact in line with our role and responsibilities as a social actor.</w:t>
      </w:r>
    </w:p>
    <w:p w14:paraId="4F79F674" w14:textId="77777777" w:rsidR="001F5DDE" w:rsidRDefault="00000000">
      <w:r>
        <w:t>Our partnership is a powerful union based on shared values and a common focus on diversity, innovation and a steadfast commitment to sustainability.</w:t>
      </w:r>
    </w:p>
    <w:p w14:paraId="14F0AAFE" w14:textId="77777777" w:rsidR="001F5DDE" w:rsidRDefault="00000000">
      <w:r>
        <w:lastRenderedPageBreak/>
        <w:t>AC37 Event Ltd and World Sailings sustainability agreement will ensure investments are made into community projects as part of Barcelonas innovative Blue Economy, which supports the regions marine environment, and that World Sailings sustainability strategy, Agenda 2030, is supported.</w:t>
      </w:r>
    </w:p>
    <w:p w14:paraId="6FDC867F" w14:textId="77777777" w:rsidR="001F5DDE" w:rsidRDefault="00000000">
      <w:r>
        <w:t>The support of this prestigious opera house enriches our commitment to promoting art in all its forms and is part of our broader efforts to support culture as a driver of social and economic development.</w:t>
      </w:r>
    </w:p>
    <w:p w14:paraId="7A20A720" w14:textId="77777777" w:rsidR="001F5DDE" w:rsidRDefault="00000000">
      <w:r>
        <w:t>Our Bank is proud to support culture as a driver of social, economic and sustainable development of the communities and territories we serve.</w:t>
      </w:r>
    </w:p>
    <w:p w14:paraId="51B87388" w14:textId="77777777" w:rsidR="001F5DDE" w:rsidRDefault="00000000">
      <w:r>
        <w:t>The goal was to bring more young people to the theatre, making them aware of its inclusive nature and the many training courses and workshops open to those who want to develop and grow their talents.</w:t>
      </w:r>
    </w:p>
    <w:p w14:paraId="2C34FA74" w14:textId="77777777" w:rsidR="001F5DDE" w:rsidRDefault="00000000">
      <w:r>
        <w:t>As a bank, we have a long tradition of supporting the most prestigious cultural activities in the country, with the awareness that investing in culture can generate significant benefits for the sustainable social and economic development of our territories.</w:t>
      </w:r>
    </w:p>
    <w:p w14:paraId="07790A03" w14:textId="77777777" w:rsidR="001F5DDE" w:rsidRDefault="00000000">
      <w:r>
        <w:t>This strategy reaffirms our commitment to cultural partnerships, educational programmes, and community projects which enable greater access to the arts and foster social development.</w:t>
      </w:r>
    </w:p>
    <w:p w14:paraId="4981CEB6" w14:textId="77777777" w:rsidR="001F5DDE" w:rsidRDefault="00000000">
      <w:r>
        <w:t>Today they can provide a water supply to around 200 trees and their system has a throughput of 12-15 m cubed per h.</w:t>
      </w:r>
    </w:p>
    <w:p w14:paraId="13E3E9BF" w14:textId="77777777" w:rsidR="001F5DDE" w:rsidRDefault="00000000">
      <w:r>
        <w:t>But their support for the community did not end there.</w:t>
      </w:r>
    </w:p>
    <w:p w14:paraId="298AFEC2" w14:textId="77777777" w:rsidR="001F5DDE" w:rsidRDefault="00000000">
      <w:r>
        <w:t>The cistern and the concept behind it are in line with our sustainability goals, so there was no question of finding a solution for rainwater collection on the roof of our headquarters.</w:t>
      </w:r>
    </w:p>
    <w:p w14:paraId="545C1F0F" w14:textId="77777777" w:rsidR="001F5DDE" w:rsidRDefault="00000000">
      <w:r>
        <w:t>Sustainability is also an increasingly important issue for our customers, and we are supporting our business and reputational objectives with this solution.</w:t>
      </w:r>
    </w:p>
    <w:p w14:paraId="6D206055" w14:textId="77777777" w:rsidR="001F5DDE" w:rsidRDefault="00000000">
      <w:r>
        <w:t>We act as a value chain leader partner, playing a strategic role in the sustainable development of the Italian corporate sector and, more broadly, with initiatives and solutions aimed at companies of every size.</w:t>
      </w:r>
    </w:p>
    <w:p w14:paraId="0E1C8D93" w14:textId="77777777" w:rsidR="001F5DDE" w:rsidRDefault="00000000">
      <w:r>
        <w:t>Launched by Eni in 2021 and today involving more than 10,000 companies and 20 partners, Open-es represents an inclusive and collaborative community with a virtuous commitment on ESG targets.</w:t>
      </w:r>
    </w:p>
    <w:p w14:paraId="786FFB11" w14:textId="77777777" w:rsidR="001F5DDE" w:rsidRDefault="00000000">
      <w:r>
        <w:t>Our colleagues contributions are a testament to our power to unite hearts beyond the boundaries of our geographies to support the communities we serve and make a difference putting integrity, ownership and caring at the heart of our decision-making and everything we do.</w:t>
      </w:r>
    </w:p>
    <w:p w14:paraId="7AFFC3FE" w14:textId="77777777" w:rsidR="001F5DDE" w:rsidRDefault="00000000">
      <w:r>
        <w:lastRenderedPageBreak/>
        <w:t>Considering, in addition, that the projects aim to improve the healthcare offering serving densely populated and developing geographic areas, there is full consistency with our UniCredit Unlocked plan, oriented to provide customers with suitable tools and to support investment projects with a positive social impact.</w:t>
      </w:r>
    </w:p>
    <w:p w14:paraId="410EDB0A" w14:textId="77777777" w:rsidR="001F5DDE" w:rsidRDefault="00000000">
      <w:r>
        <w:t>Following the first successful issue which took place in 2021, this latest Green Bond raised €1 billion and showcased a large breadth of 30 different projects consistent with the States Sustainability Strategy.</w:t>
      </w:r>
    </w:p>
    <w:p w14:paraId="71F5DA88" w14:textId="77777777" w:rsidR="001F5DDE" w:rsidRDefault="00000000">
      <w:r>
        <w:t>These include, for example environmentally friendly public transport, measures for the forest, organic farming and nature conservation as well as CO subscript 2 neutral state administration.</w:t>
      </w:r>
    </w:p>
    <w:p w14:paraId="7FCD93AE" w14:textId="77777777" w:rsidR="001F5DDE" w:rsidRDefault="00000000">
      <w:r>
        <w:t>The upgrade was driven largely by our efforts to strengthen our focus on social issues, with MSCI citing our industry-leading consumer protection practices and financial literacy programmes, as well as the fact we do not offer high-risk financial products to our retail customer base.</w:t>
      </w:r>
    </w:p>
    <w:p w14:paraId="0CA77938" w14:textId="77777777" w:rsidR="001F5DDE" w:rsidRDefault="00000000">
      <w:r>
        <w:t>On the social side, we know that banks such as ours have an important social function which goes far beyond lending, and we will continue to support impactful initiatives and hold ourselves to account.</w:t>
      </w:r>
    </w:p>
    <w:p w14:paraId="0FE20854" w14:textId="77777777" w:rsidR="001F5DDE" w:rsidRDefault="00000000">
      <w:r>
        <w:t>We firmly believe that a responsible financial institution should support the cultural and social fabric of the communities in which it operates, and that is why in recent years we have strengthened our commitment to social and cultural themes.</w:t>
      </w:r>
    </w:p>
    <w:p w14:paraId="6D662DB8" w14:textId="77777777" w:rsidR="001F5DDE" w:rsidRDefault="00000000">
      <w:r>
        <w:t>To better meet our customers and clients daily banking needs, and to support our colleagues personal and professional development, we are creating innovative digital solutions, continually refining cybersecurity in the face of rapidly evolving threats, and building a digital culture throughout the Group.</w:t>
      </w:r>
    </w:p>
    <w:p w14:paraId="03F4D652" w14:textId="77777777" w:rsidR="001F5DDE" w:rsidRDefault="00000000">
      <w:r>
        <w:t>To reduce complexity and implement leaner governance, we have reassessed the IT platforms and applications we pay for versus those we create in-house, as well as the consultants and suppliers we outsource to with a view to ensuring we are investing our resources as efficiently and effectively as possible.</w:t>
      </w:r>
    </w:p>
    <w:p w14:paraId="62CEBF9C" w14:textId="77777777" w:rsidR="001F5DDE" w:rsidRDefault="00000000">
      <w:r>
        <w:t>In addition to bringing cost efficiencies, these actions support the simpler, faster development of innovative new applications that bring us closer to our clients.</w:t>
      </w:r>
    </w:p>
    <w:p w14:paraId="3099A9E0" w14:textId="77777777" w:rsidR="001F5DDE" w:rsidRDefault="00000000">
      <w:r>
        <w:t>We are reflecting diversity both in our intake of new talent more than 700 new people have joined our Digital team since our transformation began under our UniCredit Unlocked strategy as well as in our management and development of those already in house.</w:t>
      </w:r>
    </w:p>
    <w:p w14:paraId="1216C6ED" w14:textId="77777777" w:rsidR="001F5DDE" w:rsidRDefault="00000000">
      <w:r>
        <w:t>We have rolled out a new agile way of working, enabling us to increase efficiency through shorter development cycles and lower overall costs.</w:t>
      </w:r>
    </w:p>
    <w:p w14:paraId="0EDA2FB1" w14:textId="77777777" w:rsidR="001F5DDE" w:rsidRDefault="00000000">
      <w:r>
        <w:lastRenderedPageBreak/>
        <w:t>Directly aligned with the needs of our users across all our business lines, this model is based on technical competencies encouraging the development of skills in house, reducing management overheads, and providing a direct line to execution for the business.</w:t>
      </w:r>
    </w:p>
    <w:p w14:paraId="6364589D" w14:textId="77777777" w:rsidR="001F5DDE" w:rsidRDefault="00000000">
      <w:r>
        <w:t>For our colleagues who enable faster datadriven decision making We are streamlining and modernising processes across the Digital team to minimise administrative tasks, standardise regulatory compliance, and drive greater speed and efficiency.</w:t>
      </w:r>
    </w:p>
    <w:p w14:paraId="1BA86B89" w14:textId="77777777" w:rsidR="001F5DDE" w:rsidRDefault="00000000">
      <w:r>
        <w:t>These areas include an Idea Lab an open space with high-top tables and a multitouch board for hybrid meetings and an enclosed Think Tank for focus work.</w:t>
      </w:r>
    </w:p>
    <w:p w14:paraId="27321AD9" w14:textId="77777777" w:rsidR="001F5DDE" w:rsidRDefault="00000000">
      <w:r>
        <w:t>We not only offer a gift matching scheme Gift Matching Program that doubles employee donations, but have also developed summer school scholarships that can improve employees skills and knowledge.</w:t>
      </w:r>
    </w:p>
    <w:p w14:paraId="483CB386" w14:textId="77777777" w:rsidR="001F5DDE" w:rsidRDefault="00000000">
      <w:r>
        <w:t>Early in 2023, more than 1,700 employees contributed to help organisations such as Red Cross, Save the Children and UNHCR support victims of the earthquake in Turkey and Syria.</w:t>
      </w:r>
    </w:p>
    <w:p w14:paraId="5BBFFA76" w14:textId="77777777" w:rsidR="001F5DDE" w:rsidRDefault="00000000">
      <w:r>
        <w:t>From 2024 onwards, we have added a new volunteering aspect to the project, enabling our employees to donate their time and skills to support the JA Europe team.</w:t>
      </w:r>
    </w:p>
    <w:p w14:paraId="6EF87873" w14:textId="77777777" w:rsidR="001F5DDE" w:rsidRDefault="00000000">
      <w:r>
        <w:t>In 2023, our employees also played their part by volunteering their time and expertise to support Teach For Alls efforts, and many more will be engaged in the years to come.</w:t>
      </w:r>
    </w:p>
    <w:p w14:paraId="4D31D015" w14:textId="77777777" w:rsidR="001F5DDE" w:rsidRDefault="00000000">
      <w:r>
        <w:t>A section dedicated to Corporate Governance is also included within the document.</w:t>
      </w:r>
    </w:p>
    <w:p w14:paraId="0B089CA9" w14:textId="77777777" w:rsidR="001F5DDE" w:rsidRDefault="00000000">
      <w:r>
        <w:t>This growth was supported by the favorable interest rate environment combined with prudent deposit beta Note 6 management and a selective activity of commercial development.</w:t>
      </w:r>
    </w:p>
    <w:p w14:paraId="646EA981" w14:textId="77777777" w:rsidR="001F5DDE" w:rsidRDefault="00000000">
      <w:r>
        <w:t>The development of Group operations with a view to value creation requires a process of allocating and managing capital governed by different phases in the process of planning and control, articulated as, formulation of the proposed risk propensity and capitalisation targets.</w:t>
      </w:r>
    </w:p>
    <w:p w14:paraId="046996DA" w14:textId="77777777" w:rsidR="001F5DDE" w:rsidRDefault="00000000">
      <w:r>
        <w:t>The Group dynamically manages its capital base by monitoring regulatory capital ratios, anticipating the appropriate changes necessary to achieve its defined targets, and optimising the composition of its assets and equity.</w:t>
      </w:r>
    </w:p>
    <w:p w14:paraId="61CCECA1" w14:textId="77777777" w:rsidR="001F5DDE" w:rsidRDefault="00000000">
      <w:r>
        <w:t>Following the financial crisis that unfolded in 2007-2008, the European Union implemented a substantial reform of the financial services regulatory framework to enhance the resilience of its financial institutions.</w:t>
      </w:r>
    </w:p>
    <w:p w14:paraId="0D9EC89D" w14:textId="77777777" w:rsidR="001F5DDE" w:rsidRDefault="00000000">
      <w:r>
        <w:t>In terms of climate-related information, in August 2023 a separate document dedicated to disclosure aligned with TCFD Task Force on Climate-related Financial Disclosures recommendations has been issued.</w:t>
      </w:r>
    </w:p>
    <w:p w14:paraId="1F82E6A2" w14:textId="77777777" w:rsidR="001F5DDE" w:rsidRDefault="00000000">
      <w:r>
        <w:lastRenderedPageBreak/>
        <w:t>Research and development projects Research activities during 2023 were mainly focused on cryptography, streaming architectures and reinforcement learning.</w:t>
      </w:r>
    </w:p>
    <w:p w14:paraId="7BD6A625" w14:textId="77777777" w:rsidR="001F5DDE" w:rsidRDefault="00000000">
      <w:r>
        <w:t>Proceeds are earmarked to fund eligible projects in renewable energy, clean transportation, and green buildings as outlined in our Framework.</w:t>
      </w:r>
    </w:p>
    <w:p w14:paraId="74B0DCB6" w14:textId="77777777" w:rsidR="001F5DDE" w:rsidRDefault="00000000">
      <w:r>
        <w:t>The EBA Board of Supervisors approved the package for the 2023 EU-wide Transparency Exercise, which since 2016 is performed on an annual basis and published along with the Risk Assessment Report .</w:t>
      </w:r>
    </w:p>
    <w:p w14:paraId="40103B50" w14:textId="77777777" w:rsidR="001F5DDE" w:rsidRDefault="00000000">
      <w:r>
        <w:t>Organisational structure UniCredit adopts an organizational and business model that, while guaranteeing the autonomy of countrieslocal banks on specific activities in order to ensure greater proximity to customers and efficient decision-making processes, maintains a divisional structure for the governance of businessproducts, as well as global control over Digital and Operation functions.</w:t>
      </w:r>
    </w:p>
    <w:p w14:paraId="49C03604" w14:textId="77777777" w:rsidR="001F5DDE" w:rsidRDefault="00000000">
      <w:r>
        <w:t>Group Operations, responsible for the oversight of the operating machine with a specific focus on costs, procurement, real estate, operations performance management, in coherence with the defined Group strategies, by ensuring at the same time synergies, savings and operational excellence.</w:t>
      </w:r>
    </w:p>
    <w:p w14:paraId="6DE51C01" w14:textId="77777777" w:rsidR="001F5DDE" w:rsidRDefault="00000000">
      <w:r>
        <w:t>For further information refer to paragraph Share Buy-Back Programmes in the chapter Group activities development operations and other corporate transactions, Other information on Group activities of this Consolidated report on operations.</w:t>
      </w:r>
    </w:p>
    <w:p w14:paraId="0970496E" w14:textId="77777777" w:rsidR="001F5DDE" w:rsidRDefault="00000000">
      <w:r>
        <w:t>In line with practice on major international markets, the Code identifies goals for a sound corporate governance, as well as the behaviors deemed appropriate for their achievements recommended by the Italian Corporate Governance Committee to companies listed in Italy, to be applied according to the comply or explain principle that requires explanation in the corporate governance report of any reasons for failure to comply with one or more recommended best practices.</w:t>
      </w:r>
    </w:p>
    <w:p w14:paraId="33BDA634" w14:textId="77777777" w:rsidR="001F5DDE" w:rsidRDefault="00000000">
      <w:r>
        <w:t>Legal accounting supervision is assigned to an external audit firm by the Shareholders' Meeting on the basis of a proposal from the Board of Statutory Auditors, in compliance with relevant current laws.</w:t>
      </w:r>
    </w:p>
    <w:p w14:paraId="0D9DD6EF" w14:textId="77777777" w:rsidR="001F5DDE" w:rsidRDefault="00000000">
      <w:r>
        <w:t>These include the appointment and dismissal of directors, the appointment of the Board of Statutory Auditors members, the assignment of the mandate for the external auditing to an audit firm, the setting of the related remuneration, as well as the approval of the financial statements, the profit allocations, the resolutions on the remuneration and incentive policies and practices provided for by current provisions and the criteria to determine the compensation to be granted in the event of early termination of employment or early retirement from office.</w:t>
      </w:r>
    </w:p>
    <w:p w14:paraId="7B4B5195" w14:textId="77777777" w:rsidR="001F5DDE" w:rsidRDefault="00000000">
      <w:r>
        <w:t xml:space="preserve">UniCredit 2023 Annual Reports and Accounts 187 Corporate Governance Governance structure As a result of the evaluations performed, the Board of Directors, in its meeting </w:t>
      </w:r>
      <w:r>
        <w:lastRenderedPageBreak/>
        <w:t>held on 31 July 2023, resolved to adopt the one-tier corporate governance system, in lieu of the traditional one.</w:t>
      </w:r>
    </w:p>
    <w:p w14:paraId="1385BB44" w14:textId="77777777" w:rsidR="001F5DDE" w:rsidRDefault="00000000">
      <w:r>
        <w:t>The outcome of these Board assessments shall be disclosed to the market after the appointment, through a press release and, subsequently, via the Corporate Governance Report.</w:t>
      </w:r>
    </w:p>
    <w:p w14:paraId="0C6DD608" w14:textId="77777777" w:rsidR="001F5DDE" w:rsidRDefault="00000000">
      <w:r>
        <w:t>In order to assess the potential significance of the above-mentioned relationships, the Board of Directors has decided not to proceed with merely identifying predefined economic thresholds above which independence would be automatically compromised, as such assessment requires an overall evaluation of both objective and subjective aspects.</w:t>
      </w:r>
    </w:p>
    <w:p w14:paraId="6CB89877" w14:textId="77777777" w:rsidR="001F5DDE" w:rsidRDefault="00000000">
      <w:r>
        <w:t>UniCredit 2023 Annual Reports and Accounts 189 Corporate Governance Governance structure Status and activities of the Directors In the following chart the information regarding the members of the Board of Directors in office at the approval date of this document is reported.</w:t>
      </w:r>
    </w:p>
    <w:p w14:paraId="00BE09D7" w14:textId="77777777" w:rsidR="001F5DDE" w:rsidRDefault="00000000">
      <w:r>
        <w:t>More specifically, the Internal Controls &amp; Risks Committee, the Corporate Governance &amp; Nomination Committee, the ESG Committee and the Remuneration Committee, all set up in compliance with the provisions contained in the Banca dItalia Supervisory Regulations on banks corporate governance, are composed of non-executives Directors, mostly independent.</w:t>
      </w:r>
    </w:p>
    <w:p w14:paraId="158C3348" w14:textId="77777777" w:rsidR="001F5DDE" w:rsidRDefault="00000000">
      <w:r>
        <w:t>The Chair of each Committee, at the first available Board of Directors meeting, reports on the activities carried out during the Committee meetings, with the support of specific documentation.</w:t>
      </w:r>
    </w:p>
    <w:p w14:paraId="3E981126" w14:textId="77777777" w:rsidR="001F5DDE" w:rsidRDefault="00000000">
      <w:r>
        <w:t>Committee meetings are attended by the Chair of the Board of Statutory Auditors, the Head of Internal Audit, the Group Compliance Officer and the Group Risk Officer.</w:t>
      </w:r>
    </w:p>
    <w:p w14:paraId="6AD6A26D" w14:textId="77777777" w:rsidR="001F5DDE" w:rsidRDefault="00000000">
      <w:r>
        <w:t>Among other things, the Committee, a with the support of the Corporate Governance &amp; Nomination Committee, identifies and proposes to the Board the Heads of the corporate control functions to be appointed or assesses the evaluation of their dismissal.</w:t>
      </w:r>
    </w:p>
    <w:p w14:paraId="472219FF" w14:textId="77777777" w:rsidR="001F5DDE" w:rsidRDefault="00000000">
      <w:r>
        <w:t>Furthermore, as regards investments in non-financial equities, the Committee assesses, supports and puts forward proposals with regard to organizing and enacting internal controls on the making and managing of equity investments in non-financial companies, in addition to verifying compliance within the framework of such equity investments in terms of strategic and operational guidelines.</w:t>
      </w:r>
    </w:p>
    <w:p w14:paraId="024C22C8" w14:textId="77777777" w:rsidR="001F5DDE" w:rsidRDefault="00000000">
      <w:r>
        <w:t>Duties Among other things, the Committee, a provides opinions and support to the Board regarding the definition of the UniCredit corporate governance system, corporate structure and Group governance models and guidelines.</w:t>
      </w:r>
    </w:p>
    <w:p w14:paraId="3DDF0FA6" w14:textId="77777777" w:rsidR="001F5DDE" w:rsidRDefault="00000000">
      <w:r>
        <w:t>Moreover, the Committee, provides support, coordinating with the Internal Controls &amp; Risks Committee, in proposing candidates or assessing dismissal for the roles of Heads of corporate control functions to the Board of Directors.</w:t>
      </w:r>
    </w:p>
    <w:p w14:paraId="3168279A" w14:textId="77777777" w:rsidR="001F5DDE" w:rsidRDefault="00000000">
      <w:r>
        <w:lastRenderedPageBreak/>
        <w:t>Duties The purpose of the ESG Committee is to support the Board of Directors in fulfilling its responsibilities with respect to the ESG integral components on the Groups business strategy and sustainability.</w:t>
      </w:r>
    </w:p>
    <w:p w14:paraId="03C416B1" w14:textId="77777777" w:rsidR="001F5DDE" w:rsidRDefault="00000000">
      <w:r>
        <w:t>The ESG Committee shall provide opinions and support to the other Board Committees to ensure the alignment of the Groups policies to UniCredits ESG principles and objectives.</w:t>
      </w:r>
    </w:p>
    <w:p w14:paraId="14A72C51" w14:textId="77777777" w:rsidR="001F5DDE" w:rsidRDefault="00000000">
      <w:r>
        <w:t>The Committee also oversees, ESG and sustainability-related developments also considering international guidelines and principles and market developments, monitoring the positioning of the Group with respect to national and international best practices in the ESG field.</w:t>
      </w:r>
    </w:p>
    <w:p w14:paraId="6C5BD2C0" w14:textId="77777777" w:rsidR="001F5DDE" w:rsidRDefault="00000000">
      <w:r>
        <w:t>In order for the incentives included in the compensation and incentive schemes to be consistent with the Banks risk, capital and liquidity management, as well as to get updates on the market trends, compensation levels and regulatory developments, an external advisor also attends Committee meetings.</w:t>
      </w:r>
    </w:p>
    <w:p w14:paraId="19B0F9DA" w14:textId="77777777" w:rsidR="001F5DDE" w:rsidRDefault="00000000">
      <w:r>
        <w:t>UniCredit 2023 Annual Reports and Accounts 199 Corporate Governance Group Executive Committee The Group Executive Committee is a Managerial Committee that has been set up in order to ensure the effective steering, coordination and control of Group business, as well as an effective managerial alignment across the Group.</w:t>
      </w:r>
    </w:p>
    <w:p w14:paraId="356DDB77" w14:textId="77777777" w:rsidR="001F5DDE" w:rsidRDefault="00000000">
      <w:r>
        <w:t>As regards the actions taken in recent years to strengthen our governance and align it with international best practices, improving the composition and functioning of the Board of Directors has been a fundamental commitment for our Group.</w:t>
      </w:r>
    </w:p>
    <w:p w14:paraId="7444BF8C" w14:textId="0C921753" w:rsidR="001F5DDE" w:rsidRDefault="00000000">
      <w:r>
        <w:t>The change in the Group share capital referred to the increase for +€58 million following the resolution of the Board of Directors of 16 February 2023 of UniCredit S</w:t>
      </w:r>
      <w:r w:rsidR="00EA3B8E">
        <w:t xml:space="preserve"> e</w:t>
      </w:r>
      <w:r>
        <w:t>xecuted through the withdrawal from the specifically constituted reserve, for the issue of the shares connected to the mediumterm incentive plan for Group personnel.</w:t>
      </w:r>
    </w:p>
    <w:p w14:paraId="0BFFD080" w14:textId="6CF2D622" w:rsidR="001F5DDE" w:rsidRDefault="00000000">
      <w:r>
        <w:t>Following the resolutions of the Shareholders' Meeting of UniCredit S</w:t>
      </w:r>
      <w:r w:rsidR="004C50C3">
        <w:t xml:space="preserve"> o</w:t>
      </w:r>
      <w:r>
        <w:t xml:space="preserve">f 31 March 2023, the following events occurred allocation of the net profit of the year 2022 to Reserves from profits and </w:t>
      </w:r>
      <w:proofErr w:type="gramStart"/>
      <w:r>
        <w:t>in particular to</w:t>
      </w:r>
      <w:proofErr w:type="gramEnd"/>
      <w:r w:rsidR="009A307F">
        <w:t xml:space="preserve"> </w:t>
      </w:r>
      <w:r>
        <w:t>specific Reserve for social, charity and cultural initiatives for €5 million.</w:t>
      </w:r>
    </w:p>
    <w:p w14:paraId="2852841C" w14:textId="3D0F89D6" w:rsidR="001F5DDE" w:rsidRDefault="00000000">
      <w:r>
        <w:t>The change in the Group share capital referred to the increase for +€87 million following the resolution of the Board of Directors of 15 February 2022 of UniCredit S</w:t>
      </w:r>
      <w:r w:rsidR="008F1139">
        <w:t xml:space="preserve">, </w:t>
      </w:r>
      <w:r>
        <w:t>executed through the withdrawal from the specifically constituted reserve, for the issue of the shares connected to the mediumterm incentive plan for Group personnel.</w:t>
      </w:r>
    </w:p>
    <w:p w14:paraId="00A2DE99" w14:textId="77777777" w:rsidR="001F5DDE" w:rsidRDefault="00000000">
      <w:r>
        <w:t>With reference to subsidiaries, we note that in some jurisdictions and for some foreign entities of the Group, commitments to maintain local supervisory capital higher than regulatory thresholds may exist also because of SREP performed at local level.</w:t>
      </w:r>
    </w:p>
    <w:p w14:paraId="03423E72" w14:textId="77777777" w:rsidR="001F5DDE" w:rsidRDefault="00000000">
      <w:r>
        <w:t xml:space="preserve">The partnership with CVA will strengthen UniCredit's Group-wide Green Energy Procurement strategy and support the de-carbonisation of Italy's energy system by </w:t>
      </w:r>
      <w:r>
        <w:lastRenderedPageBreak/>
        <w:t>increasing the country's renewable energy capacity and self-sufficiency, while decreasing dependence on imported energy.</w:t>
      </w:r>
    </w:p>
    <w:p w14:paraId="1F624AFF" w14:textId="77777777" w:rsidR="001F5DDE" w:rsidRDefault="00000000">
      <w:r>
        <w:t>In addition, UniCredit's choice to enter a dedicated green PPA is fully in line with Italian and European legislation Clean Energy Package, which sees PPA as a fundamental way to develop new renewable energy installations and achieve the objectives of the European Green Deal.</w:t>
      </w:r>
    </w:p>
    <w:p w14:paraId="18E3E4BA" w14:textId="77777777" w:rsidR="001F5DDE" w:rsidRDefault="00000000">
      <w:r>
        <w:t>Note 36 According to IFRS5, non-current assets and disposal groups are classified as held for sale when, they are available for immediate sale in their present conditions,, the appropriate level of management is committed to a plan to sell,, an active program to locate a buyer and complete the plan has started,, the asset or disposal group is actively marketed for sale at a price that is reasonable in relation to its current fair value and, the sale should be expected to qualify for recognition as a completed sale within one year from the date of classification Note 37 In compliance with the IFRS5, Par.</w:t>
      </w:r>
    </w:p>
    <w:p w14:paraId="66ECA16D" w14:textId="2408C79E" w:rsidR="001F5DDE" w:rsidRDefault="00000000">
      <w:r>
        <w:t>The Company financial statements of UniCredit S</w:t>
      </w:r>
      <w:r w:rsidR="00DC5DFC">
        <w:t xml:space="preserve"> a</w:t>
      </w:r>
      <w:r>
        <w:t xml:space="preserve">nd the Consolidated financial statements of UniCredit group as </w:t>
      </w:r>
      <w:proofErr w:type="gramStart"/>
      <w:r>
        <w:t>at</w:t>
      </w:r>
      <w:proofErr w:type="gramEnd"/>
      <w:r>
        <w:t xml:space="preserve"> 31 December 2023 have been approved by the Board of Directors meeting of 29 February 2024, which authorised its disclosure to the public also pursuant to IAS10.</w:t>
      </w:r>
    </w:p>
    <w:p w14:paraId="1EF9CE4E" w14:textId="77777777" w:rsidR="001F5DDE" w:rsidRDefault="00000000">
      <w:r>
        <w:t>UniCredit 2023 Annual Reports and Accounts 259 Consolidated financial statements Notes to the consolidated accounts Part A Accounting policies A hedging relationship qualifies for hedge accounting if there is formal designation and documentation of the hedging relationship including the risk management objective, the strategy for undertaking the hedge, and how the hedging instruments prospective and retrospective effectiveness will be assessed.</w:t>
      </w:r>
    </w:p>
    <w:p w14:paraId="706C5BE7" w14:textId="77777777" w:rsidR="001F5DDE" w:rsidRDefault="00000000">
      <w:r>
        <w:t>In case of internally generated software the expenses incurred to develop the project are recognised under intangible assets only if the following elements are demonstrated, , the technical feasibility of the project,, the intention to complete the intangible asset,, its future usefulness,, the availability of adequate technical, financial and other resources to complete the development and, the ability to measure reliably the expenditure attributable to the intangible asset during its development.</w:t>
      </w:r>
    </w:p>
    <w:p w14:paraId="080E9765" w14:textId="77777777" w:rsidR="001F5DDE" w:rsidRDefault="00000000">
      <w:r>
        <w:t>In order to calculate the expected loss and the related loan loss provision, the Group uses Probability of Default PD, Loss Given Default LGD and Exposure at Default EAD parameters, used for regulatory purposes and adjusted in order to ensure that impairment measurement represents values which are point in time, forward looking and inclusive of multiple scenarios.</w:t>
      </w:r>
    </w:p>
    <w:p w14:paraId="32D2B584" w14:textId="77777777" w:rsidR="001F5DDE" w:rsidRDefault="00000000">
      <w:r>
        <w:t>In particular they represent an entire exposure to counterparties different from those classified as unlikely to pay and bad loans that at the reporting date show past due receivables from more than 90 days as well as requirements established by local prudential regulation for the inclusion of these credits into past due standardised banks or default exposures IRB banks.</w:t>
      </w:r>
    </w:p>
    <w:p w14:paraId="588A48CA" w14:textId="77777777" w:rsidR="001F5DDE" w:rsidRDefault="00000000">
      <w:r>
        <w:lastRenderedPageBreak/>
        <w:t>Note 50 The regulatory framework for the new definition of default has been integrated with the entry into force, starting from 01 January 2021 of the Guidelines on the application of the definition of default under article 178 of Regulation 5752013 EBAGL201607.</w:t>
      </w:r>
    </w:p>
    <w:p w14:paraId="386F7534" w14:textId="4136DD06" w:rsidR="001F5DDE" w:rsidRDefault="00000000">
      <w:r>
        <w:t xml:space="preserve">ESG instruments Certain debt instruments </w:t>
      </w:r>
      <w:r w:rsidR="00136E0E">
        <w:t>l</w:t>
      </w:r>
      <w:r>
        <w:t>oans and bonds may contain ESG Environmental, Social, Governance linked features according to which the spread paid by the customer may, increase in case certain ESG KPIs defined by the contract are not met.</w:t>
      </w:r>
    </w:p>
    <w:p w14:paraId="26F00B35" w14:textId="77777777" w:rsidR="001F5DDE" w:rsidRDefault="00000000">
      <w:r>
        <w:t>These debt instruments are SPPI compliant provided that one of the following conditions are met, it can be documented by the Business that the compliance with the ESG features reduces the credit risk of the customer so to justify the change in spread.</w:t>
      </w:r>
    </w:p>
    <w:p w14:paraId="61EAB663" w14:textId="77777777" w:rsidR="001F5DDE" w:rsidRDefault="00000000">
      <w:r>
        <w:t>With reference to the second condition de minimis, an increase decrease in spread arising from non compliance compliance with a ESG linked feature is considered de minimis, thus allowing the credit exposure to pass the SPPI test, provided that the change in such a spread is immaterial according to some internally defined thresholds.</w:t>
      </w:r>
    </w:p>
    <w:p w14:paraId="0463CE68" w14:textId="77777777" w:rsidR="001F5DDE" w:rsidRDefault="00000000">
      <w:r>
        <w:t>Valuation models include techniques based on the discounting of future cash flows and on volatility estimates, and they are subject to revision both during their development and periodically in order to ensure their consistency with the objectives of the valuation.</w:t>
      </w:r>
    </w:p>
    <w:p w14:paraId="03F2287A" w14:textId="77777777" w:rsidR="001F5DDE" w:rsidRDefault="00000000">
      <w:r>
        <w:t>According to Group Market Risk Governance guidelines, in order to ensure the right separateness of the functions in charge of the model development and those in charge of the validation processes, all the valuation models developed by Group companies front offices are independently tested centrally and validated by Risk Managements functions.</w:t>
      </w:r>
    </w:p>
    <w:p w14:paraId="7C0788BD" w14:textId="77777777" w:rsidR="001F5DDE" w:rsidRDefault="00000000">
      <w:r>
        <w:t>Such approach, is applied when there is no long-term rental agreement in place, as well as for land plots without planned or ongoing developments.</w:t>
      </w:r>
    </w:p>
    <w:p w14:paraId="4815B23F" w14:textId="77777777" w:rsidR="001F5DDE" w:rsidRDefault="00000000">
      <w:r>
        <w:t>Such approach could be used also for land plots with planned or ongoing developments.</w:t>
      </w:r>
    </w:p>
    <w:p w14:paraId="0363F0D5" w14:textId="77777777" w:rsidR="001F5DDE" w:rsidRDefault="00000000">
      <w:r>
        <w:t>As a result, from a regulatory perspective, the whole amount of the contributions for the year reduces the CET1 capital Note 54.</w:t>
      </w:r>
    </w:p>
    <w:p w14:paraId="2C1ADBF8" w14:textId="77777777" w:rsidR="001F5DDE" w:rsidRDefault="00000000">
      <w:r>
        <w:t>The structures Risk Management mission, under the responsibility of the Group Risk Officer Group CRO is to, optimise the quality of the Group's assets, minimising the risk cost in accordance with the riskprofitability goals set for the business areas.</w:t>
      </w:r>
    </w:p>
    <w:p w14:paraId="1D75829A" w14:textId="77777777" w:rsidR="001F5DDE" w:rsidRDefault="00000000">
      <w:r>
        <w:t>Furthermore, Group CRO is responsible for ensuring the CEO and the Board of Directors the coherence of the Group Risk Appetite with the Group strategic guidelines, as well as the coherence of the budget goals with the Group Risk Appetite setting and the periodical monitoring of the RAF.</w:t>
      </w:r>
    </w:p>
    <w:p w14:paraId="402008B0" w14:textId="77777777" w:rsidR="001F5DDE" w:rsidRDefault="00000000">
      <w:r>
        <w:t xml:space="preserve">In order to strengthen the capacity of independent steering, coordination, and control of Group risks, to improve the efficiency and the flexibility on the risk decision process and to address the interaction among the relevant risk stakeholders, specific Committees are in place, The Group Executive Committee , the Group Financial and Credit Risk Committee and </w:t>
      </w:r>
      <w:r>
        <w:lastRenderedPageBreak/>
        <w:t>Group Non-Financial Risks and Controls Committee support the CEO in the role of steering, coordinating and monitoring the strategic and all categories of risks included compliance risk, at Group level, as well as defining the Group Recovery Plan.</w:t>
      </w:r>
    </w:p>
    <w:p w14:paraId="27FA315D" w14:textId="77777777" w:rsidR="001F5DDE" w:rsidRDefault="00000000">
      <w:r>
        <w:t>The Economic Capital measures are supported by aggregatedstress tests, which are a fundamental part of a sound risk management process.</w:t>
      </w:r>
    </w:p>
    <w:p w14:paraId="44448611" w14:textId="77777777" w:rsidR="001F5DDE" w:rsidRDefault="00000000">
      <w:r>
        <w:t>On top of this, a quarterly reporting of integrated risks and Risk Appetite evolution is reported to the relevant Risk Committees and Governing Bodies, in order to set and implement and efficient and effective ICAAP framework.</w:t>
      </w:r>
    </w:p>
    <w:p w14:paraId="13D80662" w14:textId="77777777" w:rsidR="001F5DDE" w:rsidRDefault="00000000">
      <w:r>
        <w:t>UniCredit Remuneration Policy is consistent with the Group Risk Appetite to allow the effective implementation of risk reward remuneration for bonus definition and payments.</w:t>
      </w:r>
    </w:p>
    <w:p w14:paraId="617986A9" w14:textId="77777777" w:rsidR="001F5DDE" w:rsidRDefault="00000000">
      <w:r>
        <w:t>In the Capital Adequacy Statement, the Board of Directors states that the Group demonstrated to have a strong capital position, allowing to maintain under baseline scenario an adequate managerial buffer on top of combined buffer requirement and, in case of more severe conditions, to ensure adequate buffer in addition to the total SREP capital ratio .</w:t>
      </w:r>
    </w:p>
    <w:p w14:paraId="0E2FEFEB" w14:textId="77777777" w:rsidR="001F5DDE" w:rsidRDefault="00000000">
      <w:r>
        <w:t>The Group is consistently engaged in identifying areas of improvement of the ICAAP process in compliance with Supervisory expectations.</w:t>
      </w:r>
    </w:p>
    <w:p w14:paraId="6013BAC6" w14:textId="77777777" w:rsidR="001F5DDE" w:rsidRDefault="00000000">
      <w:r>
        <w:t>Effective communication and challenge, a sound risk culture promotes an environment of open communication and effective challenge in which decision-making processes encourage different views, testing of current practices and stimulate an open and constructive critical attitude among employees and an environment of inclusive and constructive engagement.</w:t>
      </w:r>
    </w:p>
    <w:p w14:paraId="6FF124CE" w14:textId="77777777" w:rsidR="001F5DDE" w:rsidRDefault="00000000">
      <w:r>
        <w:t>The learning offer is regularly updated, within a homogeneous Group framework Risk University, with a special focus on the training addressing specific roles, in particular, for instance, with regards to cyber &amp; ICT risk and climate risk related topics.</w:t>
      </w:r>
    </w:p>
    <w:p w14:paraId="111DDBBD" w14:textId="77777777" w:rsidR="001F5DDE" w:rsidRDefault="00000000">
      <w:r>
        <w:t>A special attention is devoted to managerial roles training, in particular for developing an inclusive approach that promotes diversity, also through speak up and accountability initiatives.</w:t>
      </w:r>
    </w:p>
    <w:p w14:paraId="4183A086" w14:textId="77777777" w:rsidR="001F5DDE" w:rsidRDefault="00000000">
      <w:r>
        <w:t>Within the UniCredit Risk Culture framework, an effective and timely communication is key for promoting the corporate values Integrity, Ownership, Caring along with the ESG ones.</w:t>
      </w:r>
    </w:p>
    <w:p w14:paraId="71B21DBA" w14:textId="77777777" w:rsidR="001F5DDE" w:rsidRDefault="00000000">
      <w:r>
        <w:t>Furthermore, periodical monthlyquarterly newsletter are issued, covering specific area like Risk Management, ESG, Compliance, Digital, in order to support the risk awareness with up-to-date contents.</w:t>
      </w:r>
    </w:p>
    <w:p w14:paraId="592B5BBC" w14:textId="77777777" w:rsidR="001F5DDE" w:rsidRDefault="00000000">
      <w:r>
        <w:t xml:space="preserve">General aspects Credit policies In UniCredit, the current governance model of credit risk, intended as risk of impairment of a credit exposure deriving from an unexpected deterioration of the counterpartys creditworthiness, provides for two levels of control, on the one hand, the supervision of the Parent Company functions which steer and control the </w:t>
      </w:r>
      <w:r>
        <w:lastRenderedPageBreak/>
        <w:t>credit risk and perform a managerial coordination with respect to the relevant Group legal entities Risk Management functions.</w:t>
      </w:r>
    </w:p>
    <w:p w14:paraId="6F6B1C2D" w14:textId="77777777" w:rsidR="001F5DDE" w:rsidRDefault="00000000">
      <w:r>
        <w:t>With reference to credit risk management topics, the mechanisms of interaction between the Parent Company and the Group Legal Entities are defined by specific credit governance rules that, on the one hand, regulate the respective responsibilities and, on the other hand, ensure the compliance of the overall credit risk framework with the regulatory framework which the Parent Company is subject to.</w:t>
      </w:r>
    </w:p>
    <w:p w14:paraId="7B24E53A" w14:textId="77777777" w:rsidR="001F5DDE" w:rsidRDefault="00000000">
      <w:r>
        <w:t>Within its role of guidance, support and control, the Parent Company acts in the following areas, credit rules principles, policies and processes, credit strategies and credit risk limits, models development, rating systems validation, large exposures management, credit risk portfolio monitoring and reporting.</w:t>
      </w:r>
    </w:p>
    <w:p w14:paraId="517ADE13" w14:textId="77777777" w:rsidR="001F5DDE" w:rsidRDefault="00000000">
      <w:r>
        <w:t>In line with these credit governance rules, the Group Legal Entities request the either Holding Company Credit Committees or the Group Risk Management Functions opinion before granting new or reviewing existing credit lines to single counterpartiesEconomic Groups whenever they exceed defined thresholds, also with reference to their compliance with the credit risk concentration limits, being measured with respect to the regulatory capital.</w:t>
      </w:r>
    </w:p>
    <w:p w14:paraId="193399D5" w14:textId="3E80F458" w:rsidR="001F5DDE" w:rsidRDefault="00000000">
      <w:r>
        <w:t xml:space="preserve">Credit policies, which usually have a static approach and are revised when necessary </w:t>
      </w:r>
      <w:r w:rsidR="000D6C75">
        <w:t>i</w:t>
      </w:r>
      <w:r>
        <w:t>n case of evolution of the external regulatory framework, are supplemented by credit risk strategies approved by the Board of Directors in the context of the Risk Appetite Framework which, instead, are updated at least once a year and define with which customersproducts, industry segments and geographical areas the Group and the Group Legal Entities intend to develop their credit business.</w:t>
      </w:r>
    </w:p>
    <w:p w14:paraId="6BA13580" w14:textId="77777777" w:rsidR="001F5DDE" w:rsidRDefault="00000000">
      <w:r>
        <w:t>To allow proactive risk management and the related reduction of a clients existing exposure, Legal Entities may grant forbearance measures as described in the relevant section of the current Notes to consolidated accounts.</w:t>
      </w:r>
    </w:p>
    <w:p w14:paraId="228E6763" w14:textId="77777777" w:rsidR="001F5DDE" w:rsidRDefault="00000000">
      <w:r>
        <w:t>In the forbearance context, the restructuring can be conducted in a Performing or Non-Performing classification according to the related Regulatory Framework ruling the loan classification.</w:t>
      </w:r>
    </w:p>
    <w:p w14:paraId="4C210C6B" w14:textId="77777777" w:rsidR="001F5DDE" w:rsidRDefault="00000000">
      <w:r>
        <w:t>In compliance with the relevant regulatory framework, UniCredit group manages the concentration credit risk through specific limits that represent the maximum risk that the Group intends to accept regarding, for example, individual counterparties or groups of connected counterparties Single Name Bulk Risk.</w:t>
      </w:r>
    </w:p>
    <w:p w14:paraId="2AE63B57" w14:textId="77777777" w:rsidR="001F5DDE" w:rsidRDefault="00000000">
      <w:r>
        <w:t>Furthermore, it is responsible for supporting the definition and the promotion of the Climate and Environmental Taxonomy strategy, implementation of C&amp;E risk Climate &amp; Environmental in Credit Pillar through direct responsibility and coordinating with other structures within Group Credit Risk, as well as monitoring physical and transition risk in the portfolio through dedicated analysis functional to set exposure limits and credit strategies.</w:t>
      </w:r>
    </w:p>
    <w:p w14:paraId="76518AB0" w14:textId="77777777" w:rsidR="001F5DDE" w:rsidRDefault="00000000">
      <w:r>
        <w:lastRenderedPageBreak/>
        <w:t>It is also responsible for control steering and facilitation of cascading of Group standards, methodologies, policies, processes and risk framework for all different risks in CE&amp;EE Legal Entities as defined by the competent risk management responsible functions.</w:t>
      </w:r>
    </w:p>
    <w:p w14:paraId="31428C08" w14:textId="77777777" w:rsidR="001F5DDE" w:rsidRDefault="00000000">
      <w:r>
        <w:t>The aim is to give evidence of the systems compliance, highlighting improvement areas as well as possible misalignments in the methodologies, which could limit the full comparability among the resulting risk measures.</w:t>
      </w:r>
    </w:p>
    <w:p w14:paraId="6102DFC1" w14:textId="77777777" w:rsidR="001F5DDE" w:rsidRDefault="00000000">
      <w:r>
        <w:t>Note 69 The regulatory framework for the new definition of default has been integrated with the entry into force, starting from 1 January 2021 of the Guidelines on the application of the definition of default under article 178 of Regulation 5752013 EBAGL201607.</w:t>
      </w:r>
    </w:p>
    <w:p w14:paraId="464EC894" w14:textId="77777777" w:rsidR="001F5DDE" w:rsidRDefault="00000000">
      <w:r>
        <w:t>Inclusion of Climate Risk in provisioning Acknowledging the growing importance of ESG topics and in continuous dialogue with the competent authorities, the Group is progressively developing the current IFRS9 methodological framework for incorporating environmental-related forecasting information into ECL models.</w:t>
      </w:r>
    </w:p>
    <w:p w14:paraId="5771AAF5" w14:textId="77777777" w:rsidR="001F5DDE" w:rsidRDefault="00000000">
      <w:r>
        <w:t>Inclusion of climate risk in provisioning Acknowledging the growing importance of ESG topics and in continuous dialogue with the competent authorities, the Group is progressively developing the current IFRS9 methodological framework for incorporating environmental-related forecasting information into ECL models.</w:t>
      </w:r>
    </w:p>
    <w:p w14:paraId="3EB86700" w14:textId="77777777" w:rsidR="001F5DDE" w:rsidRDefault="00000000">
      <w:r>
        <w:t>Consistent with the Regulation 5752013 of the European Parliament and of the Council of 26 June 2013 on prudential requirements for credit institutions and investment firms , UniCredit group is firmly committed to satisfy the requirements for the correct application of credit risk mitigation techniques, according to the different approaches adopted Standardised, Foundation IRB F-IRB or Advanced IRB A-IRB, for both operational and regulatory purposes.</w:t>
      </w:r>
    </w:p>
    <w:p w14:paraId="4354375A" w14:textId="77777777" w:rsidR="001F5DDE" w:rsidRDefault="00000000">
      <w:r>
        <w:t>Legal entities are responsible for managing collateral and verifying the compliance of risk mitigation techniques with regulatory requirements, with a particular focus on Internal Rating System applications, in order to assess the presence of adequate documentation and procedure concerning the credit risk mitigation instruments used for supervisory capital.</w:t>
      </w:r>
    </w:p>
    <w:p w14:paraId="10DC550F" w14:textId="77777777" w:rsidR="001F5DDE" w:rsidRDefault="00000000">
      <w:r>
        <w:t>Specifically, under the standardised approach, eligible protection providers pertain to a restricted list of counterparts, such as central government and central banks, public sector entities and regional and local authorities, multilateral development banks, supervised institutions and corporate entities that have a credit assessment by an eligible ECAI.</w:t>
      </w:r>
    </w:p>
    <w:p w14:paraId="6FB7E05C" w14:textId="77777777" w:rsidR="001F5DDE" w:rsidRDefault="00000000">
      <w:r>
        <w:t>Monitoring processes of credit risk mitigation techniques ensure that general and specific requirements set by credit policies, internal and regulatory rules are met over the time.</w:t>
      </w:r>
    </w:p>
    <w:p w14:paraId="7C27274C" w14:textId="77777777" w:rsidR="001F5DDE" w:rsidRDefault="00000000">
      <w:r>
        <w:t>Note 74 The regulatory framework for the transition from performing to non-performing exposures criteria for a return to a non-defaulted status has been integrated with the entry into force of the Guidelines on the application of the definition of default under Art.</w:t>
      </w:r>
    </w:p>
    <w:p w14:paraId="051B94CF" w14:textId="77777777" w:rsidR="001F5DDE" w:rsidRDefault="00000000">
      <w:r>
        <w:lastRenderedPageBreak/>
        <w:t>Starting from 2017, the regulatory framework relating to the management of Forborne exposures has been integrated with the following papers, Guidance to Banks on Non-Performing Loans, issued by European Central Bank in March 2017, which require to Banks to define a clear NPL strategy aiming at the reduction of NPE Stock.</w:t>
      </w:r>
    </w:p>
    <w:p w14:paraId="0E2888F7" w14:textId="77777777" w:rsidR="001F5DDE" w:rsidRDefault="00000000">
      <w:r>
        <w:t>Consolidated financial statements Notes to the consolidated accounts Part E Information on risks and related hedging policies UniCredit 2023 Annual Reports and Accounts 417 In order to ensure ongoing alignment with the regulatory and supervisory requirements mentioned above regarding banks forbearance practices, the Parent Company finalised the following activities, review of the list of the potential Forbearance measures to acknowledge, , with the split between short-term measures duration less than 24 months and long-term measures duration higher than or equal to 24 months,, with the possibility of granting combinations of short and longterm FBE measures and, with the viability criteria defined by Supervisory for each FBE measure.</w:t>
      </w:r>
    </w:p>
    <w:p w14:paraId="441B354F" w14:textId="77777777" w:rsidR="001F5DDE" w:rsidRDefault="00000000">
      <w:r>
        <w:t>Ratings are assigned to individual counterparties using Group banks internally developed models included in their credit risk management processes.</w:t>
      </w:r>
    </w:p>
    <w:p w14:paraId="62D8FFC6" w14:textId="77777777" w:rsidR="001F5DDE" w:rsidRDefault="00000000">
      <w:r>
        <w:t>Differently, in order to improve the quality of its assets and optimise the capital allocation, the Group also carries out transactions that involve the portfolios derecognition andor the related significant risk transfer, by subscribing a limited portion of securities issued by vehicles of securitisation or keeping a minimum percentage of the portfolio, in compliance with the rules for maintaining a net economic interest in the securitisation transaction according to the current regulatory requirements Retention Rule.</w:t>
      </w:r>
    </w:p>
    <w:p w14:paraId="39D9343C" w14:textId="77777777" w:rsidR="001F5DDE" w:rsidRDefault="00000000">
      <w:r>
        <w:t>Consolidated financial statements Notes to the consolidated accounts Part E Information on risks and related hedging policies UniCredit 2023 Annual Reports and Accounts 435 The Group's main objectives in its securitisation transactions whether traditional or synthetic are the optimisation of the loan portfolio by freeing up regulatory and economic capital and obtaining fresh liquidity in case of traditional transactions together with greater diversification of its sources of funding.</w:t>
      </w:r>
    </w:p>
    <w:p w14:paraId="5CB5AB73" w14:textId="77777777" w:rsidR="001F5DDE" w:rsidRDefault="00000000">
      <w:r>
        <w:t>This process requires an economic feasibility study to assess the impact of transactions according to their nature and aims, on regulatory and economic capital, on risk-adjusted profitability measures, on the level of liquidity and on the Groups asset quality.</w:t>
      </w:r>
    </w:p>
    <w:p w14:paraId="407F49D2" w14:textId="77777777" w:rsidR="001F5DDE" w:rsidRDefault="00000000">
      <w:r>
        <w:t>The development of client-related operations is also an integral part of MSP activities and includes actions to strengthen the customer base and support securitisations.</w:t>
      </w:r>
    </w:p>
    <w:p w14:paraId="6E3FDE78" w14:textId="77777777" w:rsidR="001F5DDE" w:rsidRDefault="00000000">
      <w:r>
        <w:t>The policy was approved by the competent committees, the Statutory Auditors and the Board of Directors of UniCredit S.</w:t>
      </w:r>
    </w:p>
    <w:p w14:paraId="234691FD" w14:textId="77777777" w:rsidR="001F5DDE" w:rsidRDefault="00000000">
      <w:r>
        <w:t>UniCredits internal audit department is responsible for a complete audit to be conducted at least once a year of the adequacy of the controls performed.</w:t>
      </w:r>
    </w:p>
    <w:p w14:paraId="655B5C11" w14:textId="77777777" w:rsidR="001F5DDE" w:rsidRDefault="00000000">
      <w:r>
        <w:lastRenderedPageBreak/>
        <w:t>According to this organisation, the structure at first level of reporting to Group Risk Management, dedicated to market risk governance is the Group Financial Risk department.</w:t>
      </w:r>
    </w:p>
    <w:p w14:paraId="7CE7EB1D" w14:textId="77777777" w:rsidR="001F5DDE" w:rsidRDefault="00000000">
      <w:r>
        <w:t>Market risk appetite is also fundamental for the development of the Group's business strategy, ensuring the consistence between the budgeted revenues and the setting of Value-at-Risk limits.</w:t>
      </w:r>
    </w:p>
    <w:p w14:paraId="6833A9CC" w14:textId="77777777" w:rsidR="001F5DDE" w:rsidRDefault="00000000">
      <w:r>
        <w:t>In this context, on an annual basis Market Risk Management function of the Parent Company agrees with the local Market Risk functions possible changes to the Group Market Risk Framework.</w:t>
      </w:r>
    </w:p>
    <w:p w14:paraId="2105F777" w14:textId="77777777" w:rsidR="001F5DDE" w:rsidRDefault="00000000">
      <w:r>
        <w:t>For this purpose, Market Risk Management of the Parent Company gathers the information needed to set up the Group Market Risk Strategy for the following year.</w:t>
      </w:r>
    </w:p>
    <w:p w14:paraId="7CF34979" w14:textId="77777777" w:rsidR="001F5DDE" w:rsidRDefault="00000000">
      <w:r>
        <w:t>In particular, Group Market Risk Management receives from the competent function the Group Risk Appetite Framework, which sets, among others, Market Risk KPIs and from local Market Risk functions the list of legal entities LEsBusiness Lines allowed to assume market risk exposures, the severities of the related limits and the proposals for the review of market risk levels.</w:t>
      </w:r>
    </w:p>
    <w:p w14:paraId="1C569E78" w14:textId="77777777" w:rsidR="001F5DDE" w:rsidRDefault="00000000">
      <w:r>
        <w:t>The book manager is required to clearly declare the trading intent and therefore to explain the business strategy behind the request for the Regulatory Trading assignment.</w:t>
      </w:r>
    </w:p>
    <w:p w14:paraId="420A30A5" w14:textId="77777777" w:rsidR="001F5DDE" w:rsidRDefault="00000000">
      <w:r>
        <w:t>Market risk in UniCredit group is measured and limited mainly through two sets of metrics, Broad Market Risk measures and Granular Market Risk measures, Broad market risk measures, these measures are meant to set a boundary to the regulatory capital absorption and to the economic loss accepted for FVtOCI andor FVtPL exposures.</w:t>
      </w:r>
    </w:p>
    <w:p w14:paraId="1BF8F59F" w14:textId="77777777" w:rsidR="001F5DDE" w:rsidRDefault="00000000">
      <w:r>
        <w:t>To cover also Amortised Cost securities, the Market Risk Strategy defines notional and CPV granular limits on Regulatory Banking book perimeter.</w:t>
      </w:r>
    </w:p>
    <w:p w14:paraId="38F399C5" w14:textId="77777777" w:rsidR="001F5DDE" w:rsidRDefault="00000000">
      <w:r>
        <w:t>Group risk management strategy could envisage the steering of the FX risk exposure in the LEs or the booking in the Holding of positions deliberately taken to hedge the Total capital ratio from FX volatility.</w:t>
      </w:r>
    </w:p>
    <w:p w14:paraId="745EFF91" w14:textId="77777777" w:rsidR="001F5DDE" w:rsidRDefault="00000000">
      <w:r>
        <w:t>The hedge strategy is reviewed by the relevant risk committees on a regular basis.</w:t>
      </w:r>
    </w:p>
    <w:p w14:paraId="7B7F582E" w14:textId="77777777" w:rsidR="001F5DDE" w:rsidRDefault="00000000">
      <w:r>
        <w:t>Finally, the structure is directly responsible for the approval and the oversight of the internal rule revision plan proposed by the Group Financial Risk structure in charge of it.</w:t>
      </w:r>
    </w:p>
    <w:p w14:paraId="5F66DC50" w14:textId="77777777" w:rsidR="001F5DDE" w:rsidRDefault="00000000">
      <w:r>
        <w:t>The structure breaks down as follows, GROUP FINANCIAL RISK Valuation Models and Methodologies &amp; Market Risk Management, responsible for developing and maintaining Group methodologies, models, and architectures regarding financial risks and for providing adequate evaluation of financial instruments of banking and trading book.</w:t>
      </w:r>
    </w:p>
    <w:p w14:paraId="081ECFCB" w14:textId="77777777" w:rsidR="001F5DDE" w:rsidRDefault="00000000">
      <w:r>
        <w:t>Liquidity and Interest Rate Risk Management, responsible for governing and controlling the liquidity risk and Balance sheet interest rate risk, either at Group level and UniCredit S.</w:t>
      </w:r>
    </w:p>
    <w:p w14:paraId="21165359" w14:textId="77777777" w:rsidR="001F5DDE" w:rsidRDefault="00000000">
      <w:r>
        <w:lastRenderedPageBreak/>
        <w:t>Level including the Foreign Branches and the Country Italy when applicable.</w:t>
      </w:r>
    </w:p>
    <w:p w14:paraId="70884470" w14:textId="77777777" w:rsidR="001F5DDE" w:rsidRDefault="00000000">
      <w:r>
        <w:t>The committees involvement in interest rate risk management includes, the initial approval and fundamental modifications for the measurement and control system of Banking book interest rate risks with the support of internal validation function where necessary.</w:t>
      </w:r>
    </w:p>
    <w:p w14:paraId="36B664FD" w14:textId="77777777" w:rsidR="001F5DDE" w:rsidRDefault="00000000">
      <w:r>
        <w:t>Within the organisational context described above, the policy implemented by UniCredit group within the scope of market risk management is aimed at gradually adopting and using common principles, rules and processes in terms of appetite for risk, limit calculations, model development, pricing and risk model scrutiny.</w:t>
      </w:r>
    </w:p>
    <w:p w14:paraId="0E4D11C2" w14:textId="77777777" w:rsidR="001F5DDE" w:rsidRDefault="00000000">
      <w:r>
        <w:t>In addition to VaR and Basel 2 risk measures, stress tests represent an important risk management tool that provides UniCredit with an indication of how much capital might be needed to absorb losses in case of large financial shocks.</w:t>
      </w:r>
    </w:p>
    <w:p w14:paraId="3DAEFCC5" w14:textId="77777777" w:rsidR="001F5DDE" w:rsidRDefault="00000000">
      <w:r>
        <w:t>The escalation process is ruled by the Global Policy Group Market Risk Governance Guidelines which defines the nature of the various thresholdslimits applied, as well as the relevant bodies to be involved establishing the most appropriate course of action to restore exposure within the approved limits.</w:t>
      </w:r>
    </w:p>
    <w:p w14:paraId="7D23DB5E" w14:textId="77777777" w:rsidR="001F5DDE" w:rsidRDefault="00000000">
      <w:r>
        <w:t>A set of risk indicators is also provided to the Group Executive Committee and subsequently to the Internal Control &amp; Risk Committee and to the Board of Directors on a quarterly basis through the Group Risk Appetite Framework and Integrated Risk Report .</w:t>
      </w:r>
    </w:p>
    <w:p w14:paraId="63A3A221" w14:textId="77777777" w:rsidR="001F5DDE" w:rsidRDefault="00000000">
      <w:r>
        <w:t>As a general principle, the compliance to the limits must be reported to Boards and committees depending on their role in limit setting and it is proportionate to the severity hierarchy.</w:t>
      </w:r>
    </w:p>
    <w:p w14:paraId="178FA4EE" w14:textId="77777777" w:rsidR="001F5DDE" w:rsidRDefault="00000000">
      <w:r>
        <w:t>The 1-day measures are instead actively used for market risk management.</w:t>
      </w:r>
    </w:p>
    <w:p w14:paraId="7CB7093C" w14:textId="77777777" w:rsidR="001F5DDE" w:rsidRDefault="00000000">
      <w:r>
        <w:t>Market, Operational &amp; Pillar II Risks Validation performed the periodic validation of the VaRSVaR framework to assess the compliance with regulatory requirements including an independent back-testing analysis complemented with different parameterisations and detailing the results for a set of representative portfolios of the Bank.</w:t>
      </w:r>
    </w:p>
    <w:p w14:paraId="14EA4DA4" w14:textId="77777777" w:rsidR="001F5DDE" w:rsidRDefault="00000000">
      <w:r>
        <w:t>Market, Operational &amp; Pillar II Risks Validation performed its analyses to evaluate the conceptual soundness of the IRC model, to supplement the available analyses on that topic and to ensure the compliance of the resulting risk management environment with all the relevant regulatory requirements and internal standards.</w:t>
      </w:r>
    </w:p>
    <w:p w14:paraId="7BB15661" w14:textId="77777777" w:rsidR="001F5DDE" w:rsidRDefault="00000000">
      <w:r>
        <w:t>Market, Operational &amp; Pillar II Risks Validation Unit kept the scope of their analyses as wide as possible in order to comprise the many diverse issues that are acting concurrently in such a model general model design, regulatory compliance, numerical implementation, outcomes explanation.</w:t>
      </w:r>
    </w:p>
    <w:p w14:paraId="3EB37149" w14:textId="726A4DD7" w:rsidR="001F5DDE" w:rsidRDefault="00000000">
      <w:r>
        <w:lastRenderedPageBreak/>
        <w:t>To sum up, the Internal Model approach is used for Regulatory purposes for UniCredit S</w:t>
      </w:r>
      <w:r w:rsidR="00326BA7">
        <w:t xml:space="preserve">, </w:t>
      </w:r>
      <w:r>
        <w:t>UniCredit Bank GmbH, UniCredit Bank Austria AG, and UniCredit Bank Austria sub-group, while it is used for all legal entities including CEE countries for managerial purposes.</w:t>
      </w:r>
    </w:p>
    <w:p w14:paraId="050DC84D" w14:textId="77777777" w:rsidR="001F5DDE" w:rsidRDefault="00000000">
      <w:r>
        <w:t>More details on Warning Levels and Strategy are given in the previous paragraph Risk management strategies and processes.</w:t>
      </w:r>
    </w:p>
    <w:p w14:paraId="7CC9F016" w14:textId="77777777" w:rsidR="001F5DDE" w:rsidRDefault="00000000">
      <w:r>
        <w:t>Any changes of macroeconomic environment do not directly affect the overall risk management practices and strategies.</w:t>
      </w:r>
    </w:p>
    <w:p w14:paraId="6A0C6C15" w14:textId="77777777" w:rsidR="001F5DDE" w:rsidRDefault="00000000">
      <w:r>
        <w:t>The interest rate risk management strategy is established considering also the main impacts deriving from the behavioral aspects of customers, which can impact on the value of interest margins and the economic value of the banking book, such as the example of early repayments of disbursed loans prepayment and the stability of on demand items.</w:t>
      </w:r>
    </w:p>
    <w:p w14:paraId="799B57A3" w14:textId="77777777" w:rsidR="001F5DDE" w:rsidRDefault="00000000">
      <w:r>
        <w:t>The Audt functions ensure the adequacy and compliance with regulatory and internal regulations, at least with an annual frequency.</w:t>
      </w:r>
    </w:p>
    <w:p w14:paraId="577E0BA3" w14:textId="77777777" w:rsidR="001F5DDE" w:rsidRDefault="00000000">
      <w:r>
        <w:t>With reference to the NII +100 bps sensitivity, the main driver of the change observed in 2023 is the decrease in the NMD Beta parameter reflecting the depositors remuneration trend, despite the overall increase in market interest rates.</w:t>
      </w:r>
    </w:p>
    <w:p w14:paraId="19915CFC" w14:textId="77777777" w:rsidR="001F5DDE" w:rsidRDefault="00000000">
      <w:r>
        <w:t>FX Delta limits are part of the Granular Market Risk Limits and are ruled by the Group Policy Group Market Risk Governance Guidelines.</w:t>
      </w:r>
    </w:p>
    <w:sectPr w:rsidR="001F5D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26195842">
    <w:abstractNumId w:val="8"/>
  </w:num>
  <w:num w:numId="2" w16cid:durableId="161941512">
    <w:abstractNumId w:val="6"/>
  </w:num>
  <w:num w:numId="3" w16cid:durableId="541215251">
    <w:abstractNumId w:val="5"/>
  </w:num>
  <w:num w:numId="4" w16cid:durableId="1575045813">
    <w:abstractNumId w:val="4"/>
  </w:num>
  <w:num w:numId="5" w16cid:durableId="1197700403">
    <w:abstractNumId w:val="7"/>
  </w:num>
  <w:num w:numId="6" w16cid:durableId="1793015943">
    <w:abstractNumId w:val="3"/>
  </w:num>
  <w:num w:numId="7" w16cid:durableId="1189829526">
    <w:abstractNumId w:val="2"/>
  </w:num>
  <w:num w:numId="8" w16cid:durableId="240526091">
    <w:abstractNumId w:val="1"/>
  </w:num>
  <w:num w:numId="9" w16cid:durableId="53715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C75"/>
    <w:rsid w:val="00136E0E"/>
    <w:rsid w:val="0015074B"/>
    <w:rsid w:val="001F5DDE"/>
    <w:rsid w:val="0029639D"/>
    <w:rsid w:val="00326BA7"/>
    <w:rsid w:val="00326F90"/>
    <w:rsid w:val="004C50C3"/>
    <w:rsid w:val="00672963"/>
    <w:rsid w:val="008F1139"/>
    <w:rsid w:val="009A307F"/>
    <w:rsid w:val="00AA1D8D"/>
    <w:rsid w:val="00B47730"/>
    <w:rsid w:val="00CB0664"/>
    <w:rsid w:val="00DC5DFC"/>
    <w:rsid w:val="00EA3B8E"/>
    <w:rsid w:val="00F81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270E8"/>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8380</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10</cp:revision>
  <dcterms:created xsi:type="dcterms:W3CDTF">2013-12-23T23:15:00Z</dcterms:created>
  <dcterms:modified xsi:type="dcterms:W3CDTF">2025-08-02T20:48:00Z</dcterms:modified>
  <cp:category/>
</cp:coreProperties>
</file>