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9243" w14:textId="77777777" w:rsidR="00E01F61" w:rsidRDefault="00000000">
      <w:r>
        <w:t>UniCredit prepares this document of financial and non-financial performance in compliance with the requirements of articles 3 and 4 of Legislative Decree 2542016, which implements European Directive 201495EU in Italy.</w:t>
      </w:r>
    </w:p>
    <w:p w14:paraId="7E72FE49" w14:textId="77777777" w:rsidR="00E01F61" w:rsidRDefault="00000000">
      <w:r>
        <w:t>UniCredit Group Disclosure Pillar III Regulatory framework and key metrics Pillar III UniCredit Group Disclosure as at 31 December 2023 5 Moreover, regarding the use of the information published, this document includes the two Annexes which are published, quarterly, in excel format on the UniCredit group website refer to web links in the Annex section, Annex 1 Template EU CCA Main features of regulatory Own Funds instruments and eligible liabilities instruments.</w:t>
      </w:r>
    </w:p>
    <w:p w14:paraId="1C923095" w14:textId="77777777" w:rsidR="00E01F61" w:rsidRDefault="00000000">
      <w:r>
        <w:t>UniCredit Group Disclosure Pillar III Regulatory framework and key metrics Pillar III UniCredit Group Disclosure as at 31 December 2023 7 Contents cross reference to the regulatory disclosure requirements In coherence with the regulatory framework, the tables below show the cross reference to the information published annually, as included in the present document or in external documents.</w:t>
      </w:r>
    </w:p>
    <w:p w14:paraId="2F5E738F" w14:textId="77777777" w:rsidR="00E01F61" w:rsidRDefault="00000000">
      <w:r>
        <w:t>Commission Implementing Regulation 20222453 of 30 November 2022 as regards the disclosure of environmental, social and governance risks Tables and Templates ESG.</w:t>
      </w:r>
    </w:p>
    <w:p w14:paraId="55840DF7" w14:textId="77777777" w:rsidR="00E01F61" w:rsidRDefault="00000000">
      <w:r>
        <w:t>New key regulatory ratio P3 Contents cross reference to the regulatory disclosure requirements Template EU KM1 Risk governance &amp; risk management strategiesbusiness model 5.</w:t>
      </w:r>
    </w:p>
    <w:p w14:paraId="46188E7A" w14:textId="77777777" w:rsidR="00E01F61" w:rsidRDefault="00000000">
      <w:r>
        <w:t>The sum of amounts disclosed in columns from c to g may be different than the total amount in column b for the following reasons, some items may be subject to capital requirements for more than one risk under the regulatory framework e.</w:t>
      </w:r>
    </w:p>
    <w:p w14:paraId="371EBEAE" w14:textId="77777777" w:rsidR="00E01F61" w:rsidRDefault="00000000">
      <w:r>
        <w:t>Derivative instruments and reverse repos classified in item Financial assets held for trading.</w:t>
      </w:r>
    </w:p>
    <w:p w14:paraId="3185E351" w14:textId="77777777" w:rsidR="00E01F61" w:rsidRDefault="00000000">
      <w:r>
        <w:t>Furthermore, the dynamic component is composed of the following two elements, element 1, the increase of LLP between 1 January 2020 and 1 January 2018.</w:t>
      </w:r>
    </w:p>
    <w:p w14:paraId="786E668D" w14:textId="77777777" w:rsidR="00E01F61" w:rsidRDefault="00000000">
      <w:r>
        <w:t>In case of IRB exposures the amount of LLPs is reduced by the regulatory expected losses at both dates.</w:t>
      </w:r>
    </w:p>
    <w:p w14:paraId="3E611E0B" w14:textId="77777777" w:rsidR="00E01F61" w:rsidRDefault="00000000">
      <w:r>
        <w:t>The negative change referred to 2023 negative for €746 million on deferred tax assets that rely on future profitability excluding those arising from temporary differences net of related tax liabilities where the conditions in Article 38, , is mainly due to the outcome of Deferred Tax Assets sustainability test related to tax losses carry forward on the Italian tax perimeter as of the fourth quarter 2023, after the application of the regulatory netting rules.</w:t>
      </w:r>
    </w:p>
    <w:p w14:paraId="23AC2BB2" w14:textId="0F69BB57" w:rsidR="00E01F61" w:rsidRDefault="00000000">
      <w:r>
        <w:t>TLAC requirements at resolution Group level The Resolution Strategy defined by the Single Resolution Board for the UniCredit group is Single Point of Entry for those legal entities within the European Union, with the Bail-in as main resolution tool applicable to UniCredit S</w:t>
      </w:r>
      <w:r w:rsidR="008239A9">
        <w:t xml:space="preserve"> t</w:t>
      </w:r>
      <w:r>
        <w:t>he unique Resolution Entity.</w:t>
      </w:r>
    </w:p>
    <w:p w14:paraId="1F150B95" w14:textId="77777777" w:rsidR="00E01F61" w:rsidRDefault="00000000">
      <w:r>
        <w:lastRenderedPageBreak/>
        <w:t>In addition, the Parent Company and the entities that received the IRB authorization needed to establish a validation process of the rating systems as well as an extension of the internal audit activities with respect to such systems.</w:t>
      </w:r>
    </w:p>
    <w:p w14:paraId="056A0449" w14:textId="77777777" w:rsidR="00E01F61" w:rsidRDefault="00000000">
      <w:r>
        <w:t>The purpose of the validation process is to express an evaluation concerning the proper functioning, predictive ability and overall performance of the IRB systems adopted and their consistency with regulatory requirements specifically through, the assessment of the model development process with a particular emphasis on the underlying approach and the methodological criteria supporting the estimation of risk parameters.</w:t>
      </w:r>
    </w:p>
    <w:p w14:paraId="4F331DFD" w14:textId="77777777" w:rsidR="00E01F61" w:rsidRDefault="00000000">
      <w:r>
        <w:t>On the other hand, the purpose of on-going validation is to periodically assess the proper functioning of all components of the rating system and to monitor its compliance with internal and regulatory requirements.</w:t>
      </w:r>
    </w:p>
    <w:p w14:paraId="771258F6" w14:textId="4A283E9D" w:rsidR="00E01F61" w:rsidRDefault="00000000">
      <w:proofErr w:type="gramStart"/>
      <w:r>
        <w:t>In order to</w:t>
      </w:r>
      <w:proofErr w:type="gramEnd"/>
      <w:r>
        <w:t xml:space="preserve"> allow the objective assessment of the risk measurement systems, the department responsible for validation procedures is separate from the ones responsible for the development of the models, from the risk reporting ones and from the Internal Audit functio</w:t>
      </w:r>
      <w:r w:rsidR="00E9170D">
        <w:t>n.</w:t>
      </w:r>
    </w:p>
    <w:p w14:paraId="15EBBE58" w14:textId="77777777" w:rsidR="00E01F61" w:rsidRDefault="00000000">
      <w:r>
        <w:t xml:space="preserve">UniCredit Group Disclosure Pillar III Credit risk Pillar III UniCredit Group Disclosure </w:t>
      </w:r>
      <w:proofErr w:type="gramStart"/>
      <w:r>
        <w:t>at</w:t>
      </w:r>
      <w:proofErr w:type="gramEnd"/>
      <w:r>
        <w:t xml:space="preserve"> 31 December 2023 75 Additionally, validation tests are divided into qualitative and quantitative analyses, the qualitative section is used to assess the effectiveness of the methodology used to create the model, the inclusion of all significant factors and the ability to depict the data used during the development phase.</w:t>
      </w:r>
    </w:p>
    <w:p w14:paraId="0FF1FBE1" w14:textId="77777777" w:rsidR="00E01F61" w:rsidRDefault="00000000">
      <w:r>
        <w:t>These rules have been developed in order, to assess, among others, the accuracy of the conclusions of the risk control functions as well as the compliance with the regulatory requirements, envisaged for the internal validation process of internal rating and risk control systems.</w:t>
      </w:r>
    </w:p>
    <w:p w14:paraId="5158AC45" w14:textId="77777777" w:rsidR="00E01F61" w:rsidRDefault="00000000">
      <w:r>
        <w:t>Moreover, UC IA draws up an annual summary report which presents an assessment of the Internal Control Systems overall functionality, describing, inter alia, audit outcomes and highlighting the main criticalities and shortcomings found, and recommending corrective measures.</w:t>
      </w:r>
    </w:p>
    <w:p w14:paraId="51D5C27C" w14:textId="77777777" w:rsidR="00E01F61" w:rsidRDefault="00000000">
      <w:r>
        <w:t>Clearly, in order to make the estimated model useful for regulatory and for other credit risk management purposes, it is still necessary to calibrate it to an appropriate probability of default.</w:t>
      </w:r>
    </w:p>
    <w:p w14:paraId="1092ECB6" w14:textId="77777777" w:rsidR="00E01F61" w:rsidRDefault="00000000">
      <w:r>
        <w:t>In 2021, with the goal to implement the regulatory change represented by the new Definition of Default DoD in the risk quantification phase, model recalibrations have been implemented and are described in each specific model section below.</w:t>
      </w:r>
    </w:p>
    <w:p w14:paraId="6F8FB78A" w14:textId="77777777" w:rsidR="00E01F61" w:rsidRDefault="00000000">
      <w:r>
        <w:t>Inclusion of downturn economic conditions effects in the calibration of model components in compliance with the recent regulatory evolutions.</w:t>
      </w:r>
    </w:p>
    <w:p w14:paraId="77811686" w14:textId="77777777" w:rsidR="00E01F61" w:rsidRDefault="00000000">
      <w:r>
        <w:lastRenderedPageBreak/>
        <w:t>Inclusion of Margin of Conservatism aimed at taking into account for generalized estimation error and additional uncertainty in the model estimates in compliance with the Regulation.</w:t>
      </w:r>
    </w:p>
    <w:p w14:paraId="2E4A1A60" w14:textId="77777777" w:rsidR="00E01F61" w:rsidRDefault="00000000">
      <w:r>
        <w:t>Italian Corporate EAD model The development activities on EAD model for Corporates segment has been started, consistently with the progressive Group IRB roll-out plan.</w:t>
      </w:r>
    </w:p>
    <w:p w14:paraId="6BE2ACEA" w14:textId="77777777" w:rsidR="00E01F61" w:rsidRDefault="00000000">
      <w:r>
        <w:t>A model redevelopment of the EAD model has been performed and submitted to ECB for approval in June 2023 and it is currently under the assessment of the Supervisory Authority.</w:t>
      </w:r>
    </w:p>
    <w:p w14:paraId="72107741" w14:textId="77777777" w:rsidR="00E01F61" w:rsidRDefault="00000000">
      <w:r>
        <w:t>The model is developed for Regulatory purposes following the SecuredUnsecured approach including a split into three main model components LGD_cure, Probability_cure, LGD_Liquidation, embedding all steps characterizing the risk differentiation and risk quantification phases.</w:t>
      </w:r>
    </w:p>
    <w:p w14:paraId="7CBBE82E" w14:textId="77777777" w:rsidR="00E01F61" w:rsidRDefault="00000000">
      <w:r>
        <w:t>A redevelopment of the EAD model has been performed and submitted to ECB for approval in September 2023 and it is currently under the assessment of the Supervisory Authority.</w:t>
      </w:r>
    </w:p>
    <w:p w14:paraId="4FC71862" w14:textId="77777777" w:rsidR="00E01F61" w:rsidRDefault="00000000">
      <w:r>
        <w:t>LGD model where the main changes consist in transition to the new definition of default, transition from SecuredUnsecured to Overall Gross LGD estimation approach, update of the historical time series, adjustment of downturn concept to fulfil the regulatory requirements and MoCs, and development of LGD Defaulted Asset and ELBE models authorization process ongoing.</w:t>
      </w:r>
    </w:p>
    <w:p w14:paraId="23FF4231" w14:textId="77777777" w:rsidR="00E01F61" w:rsidRDefault="00000000">
      <w:r>
        <w:t>In July 2021 a recalibration has been implemented to support the inclusion of the new Definition of Default in the risk quantification phase.</w:t>
      </w:r>
    </w:p>
    <w:p w14:paraId="77F59CA3" w14:textId="77777777" w:rsidR="00E01F61" w:rsidRDefault="00000000">
      <w:r>
        <w:t>A recalibration for Small Business PD model to support the inclusion of the new Definition of Default in the risk quantification phase was applied with the go-live of the new model in November 2021.</w:t>
      </w:r>
    </w:p>
    <w:p w14:paraId="248723AF" w14:textId="77777777" w:rsidR="00E01F61" w:rsidRDefault="00000000">
      <w:r>
        <w:t>Counterparty credit risk governance principles In order to design a framework of methodology, policies and processes for the management of Counterparty Credit Risk that is conceptually sound, implemented with integrity and consistent with Supervisory Authorities instructions, the following general principles have been defined, CCR is a particular type of credit risk and as such the processes and policies governing CCR activities have to follow the same logic as the ones of credit activities, to ensure a comprehensive view on counterparty exposure.</w:t>
      </w:r>
    </w:p>
    <w:p w14:paraId="532F2BE8" w14:textId="1DA1EB67" w:rsidR="00E01F61" w:rsidRDefault="00000000">
      <w:r>
        <w:t xml:space="preserve">The internal models that generate daily pre-settlement exposure also generate exposure measures that are used in the Risk Weighted Asset calculation, for which UniCredit S, UniCredit Bank GmbH and UniCredit Bank Austria AG received the following authorization, </w:t>
      </w:r>
      <w:proofErr w:type="gramStart"/>
      <w:r>
        <w:t>on</w:t>
      </w:r>
      <w:proofErr w:type="gramEnd"/>
      <w:r>
        <w:t xml:space="preserve"> April 2014 Regulatory authorization.</w:t>
      </w:r>
    </w:p>
    <w:p w14:paraId="53B43E78" w14:textId="77777777" w:rsidR="00E01F61" w:rsidRDefault="00000000">
      <w:r>
        <w:t>Counterparty credit risk framework Limits, set by UniCredit in accordance with the risk appetite of the Bank, allows a consolidated view of exposure with each counterparty and represent a first step in portfolio counterparty risk management.</w:t>
      </w:r>
    </w:p>
    <w:p w14:paraId="158CDF40" w14:textId="77777777" w:rsidR="00E01F61" w:rsidRDefault="00000000">
      <w:r>
        <w:lastRenderedPageBreak/>
        <w:t xml:space="preserve">At consolidated level, the Group Risk Management function is responsible for measuring interest rate risk, which reports to the Group Financial and Credit Risk Committee the interest rate risk of the banking book exposures and analysis, </w:t>
      </w:r>
      <w:proofErr w:type="gramStart"/>
      <w:r>
        <w:t>on a monthly basis</w:t>
      </w:r>
      <w:proofErr w:type="gramEnd"/>
      <w:r>
        <w:t>.</w:t>
      </w:r>
    </w:p>
    <w:p w14:paraId="585D48DB" w14:textId="77777777" w:rsidR="00E01F61" w:rsidRDefault="00000000">
      <w:r>
        <w:t>The interest rate risk management strategy is established considering also the main impacts deriving from the behavioral aspects of customers, which can impact on the value of interest margins and the economic value of the banking book, such as, for example, the early repayments of disbursed loans prepayment and the stability of on demand items.</w:t>
      </w:r>
    </w:p>
    <w:p w14:paraId="0DC0D2A7" w14:textId="77777777" w:rsidR="00E01F61" w:rsidRDefault="00000000">
      <w:r>
        <w:t>The Internal Audit functions ensure the adequacy and compliance with regulatory and internal regulations, at least with annual frequency.</w:t>
      </w:r>
    </w:p>
    <w:p w14:paraId="395E0305" w14:textId="77777777" w:rsidR="00E01F61" w:rsidRDefault="00000000">
      <w:r>
        <w:t>With reference to the NII sensitivity, the main driver of the change observed in the second half of 2023 columns c and d is the decrease in the NMD Beta parameter reflecting the depositors remuneration trend, despite the overall increase in market interest rates.</w:t>
      </w:r>
    </w:p>
    <w:p w14:paraId="66A6B30D" w14:textId="77777777" w:rsidR="00E01F61" w:rsidRDefault="00000000">
      <w:r>
        <w:t>This also allows a diversification of the funding sources and of the investors basis with improvement in reducing the cost of Groups funding to free up economic and regulatory capital by carrying out transactions that reduce capital requirements under current rules by reducing credit risk of the underlying portfolio to reduce the exposures toward non-performing customers to optimise the recoveries of exposures portfolios towards non-performing customers, referring to specific asset classes other purposes related for example to corporate re-organization, M&amp;A or divestments assets where the true sale securitisation is instrumental to the deleveraging and assets transfer or for business purposes.</w:t>
      </w:r>
    </w:p>
    <w:p w14:paraId="242FEA91" w14:textId="77777777" w:rsidR="00E01F61" w:rsidRDefault="00000000">
      <w:r>
        <w:t>Under a regulatory perspective, Risk Weighted Exposure Amounts quantification for Arabella is realized through the application of the Internal Assessment Approach or of the SEC-CA, according to the regulation in force for exposures related to ABCP Conduit Programs 30 updated by Regulation of the European Parliament and of the Council 24012017 on prudential requirements for credit institutions and investment firms entered.</w:t>
      </w:r>
    </w:p>
    <w:p w14:paraId="5D468548" w14:textId="77777777" w:rsidR="00E01F61" w:rsidRDefault="00000000">
      <w:r>
        <w:t>The development of client-related operations is also an integral part of MSP activities and includes actions to strengthen the customer base and support securitisations.</w:t>
      </w:r>
    </w:p>
    <w:p w14:paraId="7573F55E" w14:textId="77777777" w:rsidR="00E01F61" w:rsidRDefault="00000000">
      <w:r>
        <w:t>The model output according to this approach are used for various purposes such as regulatory risk calculation, expected loss and economic capital calculation, credit decisions as well as in the monitoring process.</w:t>
      </w:r>
    </w:p>
    <w:p w14:paraId="7C990BA9" w14:textId="77777777" w:rsidR="00E01F61" w:rsidRDefault="00000000">
      <w:r>
        <w:t>The model rating assignment process foresees three main actors, business unit, risk unit responsible credit analyst RCA and deputy credit analyst DCA and model development unit.</w:t>
      </w:r>
    </w:p>
    <w:p w14:paraId="16613D9F" w14:textId="77777777" w:rsidR="00E01F61" w:rsidRDefault="00000000">
      <w:r>
        <w:t>If the Bank has the permission to apply the Internal Ratings Based Approach IRB on the underlying of the securitisation and it is able to calculate the regulatory capital requirements as if this had not been securitised K irb, SEC-IRBA approach is applied.</w:t>
      </w:r>
    </w:p>
    <w:p w14:paraId="2B85AD8B" w14:textId="77777777" w:rsidR="00E01F61" w:rsidRDefault="00000000">
      <w:r>
        <w:t>The transactions that do not meet the Significant Risk Transfer tests are excluded from the Securitisation Framework losing the regulatory capital requirements benefits.</w:t>
      </w:r>
    </w:p>
    <w:p w14:paraId="425F6A7D" w14:textId="77777777" w:rsidR="00E01F61" w:rsidRDefault="00000000">
      <w:r>
        <w:lastRenderedPageBreak/>
        <w:t>In order to support the evidences arising from the comparison of regulatory requirements related to securitisation transactions, as stated above, Group Risk Management set up an ad hoc credit process to analyse, monitor and control the aforementioned transactions in order to confirm the compliance with the qualitative and quantitative requirements set by the CRR and subsequent amendments, as well as the Public Guidance on the Recognition of Significant Credit Risk Transfer issued on 24 March 2016 by the European Central Bank.</w:t>
      </w:r>
    </w:p>
    <w:p w14:paraId="618511B4" w14:textId="77777777" w:rsidR="00E01F61" w:rsidRDefault="00000000">
      <w:r>
        <w:t>Securitisation portfolio is subject to a quarterly monitoring process in order to check the portfolio performance and all the regulatory credit risk parameters that can affect the achieved Significant Risk Transfer, such as, the evolution of portfolio amortisation, the prepayment, the substitution andor the replenishment.</w:t>
      </w:r>
    </w:p>
    <w:p w14:paraId="49050D7E" w14:textId="77777777" w:rsidR="00E01F61" w:rsidRDefault="00000000">
      <w:r>
        <w:t>This process was implemented with the coordination of Group Risk Management function.</w:t>
      </w:r>
    </w:p>
    <w:p w14:paraId="61E37237" w14:textId="77777777" w:rsidR="00E01F61" w:rsidRDefault="00000000">
      <w:r>
        <w:t>The regulatory framework applied is represented by, with reference to the requirements to be met, CRR article 412 Liquidity coverage requirement.</w:t>
      </w:r>
    </w:p>
    <w:p w14:paraId="6DA180D8" w14:textId="77777777" w:rsidR="00E01F61" w:rsidRDefault="00000000">
      <w:r>
        <w:t>Therefore, the information outlined in the present section is disclosed according to the regulatory framework mentioned above.</w:t>
      </w:r>
    </w:p>
    <w:p w14:paraId="67D8C8A4" w14:textId="77777777" w:rsidR="00E01F61" w:rsidRDefault="00000000">
      <w:r>
        <w:t>In line with the Group-wide Sustainability Bond Framework, in February 2023 UniCredit Bank Austria placed a Green Covered Bond with a total volume of €750 million 6-year maturity, in June 2023 UniCredit Bank Czech Republic &amp; Slovakia placed a Green Covered Bond with a total volume of €500 million 5-year maturity and in September 2023 UniCredit Bank Hungary placed a Green tranche of a dual tranche Covered Bond 6-year maturity denominated in Hungarian forint and equivalent to €47 million.</w:t>
      </w:r>
    </w:p>
    <w:p w14:paraId="54F9A1EF" w14:textId="76ECC47A" w:rsidR="00E01F61" w:rsidRDefault="00000000">
      <w:r>
        <w:t>Evolution of encumbrance in 2023 is marked by covered bonds emission 3€bn in June 2023 by UC S</w:t>
      </w:r>
      <w:r w:rsidR="00FA106E">
        <w:t xml:space="preserve"> l</w:t>
      </w:r>
      <w:r>
        <w:t>eading to increase of encumbered assets since June 2023, by TLTRO tranche repayment in June 2023 leading to a reduction of encumbered assets for CB funding since December 2022 and to a reduction in total assets at payment deadline in June 2023, and by repo-funding reduction at year-end leading to a reduction in total assets.</w:t>
      </w:r>
    </w:p>
    <w:p w14:paraId="07C6433E" w14:textId="77777777" w:rsidR="00E01F61" w:rsidRDefault="00000000">
      <w:r>
        <w:t>Description of the processes used to manage the risk of excessive leverage Group Risk Appetite Framework represents the foundation for risk management within UniCredit group.</w:t>
      </w:r>
    </w:p>
    <w:p w14:paraId="5C0E5DD7" w14:textId="77777777" w:rsidR="00E01F61" w:rsidRDefault="00000000">
      <w:r>
        <w:t>This framework envisages comprehensive governance, processes, tools, and procedures for the widespread management of risks.</w:t>
      </w:r>
    </w:p>
    <w:p w14:paraId="2E32E36A" w14:textId="77777777" w:rsidR="00E01F61" w:rsidRDefault="00000000">
      <w:r>
        <w:t>Additional metrics to specifically monitor the level of asset encumbrance are also present in the liquidity risk management framework.</w:t>
      </w:r>
    </w:p>
    <w:p w14:paraId="714B18F8" w14:textId="77777777" w:rsidR="00E01F61" w:rsidRDefault="00000000">
      <w:r>
        <w:t>UniCredit groups climate risk strategy is based on the identification and awareness of all the climate-related risks and opportunities that the Group may encounter.</w:t>
      </w:r>
    </w:p>
    <w:p w14:paraId="6909DC86" w14:textId="77777777" w:rsidR="00E01F61" w:rsidRDefault="00000000">
      <w:r>
        <w:lastRenderedPageBreak/>
        <w:t>Regarding climate-related risk, including both transition and physical, the Group continuously identifies, analyses, and assesses them aiming at their comprehensive incorporation within the Groups risk management framework.</w:t>
      </w:r>
    </w:p>
    <w:p w14:paraId="3A5DF93D" w14:textId="77777777" w:rsidR="00E01F61" w:rsidRDefault="00000000">
      <w:r>
        <w:t>Since then, UniCredit put in place actions to achieve Net Zero on our own emissions.</w:t>
      </w:r>
    </w:p>
    <w:p w14:paraId="422F7CF7" w14:textId="77777777" w:rsidR="00E01F61" w:rsidRDefault="00000000">
      <w:r>
        <w:t>Short term targets, limits and triggers for Net Zero commitments for Oil and Gas, Power generation and Automotive will be reflected in RAF 2024 and will be duly monitored during the year according to RAF process.</w:t>
      </w:r>
    </w:p>
    <w:p w14:paraId="32D9E779" w14:textId="77777777" w:rsidR="00E01F61" w:rsidRDefault="00000000">
      <w:r>
        <w:t>In the coming months, the Group will also establish Net Zero 2030 interim targets for other carbon-intensive sectors, such as Real Estate.</w:t>
      </w:r>
    </w:p>
    <w:p w14:paraId="6C91DB54" w14:textId="77777777" w:rsidR="00E01F61" w:rsidRDefault="00000000">
      <w:r>
        <w:t>Investments, enablers for implementation UniCredit designed a global framework for ESG related information supported by a central IT architecture that represents a key enabler for compliance to regulatory disclosure requirements needs as well as to enhance Risk Management processes, Business steering, monitoring and reporting framework.</w:t>
      </w:r>
    </w:p>
    <w:p w14:paraId="32982592" w14:textId="77777777" w:rsidR="00E01F61" w:rsidRDefault="00000000">
      <w:r>
        <w:t>To implement this infrastructure, UniCredit has created a new integrated ESG ecosystem that involves the development of three main new assets, SurveyFront-End, which has a dual function allowing, on the one hand, the submission of customers surveys to retrieve ESG KPIs in the origination phase and, on the other hand, to make key ESG information available to the network, through the ESG KPIs cockpit relevant tool for the steering of business and credit strategies.</w:t>
      </w:r>
    </w:p>
    <w:p w14:paraId="11E615DA" w14:textId="77777777" w:rsidR="00E01F61" w:rsidRDefault="00000000">
      <w:r>
        <w:t>Governance The sustainability governance has been significantly strengthened in recent years at both steering and execution levels, underpinning the drive to further integrate ESG criteria into the Group's overall business strategy.</w:t>
      </w:r>
    </w:p>
    <w:p w14:paraId="42E10E6F" w14:textId="77777777" w:rsidR="00E01F61" w:rsidRDefault="00000000">
      <w:r>
        <w:t>For monitoring purposes, dedicated Climate Risk KPIs have been included in the Risk Appetite Framework, enabling the Group to oversee the evolution of transition and physical risks it is exposed to.</w:t>
      </w:r>
    </w:p>
    <w:p w14:paraId="4EF381AE" w14:textId="77777777" w:rsidR="00E01F61" w:rsidRDefault="00000000">
      <w:r>
        <w:t>Its work also encompasses Climate and Environmental risks which are addressed jointly with the ESG Committee and on which it is regularly kept updated by Group Risk Management.</w:t>
      </w:r>
    </w:p>
    <w:p w14:paraId="6EC2C361" w14:textId="77777777" w:rsidR="00E01F61" w:rsidRDefault="00000000">
      <w:r>
        <w:t>The ESG Committee supports the Board of Directors in fulfilling its responsibilities with respect to the ESG components integral to the Groups business strategy and sustainability over time.</w:t>
      </w:r>
    </w:p>
    <w:p w14:paraId="40CE51E8" w14:textId="77777777" w:rsidR="00E01F61" w:rsidRDefault="00000000">
      <w:r>
        <w:t>The ESG Committee provides opinions and supports the other Board Committees to ensure the alignment of the Groups policies to UniCredits ESG principles and objectives.</w:t>
      </w:r>
    </w:p>
    <w:p w14:paraId="4628F9E3" w14:textId="77777777" w:rsidR="00E01F61" w:rsidRDefault="00000000">
      <w:r>
        <w:t xml:space="preserve">Moreover, the Committee oversees the ESG and sustainability related developments also considering international guidelines and principles and market developments, monitoring </w:t>
      </w:r>
      <w:r>
        <w:lastRenderedPageBreak/>
        <w:t>the positioning of the Group with respect to national and international best practices in the ESG field.</w:t>
      </w:r>
    </w:p>
    <w:p w14:paraId="2D0753AE" w14:textId="77777777" w:rsidR="00E01F61" w:rsidRDefault="00000000">
      <w:r>
        <w:t>In 2023, ESGC activities covered 9 meeting held, 16 items reviewed and 6 main thematic area of work, including ESG Risk&amp; Compliance, ESG Strategy and Targets, Policies on controversial sectors and Commitments, Regulatory and Voluntary ESG disclosure, Stakeholders engagement.</w:t>
      </w:r>
    </w:p>
    <w:p w14:paraId="0D22085D" w14:textId="77777777" w:rsidR="00E01F61" w:rsidRDefault="00000000">
      <w:r>
        <w:t>Moreover, in dedicated Risk sessions, the GEC supports the CEO in coordinating and monitoring all categories of risks and in steering ESG-related matters, thus granting a dedicated focus on Climate and Environmental risks among others.</w:t>
      </w:r>
    </w:p>
    <w:p w14:paraId="6DA79C91" w14:textId="77777777" w:rsidR="00E01F61" w:rsidRDefault="00000000">
      <w:r>
        <w:t>These initiatives include strategy development, M&amp;A, the integration of ESG criteria into our business operations, stakeholder management and dealing with regulatory affairs.</w:t>
      </w:r>
    </w:p>
    <w:p w14:paraId="522E5D23" w14:textId="77777777" w:rsidR="00E01F61" w:rsidRDefault="00000000">
      <w:r>
        <w:t>Group ESG, in collaboration with all relevant functions, is involved in the Net Zero Governance and is in charge of the production of UniCredits climate-related financial reporting in accordance with the TCFD Recommendations.</w:t>
      </w:r>
    </w:p>
    <w:p w14:paraId="57B7E84C" w14:textId="77777777" w:rsidR="00E01F61" w:rsidRDefault="00000000">
      <w:r>
        <w:t>UniCredit Group Disclosure Pillar III Environmental, Social and Governance risks 190 Pillar III UniCredit Group Disclosure at 31 December 2023 The following are the main structures directly involved in Climate Risk management, the Group Executive Committee , in addition to its role in steering the overall business, in the dedicated Risk Sessions, the Committee supports the CEO in coordinating and monitoring all categories of risks and approves strategic risk topics including ESG-related matters, thus granting a dedicated focus on Climate and Environmental risks.</w:t>
      </w:r>
    </w:p>
    <w:p w14:paraId="45578A9E" w14:textId="77777777" w:rsidR="00E01F61" w:rsidRDefault="00000000">
      <w:r>
        <w:t>The function ensures the overall climate risk framework definition at Group level and supports local implementation.</w:t>
      </w:r>
    </w:p>
    <w:p w14:paraId="4A6DB586" w14:textId="77777777" w:rsidR="00E01F61" w:rsidRDefault="00000000">
      <w:r>
        <w:t>Within the various risk areas, dedicated employees and functions have been devoted to the integration of climate topics within risk management activities and the effective dissemination of the relative knowledge.</w:t>
      </w:r>
    </w:p>
    <w:p w14:paraId="6DD9C59F" w14:textId="77777777" w:rsidR="00E01F61" w:rsidRDefault="00000000">
      <w:r>
        <w:t>Furthermore, the Group Risk Management functions issue, for relevant ESG topics, credit risk opinions to support the Group Transactional Committee sessions in the discussion and approval based on the delegated powers of credit transactions.</w:t>
      </w:r>
    </w:p>
    <w:p w14:paraId="567F4CD6" w14:textId="77777777" w:rsidR="00E01F61" w:rsidRDefault="00000000">
      <w:r>
        <w:t>In line with its mission, the Internal Audit function reviews the Banks climate and environmental risks management on a risk-based approach.</w:t>
      </w:r>
    </w:p>
    <w:p w14:paraId="401FDCE3" w14:textId="77777777" w:rsidR="00E01F61" w:rsidRDefault="00000000">
      <w:r>
        <w:t xml:space="preserve">Training initiatives Several training initiatives focused on </w:t>
      </w:r>
      <w:proofErr w:type="gramStart"/>
      <w:r>
        <w:t>ESG</w:t>
      </w:r>
      <w:proofErr w:type="gramEnd"/>
      <w:r>
        <w:t xml:space="preserve"> and climate change-related risks and opportunities have been put in place at all levels of the Bank to address various needs.</w:t>
      </w:r>
    </w:p>
    <w:p w14:paraId="2169B507" w14:textId="77777777" w:rsidR="00E01F61" w:rsidRDefault="00000000">
      <w:r>
        <w:t>A selection of training initiatives with a focus on climate-related risks and opportunities are reported below.</w:t>
      </w:r>
    </w:p>
    <w:p w14:paraId="6F5288BC" w14:textId="77777777" w:rsidR="00E01F61" w:rsidRDefault="00000000">
      <w:r>
        <w:lastRenderedPageBreak/>
        <w:t>The training offer, devoted to enhancing competences regarding climate risk, is customized according to role and, in particular, to the involvement of employees in climate risk related activities.</w:t>
      </w:r>
    </w:p>
    <w:p w14:paraId="4C54812B" w14:textId="77777777" w:rsidR="00E01F61" w:rsidRDefault="00000000">
      <w:r>
        <w:t>The training is structured in 3 levels, for all Risk Management employees, the learning offer is aimed at providing the fundamentals on climate risk and it covers a broad range of topics, including ESG Strategies, Social and Governance matters, environmental and social products and initiatives, ESG strategic commitments and Impact Measurement model.</w:t>
      </w:r>
    </w:p>
    <w:p w14:paraId="60EC259C" w14:textId="77777777" w:rsidR="00E01F61" w:rsidRDefault="00000000">
      <w:r>
        <w:t>Risk management UniCredit recognizes Climate &amp; Environmental Risk factors as crucial elements in safeguarding its clients portfolios and assets from climate-related risks.</w:t>
      </w:r>
    </w:p>
    <w:p w14:paraId="5E6BCD74" w14:textId="77777777" w:rsidR="00E01F61" w:rsidRDefault="00000000">
      <w:r>
        <w:t>To achieve this goal, UniCredit is integrating climate and environmental factors into its risk management processes and procedures.</w:t>
      </w:r>
    </w:p>
    <w:p w14:paraId="68B5B7AD" w14:textId="77777777" w:rsidR="00E01F61" w:rsidRDefault="00000000">
      <w:r>
        <w:t>Climate Risk management encompasses the identification, measurement, and monitoring of these risks as well as the implementation of mitigation measures.</w:t>
      </w:r>
    </w:p>
    <w:p w14:paraId="1E544E34" w14:textId="77777777" w:rsidR="00E01F61" w:rsidRDefault="00000000">
      <w:r>
        <w:t>In line with the European Banking Authoritys and the European Central Banks expectations, UniCredits risk identification process covers ESG risks dimensions, assessed through the lenses of physical and transition risk drivers, considering that these could positively or negatively affect the risk types already incorporated in UniCredits risk management framework.</w:t>
      </w:r>
    </w:p>
    <w:p w14:paraId="2348D904" w14:textId="77777777" w:rsidR="00E01F61" w:rsidRDefault="00000000">
      <w:r>
        <w:t>Environmental, Social &amp; Governance risks pertain to any adverse financial consequences that may arise for the Group due to the existing or prospective impacts of ESG factors on its counterparties or invested assets, Climate and Environmental C&amp;E factors are related to the quality and functioning of the natural environment and its systems and include factors such as climate change, biodiversity, energy consumption, pollution and waste management.</w:t>
      </w:r>
    </w:p>
    <w:p w14:paraId="3CBA23CD" w14:textId="77777777" w:rsidR="00E01F61" w:rsidRDefault="00000000">
      <w:r>
        <w:t>Social and Governance factors, for which the Group assigned an impact on reputational risk, revolve around the rights, well-being and interests of individuals and communities and include governance arrangements for the environmental and social factors in the policies and procedures of counterparties.</w:t>
      </w:r>
    </w:p>
    <w:p w14:paraId="4BFC55E6" w14:textId="77777777" w:rsidR="00E01F61" w:rsidRDefault="00000000">
      <w:r>
        <w:t>Transition risks refer to the risks arising from the transition to a lower-carbon economy, which may entail extensive policy, legal, technology, and market changes to address mitigation and adaptation requirements related to climate change.</w:t>
      </w:r>
    </w:p>
    <w:p w14:paraId="2A783E02" w14:textId="77777777" w:rsidR="00E01F61" w:rsidRDefault="00000000">
      <w:r>
        <w:t>Depending on the nature, pace, and focus of these changes, transition risks can pose different levels of financial and reputational risk for organisations, policy and legal risks stemming from continuously evolving policy actions, attempting to either constrain actions that contribute to the adverse effects of climate change or seeking to promote adaptation to climate change, and from litigation or legal risks.</w:t>
      </w:r>
    </w:p>
    <w:p w14:paraId="61EFAA51" w14:textId="77777777" w:rsidR="00E01F61" w:rsidRDefault="00000000">
      <w:r>
        <w:t xml:space="preserve">UniCredit Group Disclosure Pillar III Environmental, Social and Governance risks Pillar III UniCredit Group Disclosure at 31 December 2023 193 technology risk stemming from </w:t>
      </w:r>
      <w:r>
        <w:lastRenderedPageBreak/>
        <w:t>technological improvements or innovations that support the transition to a lower-carbon, energy-efficient economic system and that can have a significant impact on organisations to the extent that new technology replaces old systems and disrupts some parts of the existing economic system.</w:t>
      </w:r>
    </w:p>
    <w:p w14:paraId="4265CC3A" w14:textId="77777777" w:rsidR="00E01F61" w:rsidRDefault="00000000">
      <w:r>
        <w:t>Physical risks refer to the risks related to the physical impact of climate change.</w:t>
      </w:r>
    </w:p>
    <w:p w14:paraId="5658AF00" w14:textId="77777777" w:rsidR="00E01F61" w:rsidRDefault="00000000">
      <w:r>
        <w:t>These include, the geographic location of the bank, the assets or exposures involved, the interactions and interdependencies between transmission channels and climate risk drivers that can amplify impacts and mitigating measures that can reduce or offset impacts.</w:t>
      </w:r>
    </w:p>
    <w:p w14:paraId="233E7C5A" w14:textId="77777777" w:rsidR="00E01F61" w:rsidRDefault="00000000">
      <w:r>
        <w:t>Understanding these transmission channels is crucial for assessing the impact of climate risk drivers in UniCredits risk management framework.</w:t>
      </w:r>
    </w:p>
    <w:p w14:paraId="2F354B02" w14:textId="77777777" w:rsidR="00E01F61" w:rsidRDefault="00000000">
      <w:r>
        <w:t>The main climate assumptions embedded in the scenarios in terms of transition policies and level of emissionstemperature are consistent with the NGFSIEAs ones to ensure consistency with scientific climate change pathways to properly assess the impact of physical and transition risk drivers.</w:t>
      </w:r>
    </w:p>
    <w:p w14:paraId="2A8B5C0D" w14:textId="77777777" w:rsidR="00E01F61" w:rsidRDefault="00000000">
      <w:r>
        <w:t>The scenarios are extended with a more comprehensive set of variables climate and macro-economic related disaggregated at higher level of granularity, which is better fitting stress testing models framework.</w:t>
      </w:r>
    </w:p>
    <w:p w14:paraId="3F572DC6" w14:textId="77777777" w:rsidR="00E01F61" w:rsidRDefault="00000000">
      <w:r>
        <w:t>With reference to 2023, the ongoing climate-risk scenario analysis preserves the methodological approach applied in 2022 climate-risk scenario analysis and considers updated climate scenarios.</w:t>
      </w:r>
    </w:p>
    <w:p w14:paraId="0E83D09C" w14:textId="77777777" w:rsidR="00E01F61" w:rsidRDefault="00000000">
      <w:r>
        <w:t>Therefore, a more stringent policy is required to achieve similar climate outcomes by 2050, resulting in greater economic impacts.</w:t>
      </w:r>
    </w:p>
    <w:p w14:paraId="71E6B5AE" w14:textId="77777777" w:rsidR="00E01F61" w:rsidRDefault="00000000">
      <w:r>
        <w:t>Climate assumptions aligned with the International Energy Agencys Stated Policies Scenario UniCredit Group Disclosure Pillar III Environmental, Social and Governance risks Pillar III UniCredit Group Disclosure at 31 December 2023 195 The short-term column refers to the impact for each risk type considering the maximum impact of the two stressed climate scenarios.</w:t>
      </w:r>
    </w:p>
    <w:p w14:paraId="3AD4B937" w14:textId="77777777" w:rsidR="00E01F61" w:rsidRDefault="00000000">
      <w:r>
        <w:t>The outcomes of the 2022 short-term materiality assessment performed within the standard Internal Capital Adequacy Assessment Process framework, complemented by further concentration analyses and stress scenarios, suggest a limited impact of climate-related risk drivers.</w:t>
      </w:r>
    </w:p>
    <w:p w14:paraId="0DD24721" w14:textId="77777777" w:rsidR="00E01F61" w:rsidRDefault="00000000">
      <w:r>
        <w:t>Integration of climate risk into RAF UniCredits Risk Appetite provides an integrated view of business and risk strategy ensuring strategic plan execution within the risk capacity a bank is willing to assume.</w:t>
      </w:r>
    </w:p>
    <w:p w14:paraId="56FF6FCA" w14:textId="77777777" w:rsidR="00E01F61" w:rsidRDefault="00000000">
      <w:r>
        <w:t>It establishes the Groups desired risk profile, driving short-term and long-term strategic objectives, and is supervised by the UniCredits Board of Directors.</w:t>
      </w:r>
    </w:p>
    <w:p w14:paraId="20707812" w14:textId="77777777" w:rsidR="00E01F61" w:rsidRDefault="00000000">
      <w:r>
        <w:lastRenderedPageBreak/>
        <w:t>Risk Appetite Dashboard quantitative KPIs with related targets and risk tolerance thresholds for proactive risk steering.</w:t>
      </w:r>
    </w:p>
    <w:p w14:paraId="15BAFC4B" w14:textId="77777777" w:rsidR="00E01F61" w:rsidRDefault="00000000">
      <w:r>
        <w:t>Since 2020, dedicated Risk Appetite Statements are drawn up regarding Climate &amp; Environmental C&amp;E risks, including the definition of UniCredits commitment to assist its clients in a just and fair transition and the continuous integration of C&amp;E risks within the Risk Management framework.</w:t>
      </w:r>
    </w:p>
    <w:p w14:paraId="416D941A" w14:textId="77777777" w:rsidR="00E01F61" w:rsidRDefault="00000000">
      <w:r>
        <w:t>Dedicated quantitative C&amp;E risk related KPIs have been included in the Risk Appetite Dashboard since 2022, addressing both transitional and physical C&amp;E risks.</w:t>
      </w:r>
    </w:p>
    <w:p w14:paraId="23D76E88" w14:textId="77777777" w:rsidR="00E01F61" w:rsidRDefault="00000000">
      <w:r>
        <w:t>For 2024 further enhancement of Risk Appetite Framework are foreseen, for example extending the coverage of portfolio for transition risk and the introduction of Net Zero KPIs for the first three priority industry considered in the Group Net Zero Journey Power generation, Oil and Gas, Automotive.</w:t>
      </w:r>
    </w:p>
    <w:p w14:paraId="1AB81D04" w14:textId="77777777" w:rsidR="00E01F61" w:rsidRDefault="00000000">
      <w:r>
        <w:t>In particular, the Credit Risk Strategies, reviewed at least once a year, are an important tool for ensuring inclusion of the relevant C&amp;E factors in the overall credit risk strategy.</w:t>
      </w:r>
    </w:p>
    <w:p w14:paraId="243DF27B" w14:textId="77777777" w:rsidR="00E01F61" w:rsidRDefault="00000000">
      <w:r>
        <w:t>To determine the extent to which the Banks credit counterparties are exposed to Climate and Environmental risks, the C&amp;E questionnaire is based on a set of both cross-industry questions in total 11 considering the different sections and industry-specific questions an additional 2 for specific sectors, measuring qualitative and quantitative current and forward-looking key indicators across the following three main drivers, C&amp;E exposure, the 5 questions allow an analysis of the current level of exposure of the Economic Group under assessment, , level of Greenhouse Gas emission Scope 1, 2 and 3.</w:t>
      </w:r>
    </w:p>
    <w:p w14:paraId="778C0BDB" w14:textId="77777777" w:rsidR="00E01F61" w:rsidRDefault="00000000">
      <w:r>
        <w:t>C&amp;E vulnerability, the 4 questions allow an analysis of the climate change management maturity level on a forward-looking basis, covering, , Companys investment plan to shift to lower emission level business model.</w:t>
      </w:r>
    </w:p>
    <w:p w14:paraId="52AFD315" w14:textId="77777777" w:rsidR="00E01F61" w:rsidRDefault="00000000">
      <w:r>
        <w:t>UniCredit Group Disclosure Pillar III Environmental, Social and Governance risks Pillar III UniCredit Group Disclosure at 31 December 2023 197 Three steps are applied in order to determine the questionnaire result as shown in the following figure, In detail, calculation of question-specific indicators based on the answers provided a penalty system is in place and applied when information could not be retrieved.</w:t>
      </w:r>
    </w:p>
    <w:p w14:paraId="3E41B681" w14:textId="77777777" w:rsidR="00E01F61" w:rsidRDefault="00000000">
      <w:r>
        <w:t>The data strategy has been designed to take into consideration the evolution of the regulatory framework and Group experience.</w:t>
      </w:r>
    </w:p>
    <w:p w14:paraId="7A033F96" w14:textId="77777777" w:rsidR="00E01F61" w:rsidRDefault="00000000">
      <w:r>
        <w:t>Transition risk at collateral level With the aim to measure transition risk associated with assets accepted as collateral to fulfill regulatory obligations Pillar 3, EU Taxonomy, Stress Tests and meet managerial needs, a collection of Energy Performance Certification data has been conducted in the various Group Legal entities, for the stock, whereas the data couldnt be punctually retrieved, the Group leveraged on external specialised providers, which developed an estimation model.</w:t>
      </w:r>
    </w:p>
    <w:p w14:paraId="69AB5DB1" w14:textId="77777777" w:rsidR="00E01F61" w:rsidRDefault="00000000">
      <w:r>
        <w:lastRenderedPageBreak/>
        <w:t>Financial Risk With regards to financial risks market risk, liquidity risk and counterparty credit risk, several concrete initiatives have been implemented to further integrate C&amp;E risk into the financial risk management framework.</w:t>
      </w:r>
    </w:p>
    <w:p w14:paraId="6E364769" w14:textId="77777777" w:rsidR="00E01F61" w:rsidRDefault="00000000">
      <w:r>
        <w:t>UniCredit Group Disclosure Pillar III Environmental, Social and Governance risks Pillar III UniCredit Group Disclosure at 31 December 2023 199 an overall methodological approach for incorporating C&amp;E drivers within the Financial Risk framework has been further refined, leveraging a combination of assessment methodologies already employed by the Group.</w:t>
      </w:r>
    </w:p>
    <w:p w14:paraId="335E6781" w14:textId="77777777" w:rsidR="00E01F61" w:rsidRDefault="00000000">
      <w:r>
        <w:t>In April 2022, the market risk stress testing program was enhanced with a dedicated climate risk scenario which extends the ECB short-term disorderly transition scenario.</w:t>
      </w:r>
    </w:p>
    <w:p w14:paraId="47B589F8" w14:textId="77777777" w:rsidR="00E01F61" w:rsidRDefault="00000000">
      <w:r>
        <w:t>Moreover, since October 2022, the monthly reporting and monitoring framework has been enhanced by incorporating transition and physical risks and in December 2022 the Climate risk stress test scenarios were further increased.</w:t>
      </w:r>
    </w:p>
    <w:p w14:paraId="1A7ABB39" w14:textId="77777777" w:rsidR="00E01F61" w:rsidRDefault="00000000">
      <w:r>
        <w:t>According to the definition of physical and transitional risk, the transmission of climate risk to liquidity comes through the following channels, Counterbalancing Capacity, risk premia on securities of carbon-intensive issuers transitional risk or issuers particularly exposed to extreme climate events physical risk could increase, deteriorating the market value of the liquidity buffer.</w:t>
      </w:r>
    </w:p>
    <w:p w14:paraId="716D4229" w14:textId="77777777" w:rsidR="00E01F61" w:rsidRDefault="00000000">
      <w:r>
        <w:t>Deposits, withdrawals of deposits mainly due to high liquidity needs and credit losses that could stem from corporate clients with high CO2 emissions, which could have to adapt their technologies and production plants to more carbon-neutral economies transitional risk or from customers hit by severe weather events physical risk, which reduce profitability and potentially increase credit risk and liquidity needs.</w:t>
      </w:r>
    </w:p>
    <w:p w14:paraId="0790118A" w14:textId="77777777" w:rsidR="00E01F61" w:rsidRDefault="00000000">
      <w:r>
        <w:t>Market valuation changes on derivatives transactions climate related price shocks and increased market volatility may result in increased derivative exposures and related margin-calls.</w:t>
      </w:r>
    </w:p>
    <w:p w14:paraId="3CFD8B2A" w14:textId="77777777" w:rsidR="00E01F61" w:rsidRDefault="00000000">
      <w:r>
        <w:t>UniCredit Group Disclosure Pillar III Environmental, Social and Governance risks 200 Pillar III UniCredit Group Disclosure at 31 December 2023 Additionally, the transition risk might appear if UniCredit itself fails in adapting its practices to the new climate regulations, thus leading to reputational impacts.</w:t>
      </w:r>
    </w:p>
    <w:p w14:paraId="65D08E4A" w14:textId="77777777" w:rsidR="00E01F61" w:rsidRDefault="00000000">
      <w:r>
        <w:t>In order to assess the materiality of the liquidity risk arising from climate factors related with deposits and committed lines, UniCredits customers are classified according to a climate risk score defined through an internal questionnaire acquired by external information providers.</w:t>
      </w:r>
    </w:p>
    <w:p w14:paraId="0CEFAA64" w14:textId="77777777" w:rsidR="00E01F61" w:rsidRDefault="00000000">
      <w:r>
        <w:t xml:space="preserve">Non-financial risk Non-financial risks can be influenced by environmental factors in general and by the climate change in two different ways, Reputational risk Risk for the Group of being perceived and criticised for supporting activities and projects through its financial </w:t>
      </w:r>
      <w:r>
        <w:lastRenderedPageBreak/>
        <w:t>products and services that harm the environment and contribute to worsening the climate change scenario.</w:t>
      </w:r>
    </w:p>
    <w:p w14:paraId="61687B51" w14:textId="4A3B9F34" w:rsidR="00E01F61" w:rsidRDefault="00000000">
      <w:r>
        <w:t>UniCredit Group Disclosure Pillar III Environmental, Social and Governance risks Pillar III UniCredit Group Disclosure at 31 December 2023 201 As of end of 2023, the Group, in its continuous monitoring of the market and stakeholders expectations, has identified six sensitive sectors for which it has adopted a dedicated additional set of provisions and rules described in specific internal regulations listed below, In addition, the Group has signed specific commitments regarding the exit from Tobacco industry and from activities that favor deforestation or forest degradation.</w:t>
      </w:r>
    </w:p>
    <w:p w14:paraId="004FCD16" w14:textId="77777777" w:rsidR="00E01F61" w:rsidRDefault="00000000">
      <w:r>
        <w:t>Not allowed UniCredit Group Disclosure Pillar III Environmental, Social and Governance risks 204 Pillar III UniCredit Group Disclosure at 31 December 2023 Whenever a further scrutiny of a case is deemed necessary, Legal entities can ask the Parent Company for an NBO for cases other than the two mentioned above.</w:t>
      </w:r>
    </w:p>
    <w:p w14:paraId="107B85BC" w14:textId="77777777" w:rsidR="00E01F61" w:rsidRDefault="00000000">
      <w:r>
        <w:t>In order to assess the resilience of third-party service providers with regard to climate change, the Third-Party Assessment performed during onboarding of new suppliers, then yearly has been enhanced by also considering the business continuity plans adopted to manage potential adverse climate events.</w:t>
      </w:r>
    </w:p>
    <w:p w14:paraId="6DC62E60" w14:textId="77777777" w:rsidR="00E01F61" w:rsidRDefault="00000000">
      <w:r>
        <w:t>Qualitative information on Social risk Business strategy and processes An internal global policy defines principles and rules for managing and controlling reputational risk in UniCredit group.</w:t>
      </w:r>
    </w:p>
    <w:p w14:paraId="66EE001B" w14:textId="77777777" w:rsidR="00E01F61" w:rsidRDefault="00000000">
      <w:r>
        <w:t>Further details on ESG goals and targets in the corresponding paragraph in the Environmental risk section in the present chapter.</w:t>
      </w:r>
    </w:p>
    <w:p w14:paraId="5386F8FA" w14:textId="77777777" w:rsidR="00E01F61" w:rsidRDefault="00000000">
      <w:r>
        <w:t>Among the main strategic commitments to support the Group overall ESG stance in 2023 on social, is the UNEP-FI For Financial Health and Inclusion.</w:t>
      </w:r>
    </w:p>
    <w:p w14:paraId="7C0A819B" w14:textId="77777777" w:rsidR="00E01F61" w:rsidRDefault="00000000">
      <w:r>
        <w:t>The commitments include, promote universal financial inclusion and foster a banking sector that supports the financial health of all customers.</w:t>
      </w:r>
    </w:p>
    <w:p w14:paraId="3A1B2200" w14:textId="77777777" w:rsidR="00E01F61" w:rsidRDefault="00000000">
      <w:r>
        <w:t>Governance The sustainability governance has been significantly strengthened in recent years at both steering and execution levels, underpinning the drive to further integrate ESG criteria into the Group's overall business strategy.</w:t>
      </w:r>
    </w:p>
    <w:p w14:paraId="3DF43C3B" w14:textId="77777777" w:rsidR="00E01F61" w:rsidRDefault="00000000">
      <w:r>
        <w:t>Responsibilities of the Corporate bodies in the oversight of ESG risks and the role of management are similar for all the ESG dimensions, including social, and are in analogy to what described in the corresponding paragraph of the Environmental risk section in the present chapter.</w:t>
      </w:r>
    </w:p>
    <w:p w14:paraId="5DB7824B" w14:textId="77777777" w:rsidR="00E01F61" w:rsidRDefault="00000000">
      <w:r>
        <w:t xml:space="preserve">UniCredit Group Disclosure Pillar III Environmental, Social and Governance risks 206 Pillar III UniCredit Group Disclosure at 31 December 2023 All the subjects that establish a relationship with a Group legal Entity must comply with the following minimum set of </w:t>
      </w:r>
      <w:r>
        <w:lastRenderedPageBreak/>
        <w:t>social criteria, compliance with all locally effective host country social and environmental laws, regulations and permits.</w:t>
      </w:r>
    </w:p>
    <w:p w14:paraId="640E4F6F" w14:textId="77777777" w:rsidR="00E01F61" w:rsidRDefault="00000000">
      <w:r>
        <w:t>It sets out the principles of acceptable and unacceptable behaviour linked in particular to financial misreporting and misconduct, economic and financial crime, money laundering and terrorist financing, anti-trust practices, financial sanctions, bribery and corruption, market manipulation, misselling, tax offences and other violations of consumer protection laws with which all employees and partnering third parties of UniCredit must comply in order to ensure high standards of professional conduct and integrity related to their activity or on behalf of UniCredit.</w:t>
      </w:r>
    </w:p>
    <w:p w14:paraId="140A4D83" w14:textId="77777777" w:rsidR="00E01F61" w:rsidRDefault="00000000">
      <w:r>
        <w:t>ESG principles have been introduced as fundamentals to every decision and action taken, being a central part of how the Group does business, supporting clients in their business transformation and guiding financing in the right direction, building stakeholder trust, supporting social impact initiatives and consistently measuring the results to ensure accountability.</w:t>
      </w:r>
    </w:p>
    <w:p w14:paraId="6A4C5B8D" w14:textId="77777777" w:rsidR="00E01F61" w:rsidRDefault="00000000">
      <w:r>
        <w:t>CEO &amp; Top Management remuneration include a 20% weight of long-term performance linked to sustainability, which covers also social elements.</w:t>
      </w:r>
    </w:p>
    <w:p w14:paraId="0E611C93" w14:textId="77777777" w:rsidR="00E01F61" w:rsidRDefault="00000000">
      <w:r>
        <w:t>Further information on remuneration policy are included in the corresponding paragraph in the Environmental risk section of the present chapter.</w:t>
      </w:r>
    </w:p>
    <w:p w14:paraId="3E91D98B" w14:textId="77777777" w:rsidR="00E01F61" w:rsidRDefault="00000000">
      <w:r>
        <w:t>Training initiatives Several training initiatives focused on ESG and social-related risks and opportunities have been put in place at all levels of the Bank to address various needs.</w:t>
      </w:r>
    </w:p>
    <w:p w14:paraId="7C536E6D" w14:textId="77777777" w:rsidR="00E01F61" w:rsidRDefault="00000000">
      <w:r>
        <w:t>Among others, specific to social risk, for all Risk Management employees the learning offer is aimed at providing the fundamentals on climate risk and it covers a broad range of topics, including ESG Strategies, Social and Governance matters, environmental and social products and initiatives, ESG strategic commitments and Impact Measurement model.</w:t>
      </w:r>
    </w:p>
    <w:p w14:paraId="27C04FFF" w14:textId="77777777" w:rsidR="00E01F61" w:rsidRDefault="00000000">
      <w:r>
        <w:t>UniCredit Group Disclosure Pillar III Environmental, Social and Governance risks Pillar III UniCredit Group Disclosure at 31 December 2023 207 Risk management Risk Identification UniCredit conducts an annual risk identification process which is a comprehensive framework to proactively identify all potential risks the Group may encounter.</w:t>
      </w:r>
    </w:p>
    <w:p w14:paraId="17C9C1FB" w14:textId="77777777" w:rsidR="00E01F61" w:rsidRDefault="00000000">
      <w:r>
        <w:t>Environmental, Social &amp; Governance risks pertain to any adverse financial consequences that may arise for the Group due to the existing or prospective impacts of ESG factors on its counterparties or invested assets, Specifically, social and governance factors, for which the Group assigned an impact on reputational risk, revolve around the rights, well-being and interests of individuals and communities and include governance arrangements for the environmental and social factors in the policies and procedures of counterparties.</w:t>
      </w:r>
    </w:p>
    <w:p w14:paraId="32237394" w14:textId="77777777" w:rsidR="00E01F61" w:rsidRDefault="00000000">
      <w:r>
        <w:t>Regarding the measurement, within the stress tests and scenario analyses annually performed, Social risk is assessed, together with the Environmental and Governance components, through the impact they jointly have on the Reputational Risk.</w:t>
      </w:r>
    </w:p>
    <w:p w14:paraId="1515D3DA" w14:textId="77777777" w:rsidR="00E01F61" w:rsidRDefault="00000000">
      <w:r>
        <w:lastRenderedPageBreak/>
        <w:t>More details on the stress tests and scenario analyses performed within ICAAP are reported in the previous paragraph Integration of climate risk into risk framework shortmediumlong term impacts.</w:t>
      </w:r>
    </w:p>
    <w:p w14:paraId="016D18EF" w14:textId="77777777" w:rsidR="00E01F61" w:rsidRDefault="00000000">
      <w:r>
        <w:t>Further information on UniCredit approach to third-party assessment, conflict of interests and other considerations such as anti-corruption, are described in the Integrated Report 2023.</w:t>
      </w:r>
    </w:p>
    <w:p w14:paraId="516227EB" w14:textId="77777777" w:rsidR="00E01F61" w:rsidRDefault="00000000">
      <w:r>
        <w:t>UniCredit group has defined a process for assessing Reputational Risk, identifying cases where a dedicated assessment is necessary, as shown below, UniCredit Group Disclosure Pillar III Environmental, Social and Governance risks 208 Pillar III UniCredit Group Disclosure at 31 December 2023 Reputational risk assessment, The decision-making bodies responsible for assessing cases of reputational risk can vary according to the relevance of the case and alignment with the policy provisions.</w:t>
      </w:r>
    </w:p>
    <w:p w14:paraId="3DA24AD3" w14:textId="77777777" w:rsidR="00E01F61" w:rsidRDefault="00000000">
      <w:r>
        <w:t>The reputational risk process for the assessment of social elements is managed in analogy to what described in the paragraph Non Financial Risk of the Environmental Risk section of the present chapter, and summarized in the figure below.</w:t>
      </w:r>
    </w:p>
    <w:p w14:paraId="161D478A" w14:textId="77777777" w:rsidR="00E01F61" w:rsidRDefault="00000000">
      <w:r>
        <w:t>Qualitative information on Governance risk Governance Our sustainability governance has been significantly strengthened in recent years at both steering and execution levels, underpinning the drive to further integrate ESG criteria into the Group's overall business strategy.</w:t>
      </w:r>
    </w:p>
    <w:p w14:paraId="7C4E2629" w14:textId="77777777" w:rsidR="00E01F61" w:rsidRDefault="00000000">
      <w:r>
        <w:t>Responsibilities of the Corporate bodies in the oversight of ESG risks and the role of management are similar for all the ESG dimensions, including Governance, and are in analogy to what described in the corresponding paragraph of the Environmental risk section in the present chapter.</w:t>
      </w:r>
    </w:p>
    <w:p w14:paraId="5D1AF977" w14:textId="77777777" w:rsidR="00E01F61" w:rsidRDefault="00000000">
      <w:r>
        <w:t>CEO &amp; Top Management remuneration include a 20% weight of long-term performance linked to sustainability, which covers also Governance elements.</w:t>
      </w:r>
    </w:p>
    <w:p w14:paraId="6EE12CC2" w14:textId="77777777" w:rsidR="00E01F61" w:rsidRDefault="00000000">
      <w:r>
        <w:t>Further information on remuneration policy are included in the corresponding paragraph in the Environmental risk section of the present chapter.</w:t>
      </w:r>
    </w:p>
    <w:p w14:paraId="4F7F0935" w14:textId="77777777" w:rsidR="00E01F61" w:rsidRDefault="00000000">
      <w:r>
        <w:t>Training initiatives Several training initiatives focused on ESG, including risks and opportunities related to governance risk aspects, have been put in place at all levels of the Bank to address various needs.</w:t>
      </w:r>
    </w:p>
    <w:p w14:paraId="57912453" w14:textId="77777777" w:rsidR="00E01F61" w:rsidRDefault="00000000">
      <w:r>
        <w:t>Risk management Risk Identification UniCredit conducts an annual risk identification process which is a comprehensive framework to proactively identify all potential risks the Group may encounter.</w:t>
      </w:r>
    </w:p>
    <w:p w14:paraId="762B5778" w14:textId="77777777" w:rsidR="00E01F61" w:rsidRDefault="00000000">
      <w:r>
        <w:t>Specifically for social and governance factors, for which the Group assigned an impact on reputational risk, revolve around the rights, well-being and interests of individuals and communities and include governance arrangements for the environmental and social factors in the policies and procedures of counterparties.</w:t>
      </w:r>
    </w:p>
    <w:p w14:paraId="77C79632" w14:textId="77777777" w:rsidR="00E01F61" w:rsidRDefault="00000000">
      <w:r>
        <w:lastRenderedPageBreak/>
        <w:t>Regarding the measurement, within the stress tests and scenario analyses annually performed, Governance risk is assessed, together with the Environmental and Social components, through the impact they jointly have on the Reputational risk.</w:t>
      </w:r>
    </w:p>
    <w:p w14:paraId="3ED9E2E4" w14:textId="77777777" w:rsidR="00E01F61" w:rsidRDefault="00000000">
      <w:r>
        <w:t>Integration of climate risk into risk framework shortmediumlong term impacts.</w:t>
      </w:r>
    </w:p>
    <w:p w14:paraId="47E21FDE" w14:textId="77777777" w:rsidR="00E01F61" w:rsidRDefault="00000000">
      <w:r>
        <w:t>UniCredit Group Disclosure Pillar III Environmental, Social and Governance risks 210 Pillar III UniCredit Group Disclosure at 31 December 2023 The management of reputational risk relies on, setting clear general rules and guidelines for, defining the profile of relationships with clients as well as with other relevant counterparties such as suppliers and operations mainly financial support, but also investments and other financial products and services offered that the Group is available to manage and develop.</w:t>
      </w:r>
    </w:p>
    <w:p w14:paraId="48ED55B9" w14:textId="77777777" w:rsidR="00E01F61" w:rsidRDefault="00000000">
      <w:r>
        <w:t>UniCredit group has defined a process for assessing Reputational Risk, identifying cases where a dedicated assessment is necessary, as shown in the Reputational risk assessment table reported in the previous section of risk management in the context of social risk.</w:t>
      </w:r>
    </w:p>
    <w:p w14:paraId="53FE7E63" w14:textId="77777777" w:rsidR="00E01F61" w:rsidRDefault="00000000">
      <w:r>
        <w:t>The reputational risk process for the assessment of Governance elements is managed in analogy to what described in the paragraph Non Financial Risk of the Environmental Risk section of the present chapter, and summarized in the chart Decisional Bodies on Reputational Risk.</w:t>
      </w:r>
    </w:p>
    <w:p w14:paraId="6543702F" w14:textId="77777777" w:rsidR="00E01F61" w:rsidRDefault="00000000">
      <w:r>
        <w:t>Regarding financial risk, as far as governance aspects are concerned, they are addressed for various risk pillars via internal policies that, also, stipulate that all the subjects that establish a relationship with UniCredit group must satisfy at least a set of social minimum requisites as reported above in the present section.</w:t>
      </w:r>
    </w:p>
    <w:p w14:paraId="67339B35" w14:textId="77777777" w:rsidR="00E01F61" w:rsidRDefault="00000000">
      <w:r>
        <w:t>UniCredit Group Disclosure Pillar III Environmental, Social and Governance risks Pillar III UniCredit Group Disclosure at 31 December 2023 211 Quantitative information on ESG risks Perimeter The perimeter of the templates40 represents a significant share of the UniCredit group portfolio and refers to the exposures of Non-Financial Corporations and individual mortgages.</w:t>
      </w:r>
    </w:p>
    <w:p w14:paraId="41D61BD1" w14:textId="656F071F" w:rsidR="00E01F61" w:rsidRDefault="00000000">
      <w:r>
        <w:t>UniCredit approach developed to address the regulatory requirements UniCredit leveraged on an external provider support to identify the EU PAB benchmark excluded counterparties, in line with the Regulation 20201818, using information reported by companies, subject to Non-Financial Reporting Directive</w:t>
      </w:r>
      <w:r w:rsidR="008239A9">
        <w:t>.</w:t>
      </w:r>
    </w:p>
    <w:p w14:paraId="4DF5F96A" w14:textId="77777777" w:rsidR="00E01F61" w:rsidRDefault="00000000">
      <w:r>
        <w:t>CCM exposures has been identified in coherence with Commission Implementing Regulation EU 20222453 of 30 November 2022, that identifies as environmentally sustainable, those exposures that finance activities that contribute or enable the environmental objective of climate change mitigation in accordance with articles 10 and 16 of Regulation EU 2020852 and subsequent amendments.</w:t>
      </w:r>
    </w:p>
    <w:p w14:paraId="706E4533" w14:textId="77777777" w:rsidR="00E01F61" w:rsidRDefault="00000000">
      <w:r>
        <w:t xml:space="preserve">In detail, according to article 10 of the mentioned Regulation, an economic activity qualifies as contributing substantially to climate change mitigation where that activity contributes </w:t>
      </w:r>
      <w:r>
        <w:lastRenderedPageBreak/>
        <w:t>substantially to the stabilization of greenhouse gas concentrations in the atmosphere at a level which prevents dangerous anthropogenic interference with the climate system consistent with the long-term temperature goal of the Paris Agreement through the avoidance or reduction of greenhouse gas emissions or the increase of greenhouse gas removals, including through process innovations or product innovations, by a generating, transmitting, storing, distributing or using renewable energy.</w:t>
      </w:r>
    </w:p>
    <w:p w14:paraId="5161B2BB" w14:textId="77777777" w:rsidR="00E01F61" w:rsidRDefault="00000000">
      <w:r>
        <w:t>UniCredit Group Disclosure Pillar III Environmental, Social and Governance risks 212 Pillar III UniCredit Group Disclosure at 31 December 2023 c increasing clean or climate-neutral mobility.</w:t>
      </w:r>
    </w:p>
    <w:p w14:paraId="2C129DDB" w14:textId="77777777" w:rsidR="00E01F61" w:rsidRDefault="00000000">
      <w:r>
        <w:t>Prudential information on climate change transition risk related to loans collateralised by commercial and residential real estate properties, and on collateral repossessed, are based on the energy efficiency of the collateral, including information on the distribution of real estate loans and advances and on repossessed collateral, by energy consumption and by EPC Energy Performance Certificates, hereinafter EPC label of the collateral.</w:t>
      </w:r>
    </w:p>
    <w:p w14:paraId="3A8AC208" w14:textId="77777777" w:rsidR="00E01F61" w:rsidRDefault="00000000">
      <w:r>
        <w:t>UniCredit approach developed to address the regulatory requirements UniCredit has identified in its portfolio the presence of companies ranked among the top polluters.</w:t>
      </w:r>
    </w:p>
    <w:p w14:paraId="784292CE" w14:textId="77777777" w:rsidR="00E01F61" w:rsidRDefault="00000000">
      <w:r>
        <w:t>UniCredit identified its exposure to TOP 20 polluters by leveraging the support of an external provider, which determined the top 20-polluters list, based on emission scope 1 and 2, calculated at the Group level.</w:t>
      </w:r>
    </w:p>
    <w:p w14:paraId="2D06EA3D" w14:textId="77777777" w:rsidR="00E01F61" w:rsidRDefault="00000000">
      <w:r>
        <w:t>Approximately 1 kilometer Third-party data, modelled based on daily information about temperature, precipitation, humidity and wind UniCredit Group Disclosure Pillar III Environmental, Social and Governance risks Focus on counterparty level The material physical hazard events, related to the bank portfolio, have been mapped according to the following methodology, for the companies in the portfolio, the legal and operational sites were mapped and each location was associated with a specific hazard event and the relative level of risk.</w:t>
      </w:r>
    </w:p>
    <w:p w14:paraId="7D54F44F" w14:textId="77777777" w:rsidR="00E01F61" w:rsidRDefault="00000000">
      <w:r>
        <w:t>Focus on collateral level At collateral level, physical scoring system is designed to generate scores based on the thresholds defined to filter the relevant exposure to specific hazards considering the severity and the frequency of the climate hazard event.</w:t>
      </w:r>
    </w:p>
    <w:p w14:paraId="3F2D65D9" w14:textId="77777777" w:rsidR="00E01F61" w:rsidRDefault="00000000">
      <w:r>
        <w:t>Transition activities, those that cannot yet be replaced by low-carbon, technologically and economically accessible alternatives, but that contribute to climate change mitigation and can play an important role in the transition to a climate-neutral economy.</w:t>
      </w:r>
    </w:p>
    <w:p w14:paraId="4BA905EE" w14:textId="77777777" w:rsidR="00E01F61" w:rsidRDefault="00000000">
      <w:r>
        <w:t>UniCredit's approach developed to meet regulatory requirements In accordance with the definitions provided by Implementing Regulation 20222453, UniCredit represented the perimeter of assets in the portfolio, as of December 2023, developing, for the calculation of GAR KPIs, differentiated approaches by portfolio.</w:t>
      </w:r>
    </w:p>
    <w:p w14:paraId="2E555BF8" w14:textId="77777777" w:rsidR="00E01F61" w:rsidRDefault="00000000">
      <w:r>
        <w:lastRenderedPageBreak/>
        <w:t>Related to the calculation of GAR, a simplified approach was applied, which does not include verification of Do Not Significant Harm and Minimum Social Safeguard criteria.</w:t>
      </w:r>
    </w:p>
    <w:p w14:paraId="1BB61123" w14:textId="77777777" w:rsidR="00E01F61" w:rsidRDefault="00000000">
      <w:r>
        <w:t>Therefore, the Group has developed a Sustainability Bond Framework for the issuance of green, social or sustainability bonds.</w:t>
      </w:r>
    </w:p>
    <w:p w14:paraId="32BC2F9A" w14:textId="77777777" w:rsidR="00E01F61" w:rsidRDefault="00000000">
      <w:r>
        <w:t>It aims to support UniCredit group ambition to align its business strategy with the needs of individuals and the goals of society as expressed in the United Nations Sustainable Development Goals and the Paris Climate Agreement.</w:t>
      </w:r>
    </w:p>
    <w:p w14:paraId="787AF026" w14:textId="77777777" w:rsidR="00E01F61" w:rsidRDefault="00000000">
      <w:r>
        <w:t>More information, including dedicated allocation and impact reports, are available on UniCredit group website at the following link, investorssustainability-bonds.</w:t>
      </w:r>
    </w:p>
    <w:p w14:paraId="1F5BCD67" w14:textId="77777777" w:rsidR="00E01F61" w:rsidRDefault="00000000">
      <w:r>
        <w:t>Useful information on the integration of climate-related risks, both transition and physical, in our risk management framework are available in the following documents, Qualitative information on environmental risk section of the present chapter.</w:t>
      </w:r>
    </w:p>
    <w:p w14:paraId="1FE3BBF7" w14:textId="77777777" w:rsidR="00E01F61" w:rsidRDefault="00000000">
      <w:r>
        <w:t>The increase of the total bonds compared to 30 June 2023 is due to new green bonds held in the portfolio.</w:t>
      </w:r>
    </w:p>
    <w:p w14:paraId="7EAEBA82" w14:textId="77777777" w:rsidR="00E01F61" w:rsidRDefault="00000000">
      <w:r>
        <w:t>Regarding loans, the figures are aligned with UniCredit group Sustainability Bond Framework.</w:t>
      </w:r>
    </w:p>
    <w:p w14:paraId="04BF45F0" w14:textId="30F9663D" w:rsidR="00E01F61" w:rsidRDefault="00000000">
      <w:r>
        <w:t xml:space="preserve">UniCredit Group Disclosure Pillar III Environmental, Social and Governance risks 240 Pillar III UniCredit Group Disclosure </w:t>
      </w:r>
      <w:proofErr w:type="gramStart"/>
      <w:r>
        <w:t>at</w:t>
      </w:r>
      <w:proofErr w:type="gramEnd"/>
      <w:r>
        <w:t xml:space="preserve"> 31 December 2023 </w:t>
      </w:r>
      <w:proofErr w:type="gramStart"/>
      <w:r>
        <w:t>The</w:t>
      </w:r>
      <w:proofErr w:type="gramEnd"/>
      <w:r>
        <w:t xml:space="preserve"> increase of total loans compared to 30 June 2023 is mainly due to the additional inclusion of Sustainability Linked Loans for UniCredit S</w:t>
      </w:r>
      <w:r w:rsidR="00FD5502">
        <w:t xml:space="preserve"> a</w:t>
      </w:r>
      <w:r>
        <w:t>nd UniCredit Bank GmbH.</w:t>
      </w:r>
    </w:p>
    <w:p w14:paraId="38EAA975" w14:textId="77777777" w:rsidR="00E01F61" w:rsidRDefault="00000000">
      <w:r>
        <w:t>Pillar 1 While the objective of a level of capitalization equivalent to 8% of the risk-weighted exposures remains unchanged, a new set of rules has been defined for measuring the typical risks associated with banking and financial activities credit risk, counterparty risk, market risk and operational risk which provides for alternative calculation methods characterised by different levels of complexity, with the ability to use internally developed models subject to prior authorization by the Regulatory Authority.</w:t>
      </w:r>
    </w:p>
    <w:p w14:paraId="1D73B9DC" w14:textId="77777777" w:rsidR="00E01F61" w:rsidRDefault="00000000">
      <w:r>
        <w:t>It is the Regulatory Authority's task to examine the ICAAP process, formulate an overall judgment and, where necessary, apply the appropriate corrective measures.</w:t>
      </w:r>
    </w:p>
    <w:p w14:paraId="7BADE3EA" w14:textId="77777777" w:rsidR="00E01F61" w:rsidRDefault="00000000">
      <w:r>
        <w:t>COREP Common Reporting There are the prudential regulatory requirements schemes introduced by EBA by Implementing Technical Standards ITS, containing Pillar I in term of credit, counterparty, market risk, operational risk, own funds and capital adequacy indexes, structured in a standard template.</w:t>
      </w:r>
    </w:p>
    <w:p w14:paraId="590D94A6" w14:textId="77777777" w:rsidR="00E01F61" w:rsidRDefault="00000000">
      <w:r>
        <w:t>Its overall objectives are to maintain financial stability in the EU and to safeguard the integrity, efficiency and orderly functioning of the banking sector.</w:t>
      </w:r>
    </w:p>
    <w:p w14:paraId="790C7BE5" w14:textId="77777777" w:rsidR="00E01F61" w:rsidRDefault="00000000">
      <w:r>
        <w:lastRenderedPageBreak/>
        <w:t>ESG Environmental, Social and Governance Refers to criteria used to measure the environmental, social and governance impact of the company and highlight the sustainability of its initiatives.</w:t>
      </w:r>
    </w:p>
    <w:p w14:paraId="6EF9E6FE" w14:textId="77777777" w:rsidR="00E01F61" w:rsidRDefault="00000000">
      <w:r>
        <w:t>EU Taxonomy The EU Taxonomy is a classification system, establishing a list of environmentally sustainable economic activities.</w:t>
      </w:r>
    </w:p>
    <w:p w14:paraId="47863451" w14:textId="51D650A5" w:rsidR="00E01F61" w:rsidRDefault="00000000">
      <w:r>
        <w:t>For example, losses arising from the following can be defined as operational, internal or external fraud, employment practices and workplace safety, client claims, products distribution, fines and penalties due to regulation breaches, damages to the companys physical assets, business disruption and system failures, process management.</w:t>
      </w:r>
    </w:p>
    <w:sectPr w:rsidR="00E01F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78405444">
    <w:abstractNumId w:val="8"/>
  </w:num>
  <w:num w:numId="2" w16cid:durableId="1588073900">
    <w:abstractNumId w:val="6"/>
  </w:num>
  <w:num w:numId="3" w16cid:durableId="1276599464">
    <w:abstractNumId w:val="5"/>
  </w:num>
  <w:num w:numId="4" w16cid:durableId="651374766">
    <w:abstractNumId w:val="4"/>
  </w:num>
  <w:num w:numId="5" w16cid:durableId="875973341">
    <w:abstractNumId w:val="7"/>
  </w:num>
  <w:num w:numId="6" w16cid:durableId="125632826">
    <w:abstractNumId w:val="3"/>
  </w:num>
  <w:num w:numId="7" w16cid:durableId="1575241180">
    <w:abstractNumId w:val="2"/>
  </w:num>
  <w:num w:numId="8" w16cid:durableId="669597951">
    <w:abstractNumId w:val="1"/>
  </w:num>
  <w:num w:numId="9" w16cid:durableId="1184435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1CF"/>
    <w:rsid w:val="0029639D"/>
    <w:rsid w:val="00326F90"/>
    <w:rsid w:val="004F5755"/>
    <w:rsid w:val="00775ACE"/>
    <w:rsid w:val="008239A9"/>
    <w:rsid w:val="00976A79"/>
    <w:rsid w:val="00AA1D8D"/>
    <w:rsid w:val="00B222AC"/>
    <w:rsid w:val="00B47730"/>
    <w:rsid w:val="00CB0664"/>
    <w:rsid w:val="00E01F61"/>
    <w:rsid w:val="00E9170D"/>
    <w:rsid w:val="00F03ADA"/>
    <w:rsid w:val="00FA106E"/>
    <w:rsid w:val="00FC693F"/>
    <w:rsid w:val="00FD5502"/>
    <w:rsid w:val="00FE4E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E9C1E"/>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7171</Words>
  <Characters>40876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11</cp:revision>
  <dcterms:created xsi:type="dcterms:W3CDTF">2013-12-23T23:15:00Z</dcterms:created>
  <dcterms:modified xsi:type="dcterms:W3CDTF">2025-08-03T11:44:00Z</dcterms:modified>
  <cp:category/>
</cp:coreProperties>
</file>