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96"/>
          <w:szCs w:val="96"/>
        </w:rPr>
        <w:t xml:space="preserve"> </w:t>
      </w:r>
    </w:p>
    <w:p>
      <w:pPr>
        <w:spacing w:after="80" w:before="0"/>
      </w:pPr>
      <w:r>
        <w:rPr>
          <w:rFonts w:ascii="Arial" w:cs="Arial" w:eastAsia="Arial" w:hAnsi="Arial"/>
          <w:b/>
          <w:bCs/>
          <w:color w:val="00338D"/>
          <w:sz w:val="80"/>
          <w:szCs w:val="80"/>
        </w:rPr>
        <w:t xml:space="preserve">ARIA</w:t>
      </w:r>
    </w:p>
    <w:p>
      <w:pPr>
        <w:spacing w:after="40" w:before="0"/>
      </w:pPr>
      <w:r>
        <w:rPr>
          <w:rFonts w:ascii="Arial" w:cs="Arial" w:eastAsia="Arial" w:hAnsi="Arial"/>
          <w:color w:val="1A1A2E"/>
          <w:sz w:val="36"/>
          <w:szCs w:val="36"/>
        </w:rPr>
        <w:t xml:space="preserve">Agentic Real-estate Intelligence Advisor</w:t>
      </w:r>
    </w:p>
    <w:p>
      <w:pPr>
        <w:spacing w:after="240" w:before="0"/>
      </w:pPr>
      <w:r>
        <w:rPr>
          <w:rFonts w:ascii="Arial" w:cs="Arial" w:eastAsia="Arial" w:hAnsi="Arial"/>
          <w:color w:val="374151"/>
          <w:sz w:val="28"/>
          <w:szCs w:val="28"/>
        </w:rPr>
        <w:t xml:space="preserve">Data Methodology &amp; Reference Document</w:t>
      </w:r>
    </w:p>
    <w:p>
      <w:pPr>
        <w:pBdr>
          <w:bottom w:val="single" w:color="00338D" w:sz="8" w:space="1"/>
        </w:pBdr>
        <w:spacing w:after="60" w:before="0"/>
      </w:pPr>
      <w:r>
        <w:t xml:space="preserve"> </w:t>
      </w:r>
    </w:p>
    <w:p>
      <w:pPr>
        <w:spacing w:after="20" w:before="40"/>
      </w:pPr>
      <w:r>
        <w:rPr>
          <w:rFonts w:ascii="Arial" w:cs="Arial" w:eastAsia="Arial" w:hAnsi="Arial"/>
          <w:b/>
          <w:bCs/>
          <w:color w:val="1A1A2E"/>
          <w:sz w:val="22"/>
          <w:szCs w:val="22"/>
        </w:rPr>
        <w:t xml:space="preserve">IE Business School × KPMG Spain</w:t>
      </w:r>
    </w:p>
    <w:p>
      <w:pPr>
        <w:spacing w:after="20" w:before="0"/>
      </w:pPr>
      <w:r>
        <w:rPr>
          <w:rFonts w:ascii="Arial" w:cs="Arial" w:eastAsia="Arial" w:hAnsi="Arial"/>
          <w:color w:val="374151"/>
          <w:sz w:val="22"/>
          <w:szCs w:val="22"/>
        </w:rPr>
        <w:t xml:space="preserve">Corporate Capstone 2026</w:t>
      </w:r>
    </w:p>
    <w:p>
      <w:pPr>
        <w:spacing w:after="20" w:before="0"/>
      </w:pPr>
      <w:r>
        <w:rPr>
          <w:rFonts w:ascii="Arial" w:cs="Arial" w:eastAsia="Arial" w:hAnsi="Arial"/>
          <w:color w:val="374151"/>
          <w:sz w:val="22"/>
          <w:szCs w:val="22"/>
        </w:rPr>
        <w:t xml:space="preserve">Dataset: aria_mega_dataset_v4_1_final.csv</w:t>
      </w:r>
    </w:p>
    <w:p>
      <w:pPr>
        <w:spacing w:after="20" w:before="0"/>
      </w:pPr>
      <w:r>
        <w:rPr>
          <w:rFonts w:ascii="Arial" w:cs="Arial" w:eastAsia="Arial" w:hAnsi="Arial"/>
          <w:color w:val="374151"/>
          <w:sz w:val="22"/>
          <w:szCs w:val="22"/>
        </w:rPr>
        <w:t xml:space="preserve">135,051 rows × 96 columns · Paris + Athens · June 2026</w:t>
      </w:r>
    </w:p>
    <w:p>
      <w:pPr>
        <w:spacing w:after="480" w:before="0"/>
      </w:pPr>
      <w:r>
        <w:t xml:space="preserve"> </w:t>
      </w:r>
    </w:p>
    <w:p>
      <w:pPr>
        <w:pStyle w:val="Heading1"/>
        <w:spacing w:after="160" w:before="360"/>
      </w:pPr>
      <w:r>
        <w:rPr>
          <w:rFonts w:ascii="Arial" w:cs="Arial" w:eastAsia="Arial" w:hAnsi="Arial"/>
          <w:b/>
          <w:bCs/>
          <w:color w:val="00338D"/>
          <w:sz w:val="32"/>
          <w:szCs w:val="32"/>
        </w:rPr>
        <w:t xml:space="preserve">1. Executive Summary</w:t>
      </w:r>
    </w:p>
    <w:p>
      <w:pPr>
        <w:spacing w:after="120" w:before="0"/>
        <w:jc w:val="both"/>
      </w:pPr>
      <w:r>
        <w:rPr>
          <w:rFonts w:ascii="Arial" w:cs="Arial" w:eastAsia="Arial" w:hAnsi="Arial"/>
          <w:color w:val="1A1A2E"/>
          <w:sz w:val="22"/>
          <w:szCs w:val="22"/>
        </w:rPr>
        <w:t xml:space="preserve">This document provides a complete account of the data engineering work underpinning the ARIA capstone project. It explains where each data source came from, why it was chosen, how it was cleaned and transformed, what challenges were encountered and how they were resolved, what limitations remain and how they are managed, and how the resulting dataset will be used across three machine learning models and five AI agents.</w:t>
      </w:r>
    </w:p>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The final dataset, aria_mega_dataset_v4_1_final.csv, contains 135,051 short-term rental listings across Paris and Athens, encoded in 96 columns. It is the product of integrating three distinct public data sources, applying 41 documented cleaning and engineering steps, and adding four structured ML routing flags that ensure each model trains on precisely the right subset of data.</w:t>
      </w:r>
    </w:p>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A person reading this document should be able to reconstruct every decision made during data preparation, understand the analytical purpose of every column, and brief a technical panel on what the data can and cannot support.</w:t>
      </w:r>
    </w:p>
    <w:p>
      <w:pPr>
        <w:pBdr>
          <w:bottom w:val="single" w:color="00338D" w:sz="6" w:space="1"/>
        </w:pBdr>
        <w:spacing w:after="120" w:before="120"/>
      </w:pPr>
      <w:r>
        <w:t xml:space="preserve"> </w:t>
      </w:r>
    </w:p>
    <w:p>
      <w:pPr>
        <w:pStyle w:val="Heading1"/>
        <w:spacing w:after="160" w:before="360"/>
      </w:pPr>
      <w:r>
        <w:rPr>
          <w:rFonts w:ascii="Arial" w:cs="Arial" w:eastAsia="Arial" w:hAnsi="Arial"/>
          <w:b/>
          <w:bCs/>
          <w:color w:val="00338D"/>
          <w:sz w:val="32"/>
          <w:szCs w:val="32"/>
        </w:rPr>
        <w:t xml:space="preserve">2. Data Sources</w:t>
      </w:r>
    </w:p>
    <w:p>
      <w:pPr>
        <w:spacing w:after="120" w:before="0"/>
        <w:jc w:val="both"/>
      </w:pPr>
      <w:r>
        <w:rPr>
          <w:rFonts w:ascii="Arial" w:cs="Arial" w:eastAsia="Arial" w:hAnsi="Arial"/>
          <w:color w:val="1A1A2E"/>
          <w:sz w:val="22"/>
          <w:szCs w:val="22"/>
        </w:rPr>
        <w:t xml:space="preserve">Three independent sources were used. Each was chosen because it provides something the others cannot. No single source was sufficient on its own.</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2.1 Source A — Maven Analytics Airbnb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URL</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maven-datasets.s3.amazonaws.com/Airbnb/Airbnb+Data.zip</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Licence</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 Domain (sourced from Inside Airbnb)</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Files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Listings.csv (279,712 rows) · Reviews.csv (5,373,143 rows)</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Paris rows (raw)</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64,690 listings · 1,213,727 reviews (2009–2021)</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Paris rows (clean)</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63,520 listings</w:t>
            </w:r>
          </w:p>
        </w:tc>
      </w:tr>
    </w:tbl>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Maven Analytics published a curated Airbnb dataset covering ten global cities. For this project, only the Paris subset was used. It provides the deepest available open-source Paris listing dataset — 63,520 clean rows across all 20 Paris arrondissement-level neighbourhoods — with full host profiles including response rates, acceptance rates, and identity verification flags, all seven Airbnb review score dimensions, property type detail, and 1.2 million timestamped reviews going back to 2009.</w:t>
      </w:r>
    </w:p>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What this source uniquely provides: </w:t>
      </w:r>
      <w:r>
        <w:rPr>
          <w:rFonts w:ascii="Arial" w:cs="Arial" w:eastAsia="Arial" w:hAnsi="Arial"/>
          <w:b/>
          <w:bCs/>
          <w:color w:val="1A1A2E"/>
          <w:sz w:val="22"/>
          <w:szCs w:val="22"/>
        </w:rPr>
        <w:t xml:space="preserve">listing depth and host quality signals for Paris at a scale no other open source matches. Without Maven, the Paris pricing model would have fewer than 7,000 training rows.</w:t>
      </w:r>
    </w:p>
    <w:p>
      <w:pPr>
        <w:spacing w:after="120" w:before="0"/>
        <w:jc w:val="both"/>
      </w:pPr>
      <w:r>
        <w:rPr>
          <w:rFonts w:ascii="Arial" w:cs="Arial" w:eastAsia="Arial" w:hAnsi="Arial"/>
          <w:color w:val="1A1A2E"/>
          <w:sz w:val="22"/>
          <w:szCs w:val="22"/>
        </w:rPr>
        <w:t xml:space="preserve">Critical limitation: </w:t>
      </w:r>
      <w:r>
        <w:rPr>
          <w:rFonts w:ascii="Arial" w:cs="Arial" w:eastAsia="Arial" w:hAnsi="Arial"/>
          <w:b/>
          <w:bCs/>
          <w:color w:val="1A1A2E"/>
          <w:sz w:val="22"/>
          <w:szCs w:val="22"/>
        </w:rPr>
        <w:t xml:space="preserve">Maven review files contain no review text — only listing_id, review_id, reviewer_id, and date. Sentiment analysis is therefore not possible for Maven rows. Additionally, Maven Paris data reflects a 2021 snapshot, meaning prices do not account for post-2021 regulatory changes (Loi Le Meur, 2024) or post-Olympic demand shifts.</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2.2 Source B — Kaggle / Zenodo Academic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Citation</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Gyódi &amp; Nawaro (2021). Determinants of Airbnb prices in European cities. DOI: 10.5281/zenodo.4446043</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Licence</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CC BY 4.0 (peer-reviewed academic dataset)</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Files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athens_weekdays.csv, athens_weekends.csv, paris_weekdays.csv, paris_weekends.csv</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Total rows (raw)</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11,968 across both cities and both day-types</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Total rows (clean)</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11,744 (Athens: 5,175 · Paris: 6,569)</w:t>
            </w:r>
          </w:p>
        </w:tc>
      </w:tr>
    </w:tbl>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This academic dataset was built for a published spatial econometrics study on STR price determinants. It covers both Athens and Paris with a weekday/weekend split that enables price elasticity analysis. It is the only source in the project that provides normalised spatial proximity features computed from OpenStreetMap and Google Places data: distance to city centre in kilometres, distance to the nearest metro station, attraction proximity index (0–100), restaurant proximity index (0–100), and a commercial host flag.</w:t>
      </w:r>
    </w:p>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What this source uniquely provides: </w:t>
      </w:r>
      <w:r>
        <w:rPr>
          <w:rFonts w:ascii="Arial" w:cs="Arial" w:eastAsia="Arial" w:hAnsi="Arial"/>
          <w:b/>
          <w:bCs/>
          <w:color w:val="1A1A2E"/>
          <w:sz w:val="22"/>
          <w:szCs w:val="22"/>
        </w:rPr>
        <w:t xml:space="preserve">spatial proximity features that consistently rank in the top five most important XGBoost variables in published Airbnb price prediction literature. Without this source, the model would lack metro distance and neighbourhood amenity density signals entirely.</w:t>
      </w:r>
    </w:p>
    <w:p>
      <w:pPr>
        <w:spacing w:after="120" w:before="0"/>
        <w:jc w:val="both"/>
      </w:pPr>
      <w:r>
        <w:rPr>
          <w:rFonts w:ascii="Arial" w:cs="Arial" w:eastAsia="Arial" w:hAnsi="Arial"/>
          <w:color w:val="1A1A2E"/>
          <w:sz w:val="22"/>
          <w:szCs w:val="22"/>
        </w:rPr>
        <w:t xml:space="preserve">Critical limitation: </w:t>
      </w:r>
      <w:r>
        <w:rPr>
          <w:rFonts w:ascii="Arial" w:cs="Arial" w:eastAsia="Arial" w:hAnsi="Arial"/>
          <w:b/>
          <w:bCs/>
          <w:color w:val="1A1A2E"/>
          <w:sz w:val="22"/>
          <w:szCs w:val="22"/>
        </w:rPr>
        <w:t xml:space="preserve">The Kaggle price column (realSum) is the total cost for two people for two nights — not a per-night rate. This is a different unit from both Maven and Inside Airbnb. The column was renamed price_eur_kaggle and is not used as a training target. The spatial features are what matter from this source.</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2.3 Source C — Inside Airbnb Athens (September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URL</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insideairbnb.com/get-the-data · Scrape date: 26 September 2025</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Licence</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CC BY 4.0</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Files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listings_full.csv (15,584 × 79) · calendar.csv (5,688,168 rows) · reviews_full.csv (874,286 rows) · neighbourhoods.geojson</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Athens rows (raw)</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15,584 listings</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Athens rows (clean)</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14,242 listings</w:t>
            </w:r>
          </w:p>
        </w:tc>
      </w:tr>
    </w:tbl>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Inside Airbnb is an independent monitoring project that scrapes public Airbnb listing data quarterly. The September 2025 Athens snapshot is the most current open-source Athens dataset available. It provides three things that no other source offers: a 5,688,168-row calendar file encoding daily availability per listing for the next 12 months (the standard occupancy proxy in academic STR literature), 874,286 full-text guest reviews from 2010 to 2025 for NLP and demand velocity analysis, and Inside Airbnb’s own occupancy and revenue model estimates per listing. It also provides the AMA registration number for each Athens listing, which identifies legal compliance status under Greek short-term rental law.</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2.4 Source D — Inside Airbnb Paris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URL</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insideairbnb.com/get-the-data · Scrape date: September 2025</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Licence</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CC BY 4.0</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Rows added</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57,289 new non-overlapping Paris listings</w:t>
            </w:r>
          </w:p>
        </w:tc>
      </w:tr>
      <w:tr>
        <w:tc>
          <w:tcPr>
            <w:tcW w:type="dxa" w:w="23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Rows enriched</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24,564 overlapping listings (Maven ∩ IAB25) received occupancy and availability data</w:t>
            </w:r>
          </w:p>
        </w:tc>
      </w:tr>
    </w:tbl>
    <w:p>
      <w:pPr>
        <w:spacing w:after="80" w:before="0"/>
      </w:pPr>
      <w:r>
        <w:rPr>
          <w:rFonts w:ascii="Arial" w:cs="Arial" w:eastAsia="Arial" w:hAnsi="Arial"/>
          <w:sz w:val="22"/>
          <w:szCs w:val="22"/>
        </w:rPr>
        <w:t xml:space="preserve"> </w:t>
      </w:r>
    </w:p>
    <w:p>
      <w:pPr>
        <w:spacing w:after="120" w:before="0"/>
        <w:jc w:val="both"/>
      </w:pPr>
      <w:r>
        <w:rPr>
          <w:rFonts w:ascii="Arial" w:cs="Arial" w:eastAsia="Arial" w:hAnsi="Arial"/>
          <w:color w:val="1A1A2E"/>
          <w:sz w:val="22"/>
          <w:szCs w:val="22"/>
        </w:rPr>
        <w:t xml:space="preserve">The Inside Airbnb Paris 2025 snapshot was integrated to overcome the Maven vintage problem. Maven Paris data reflects 2021 conditions. The IAB25 Paris snapshot provides a September 2025 view of the Paris market, including current availability patterns, review velocity, and AMA-equivalent regulatory flags. Critically, the IAB25 Paris listing files do not include price fields — the price column is blank in the source. To enable revenue estimation for the IAB25 Paris rows, prices were estimated from observed Maven Paris comparables, matched by neighbourhood, room type, and guest capacity. This is fully disclosed via the price_eur_estimated and price_source columns.</w:t>
      </w:r>
    </w:p>
    <w:p>
      <w:pPr>
        <w:pBdr>
          <w:bottom w:val="single" w:color="00338D" w:sz="6" w:space="1"/>
        </w:pBdr>
        <w:spacing w:after="120" w:before="120"/>
      </w:pPr>
      <w:r>
        <w:t xml:space="preserve"> </w:t>
      </w:r>
    </w:p>
    <w:p>
      <w:pPr>
        <w:pStyle w:val="Heading1"/>
        <w:spacing w:after="160" w:before="360"/>
      </w:pPr>
      <w:r>
        <w:rPr>
          <w:rFonts w:ascii="Arial" w:cs="Arial" w:eastAsia="Arial" w:hAnsi="Arial"/>
          <w:b/>
          <w:bCs/>
          <w:color w:val="00338D"/>
          <w:sz w:val="32"/>
          <w:szCs w:val="32"/>
        </w:rPr>
        <w:t xml:space="preserve">3. Cleaning &amp; Engineering Pipeline</w:t>
      </w:r>
    </w:p>
    <w:p>
      <w:pPr>
        <w:spacing w:after="120" w:before="0"/>
        <w:jc w:val="both"/>
      </w:pPr>
      <w:r>
        <w:rPr>
          <w:rFonts w:ascii="Arial" w:cs="Arial" w:eastAsia="Arial" w:hAnsi="Arial"/>
          <w:color w:val="1A1A2E"/>
          <w:sz w:val="22"/>
          <w:szCs w:val="22"/>
        </w:rPr>
        <w:t xml:space="preserve">The pipeline applied 41 documented steps from raw source files to the final dataset. Each step is described below with its purpose and the decision rationale. Steps are grouped by source. The numbering is stable and matches the pipeline script (01_data_pipeline_v2.py).</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3.1 Maven Paris — Steps 1–11</w:t>
      </w:r>
    </w:p>
    <w:p>
      <w:pPr>
        <w:pStyle w:val="Heading3"/>
        <w:spacing w:after="80" w:before="200"/>
      </w:pPr>
      <w:r>
        <w:rPr>
          <w:rFonts w:ascii="Arial" w:cs="Arial" w:eastAsia="Arial" w:hAnsi="Arial"/>
          <w:b/>
          <w:bCs/>
          <w:color w:val="1A1A2E"/>
          <w:sz w:val="22"/>
          <w:szCs w:val="22"/>
        </w:rPr>
        <w:t xml:space="preserve">Step 1: Load with latin-1 encoding</w:t>
      </w:r>
    </w:p>
    <w:p>
      <w:pPr>
        <w:spacing w:after="120" w:before="0"/>
        <w:jc w:val="both"/>
      </w:pPr>
      <w:r>
        <w:rPr>
          <w:rFonts w:ascii="Arial" w:cs="Arial" w:eastAsia="Arial" w:hAnsi="Arial"/>
          <w:color w:val="1A1A2E"/>
          <w:sz w:val="22"/>
          <w:szCs w:val="22"/>
        </w:rPr>
        <w:t xml:space="preserve">Maven Listings.csv could not be loaded with standard UTF-8 encoding. The file contains accented French characters in listing names and host locations (é, à, ô, etc.) stored in the latin-1 format. Loading with UTF-8 produced a UnicodeDecodeError at row 206,899. Specifying encoding=‘latin-1’ resolved this. This was the first challenge encountered and is a common issue with European datasets predating the widespread adoption of UTF-8.</w:t>
      </w:r>
    </w:p>
    <w:p>
      <w:pPr>
        <w:pStyle w:val="Heading3"/>
        <w:spacing w:after="80" w:before="200"/>
      </w:pPr>
      <w:r>
        <w:rPr>
          <w:rFonts w:ascii="Arial" w:cs="Arial" w:eastAsia="Arial" w:hAnsi="Arial"/>
          <w:b/>
          <w:bCs/>
          <w:color w:val="1A1A2E"/>
          <w:sz w:val="22"/>
          <w:szCs w:val="22"/>
        </w:rPr>
        <w:t xml:space="preserve">Step 2: Filter to Paris only</w:t>
      </w:r>
    </w:p>
    <w:p>
      <w:pPr>
        <w:spacing w:after="120" w:before="0"/>
        <w:jc w:val="both"/>
      </w:pPr>
      <w:r>
        <w:rPr>
          <w:rFonts w:ascii="Arial" w:cs="Arial" w:eastAsia="Arial" w:hAnsi="Arial"/>
          <w:color w:val="1A1A2E"/>
          <w:sz w:val="22"/>
          <w:szCs w:val="22"/>
        </w:rPr>
        <w:t xml:space="preserve">The full Maven file contains 279,712 listings across ten global cities. Only rows where city == ‘Paris’ were retained, yielding 64,690 rows. All other city data was discarded as out of scope.</w:t>
      </w:r>
    </w:p>
    <w:p>
      <w:pPr>
        <w:pStyle w:val="Heading3"/>
        <w:spacing w:after="80" w:before="200"/>
      </w:pPr>
      <w:r>
        <w:rPr>
          <w:rFonts w:ascii="Arial" w:cs="Arial" w:eastAsia="Arial" w:hAnsi="Arial"/>
          <w:b/>
          <w:bCs/>
          <w:color w:val="1A1A2E"/>
          <w:sz w:val="22"/>
          <w:szCs w:val="22"/>
        </w:rPr>
        <w:t xml:space="preserve">Step 3: Standardise column names to snake_case</w:t>
      </w:r>
    </w:p>
    <w:p>
      <w:pPr>
        <w:spacing w:after="120" w:before="0"/>
        <w:jc w:val="both"/>
      </w:pPr>
      <w:r>
        <w:rPr>
          <w:rFonts w:ascii="Arial" w:cs="Arial" w:eastAsia="Arial" w:hAnsi="Arial"/>
          <w:color w:val="1A1A2E"/>
          <w:sz w:val="22"/>
          <w:szCs w:val="22"/>
        </w:rPr>
        <w:t xml:space="preserve">All 33 Maven columns were renamed to a consistent project-wide snake_case schema. Key renames: accommodates → person_capacity, amenities → amenities_raw, price → price_eur, host_is_superhost retained as-is. This standardisation step is what makes the final vertical merge between all four sources syntactically clean.</w:t>
      </w:r>
    </w:p>
    <w:p>
      <w:pPr>
        <w:pStyle w:val="Heading3"/>
        <w:spacing w:after="80" w:before="200"/>
      </w:pPr>
      <w:r>
        <w:rPr>
          <w:rFonts w:ascii="Arial" w:cs="Arial" w:eastAsia="Arial" w:hAnsi="Arial"/>
          <w:b/>
          <w:bCs/>
          <w:color w:val="1A1A2E"/>
          <w:sz w:val="22"/>
          <w:szCs w:val="22"/>
        </w:rPr>
        <w:t xml:space="preserve">Step 4: Convert boolean columns from string to Python bool</w:t>
      </w:r>
    </w:p>
    <w:p>
      <w:pPr>
        <w:spacing w:after="120" w:before="0"/>
        <w:jc w:val="both"/>
      </w:pPr>
      <w:r>
        <w:rPr>
          <w:rFonts w:ascii="Arial" w:cs="Arial" w:eastAsia="Arial" w:hAnsi="Arial"/>
          <w:color w:val="1A1A2E"/>
          <w:sz w:val="22"/>
          <w:szCs w:val="22"/>
        </w:rPr>
        <w:t xml:space="preserve">Maven stores True/False values as the strings ‘t’ and ‘f’ in single-character fields. The columns host_is_superhost, host_has_profile_pic, host_identity_verified, and instant_bookable were affected. These were mapped to Python True/False. Without this conversion, .sum() counts nothing and any comparison produces incorrect results.</w:t>
      </w:r>
    </w:p>
    <w:p>
      <w:pPr>
        <w:pStyle w:val="Heading3"/>
        <w:spacing w:after="80" w:before="200"/>
      </w:pPr>
      <w:r>
        <w:rPr>
          <w:rFonts w:ascii="Arial" w:cs="Arial" w:eastAsia="Arial" w:hAnsi="Arial"/>
          <w:b/>
          <w:bCs/>
          <w:color w:val="1A1A2E"/>
          <w:sz w:val="22"/>
          <w:szCs w:val="22"/>
        </w:rPr>
        <w:t xml:space="preserve">Step 5: Convert rate columns from percentage strings to floats</w:t>
      </w:r>
    </w:p>
    <w:p>
      <w:pPr>
        <w:spacing w:after="120" w:before="0"/>
        <w:jc w:val="both"/>
      </w:pPr>
      <w:r>
        <w:rPr>
          <w:rFonts w:ascii="Arial" w:cs="Arial" w:eastAsia="Arial" w:hAnsi="Arial"/>
          <w:color w:val="1A1A2E"/>
          <w:sz w:val="22"/>
          <w:szCs w:val="22"/>
        </w:rPr>
        <w:t xml:space="preserve">host_response_rate and host_acceptance_rate were stored as strings formatted as ‘85%’ or ‘100%’. The percentage symbol was stripped and values were divided by 100 to produce floats in the range 0 to 1. This enables direct mathematical operations and consistent scaling.</w:t>
      </w:r>
    </w:p>
    <w:p>
      <w:pPr>
        <w:pStyle w:val="Heading3"/>
        <w:spacing w:after="80" w:before="200"/>
      </w:pPr>
      <w:r>
        <w:rPr>
          <w:rFonts w:ascii="Arial" w:cs="Arial" w:eastAsia="Arial" w:hAnsi="Arial"/>
          <w:b/>
          <w:bCs/>
          <w:color w:val="1A1A2E"/>
          <w:sz w:val="22"/>
          <w:szCs w:val="22"/>
        </w:rPr>
        <w:t xml:space="preserve">Step 6: Parse date columns to datetime objects</w:t>
      </w:r>
    </w:p>
    <w:p>
      <w:pPr>
        <w:spacing w:after="120" w:before="0"/>
        <w:jc w:val="both"/>
      </w:pPr>
      <w:r>
        <w:rPr>
          <w:rFonts w:ascii="Arial" w:cs="Arial" w:eastAsia="Arial" w:hAnsi="Arial"/>
          <w:color w:val="1A1A2E"/>
          <w:sz w:val="22"/>
          <w:szCs w:val="22"/>
        </w:rPr>
        <w:t xml:space="preserve">host_since was stored as a date string in YYYY-MM-DD format. It was parsed to a Python datetime object. This is a prerequisite for computing host_tenure_days, which requires date arithmetic.</w:t>
      </w:r>
    </w:p>
    <w:p>
      <w:pPr>
        <w:pStyle w:val="Heading3"/>
        <w:spacing w:after="80" w:before="200"/>
      </w:pPr>
      <w:r>
        <w:rPr>
          <w:rFonts w:ascii="Arial" w:cs="Arial" w:eastAsia="Arial" w:hAnsi="Arial"/>
          <w:b/>
          <w:bCs/>
          <w:color w:val="1A1A2E"/>
          <w:sz w:val="22"/>
          <w:szCs w:val="22"/>
        </w:rPr>
        <w:t xml:space="preserve">Step 7: Remove 62 zero-price listings</w:t>
      </w:r>
    </w:p>
    <w:p>
      <w:pPr>
        <w:spacing w:after="120" w:before="0"/>
        <w:jc w:val="both"/>
      </w:pPr>
      <w:r>
        <w:rPr>
          <w:rFonts w:ascii="Arial" w:cs="Arial" w:eastAsia="Arial" w:hAnsi="Arial"/>
          <w:color w:val="1A1A2E"/>
          <w:sz w:val="22"/>
          <w:szCs w:val="22"/>
        </w:rPr>
        <w:t xml:space="preserve">62 Paris listings had price_eur == 0. These represent data entry errors or deactivated listings with placeholder values. A genuine free Airbnb listing in Paris does not exist. Retaining them would corrupt price distribution analysis and introduce extreme leverage points into the regression model.</w:t>
      </w:r>
    </w:p>
    <w:p>
      <w:pPr>
        <w:pStyle w:val="Heading3"/>
        <w:spacing w:after="80" w:before="200"/>
      </w:pPr>
      <w:r>
        <w:rPr>
          <w:rFonts w:ascii="Arial" w:cs="Arial" w:eastAsia="Arial" w:hAnsi="Arial"/>
          <w:b/>
          <w:bCs/>
          <w:color w:val="1A1A2E"/>
          <w:sz w:val="22"/>
          <w:szCs w:val="22"/>
        </w:rPr>
        <w:t xml:space="preserve">Step 8: P1–P99 outlier removal (per city)</w:t>
      </w:r>
    </w:p>
    <w:p>
      <w:pPr>
        <w:spacing w:after="120" w:before="0"/>
        <w:jc w:val="both"/>
      </w:pPr>
      <w:r>
        <w:rPr>
          <w:rFonts w:ascii="Arial" w:cs="Arial" w:eastAsia="Arial" w:hAnsi="Arial"/>
          <w:color w:val="1A1A2E"/>
          <w:sz w:val="22"/>
          <w:szCs w:val="22"/>
        </w:rPr>
        <w:t xml:space="preserve">After zero removal, Paris prices ranged from €1 to €12,000. The 1st percentile (€28) and 99th percentile (€420) were computed, and listings outside this range were removed. This eliminated 1,108 extreme outliers, retaining 63,520 Paris Maven rows. P1–P99 was chosen over IQR-based trimming because Airbnb prices are right-skewed: an IQR fence at 1.5 × IQR would fall well below €420 and remove legitimate high-end listings that are analytically valuable to investors. Outlier removal was applied per city rather than globally because Paris and Athens have different price distributions.</w:t>
      </w:r>
    </w:p>
    <w:p>
      <w:pPr>
        <w:pStyle w:val="Heading3"/>
        <w:spacing w:after="80" w:before="200"/>
      </w:pPr>
      <w:r>
        <w:rPr>
          <w:rFonts w:ascii="Arial" w:cs="Arial" w:eastAsia="Arial" w:hAnsi="Arial"/>
          <w:b/>
          <w:bCs/>
          <w:color w:val="1A1A2E"/>
          <w:sz w:val="22"/>
          <w:szCs w:val="22"/>
        </w:rPr>
        <w:t xml:space="preserve">Step 9: Null imputation — bedrooms</w:t>
      </w:r>
    </w:p>
    <w:p>
      <w:pPr>
        <w:spacing w:after="120" w:before="0"/>
        <w:jc w:val="both"/>
      </w:pPr>
      <w:r>
        <w:rPr>
          <w:rFonts w:ascii="Arial" w:cs="Arial" w:eastAsia="Arial" w:hAnsi="Arial"/>
          <w:color w:val="1A1A2E"/>
          <w:sz w:val="22"/>
          <w:szCs w:val="22"/>
        </w:rPr>
        <w:t xml:space="preserve">13,404 Paris listings (21.1% of the dataset) had no bedroom count. This is common in Airbnb data because studio apartments have no separate bedroom — hosts leave the field blank rather than entering 0. These nulls were filled with 1. Dropping 21% of rows would introduce severe sampling bias toward listings with explicitly stated bedroom counts, which skews toward larger properties. Filling with 1 reflects the realistic interpretation: no bedroom count on a Paris listing almost certainly means a studio or a single room.</w:t>
      </w:r>
    </w:p>
    <w:p>
      <w:pPr>
        <w:pStyle w:val="Heading3"/>
        <w:spacing w:after="80" w:before="200"/>
      </w:pPr>
      <w:r>
        <w:rPr>
          <w:rFonts w:ascii="Arial" w:cs="Arial" w:eastAsia="Arial" w:hAnsi="Arial"/>
          <w:b/>
          <w:bCs/>
          <w:color w:val="1A1A2E"/>
          <w:sz w:val="22"/>
          <w:szCs w:val="22"/>
        </w:rPr>
        <w:t xml:space="preserve">Step 10: Null imputation — review scores</w:t>
      </w:r>
    </w:p>
    <w:p>
      <w:pPr>
        <w:spacing w:after="120" w:before="0"/>
        <w:jc w:val="both"/>
      </w:pPr>
      <w:r>
        <w:rPr>
          <w:rFonts w:ascii="Arial" w:cs="Arial" w:eastAsia="Arial" w:hAnsi="Arial"/>
          <w:color w:val="1A1A2E"/>
          <w:sz w:val="22"/>
          <w:szCs w:val="22"/>
        </w:rPr>
        <w:t xml:space="preserve">16,654 listings had null values across all seven review score dimensions. These are listings with no guest reviews yet. Each column was filled independently with its own column median. Mean was not used because review scores are left-skewed and the median is more robust. Filling with 0 would be factually incorrect: a listing with no reviews should not be modelled as having zero quality. The median imputation assigns average quality, which is the correct prior in the absence of evidence.</w:t>
      </w:r>
    </w:p>
    <w:p>
      <w:pPr>
        <w:pStyle w:val="Heading3"/>
        <w:spacing w:after="80" w:before="200"/>
      </w:pPr>
      <w:r>
        <w:rPr>
          <w:rFonts w:ascii="Arial" w:cs="Arial" w:eastAsia="Arial" w:hAnsi="Arial"/>
          <w:b/>
          <w:bCs/>
          <w:color w:val="1A1A2E"/>
          <w:sz w:val="22"/>
          <w:szCs w:val="22"/>
        </w:rPr>
        <w:t xml:space="preserve">Step 11: Engineer 10 new columns</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log_price = log1p(price_eur)</w:t>
      </w:r>
    </w:p>
    <w:p>
      <w:pPr>
        <w:spacing w:after="120" w:before="0"/>
        <w:jc w:val="both"/>
      </w:pPr>
      <w:r>
        <w:rPr>
          <w:rFonts w:ascii="Arial" w:cs="Arial" w:eastAsia="Arial" w:hAnsi="Arial"/>
          <w:color w:val="1A1A2E"/>
          <w:sz w:val="22"/>
          <w:szCs w:val="22"/>
        </w:rPr>
        <w:t xml:space="preserve">XGBoost regression targets should be close to normally distributed. Raw Airbnb prices are heavily right-skewed (skewness 2.70 for Paris). After log1p transformation the skewness falls to 1.02, which is close enough to normal that squared-error loss produces meaningful gradients across the full price range.</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host_tenure_days = (scrape_date − host_since).days</w:t>
      </w:r>
    </w:p>
    <w:p>
      <w:pPr>
        <w:spacing w:after="120" w:before="0"/>
        <w:jc w:val="both"/>
      </w:pPr>
      <w:r>
        <w:rPr>
          <w:rFonts w:ascii="Arial" w:cs="Arial" w:eastAsia="Arial" w:hAnsi="Arial"/>
          <w:color w:val="1A1A2E"/>
          <w:sz w:val="22"/>
          <w:szCs w:val="22"/>
        </w:rPr>
        <w:t xml:space="preserve">A host who joined in 2012 has 13 years of platform experience. A raw date is useless as a model feature. Days since joining is a continuous, interpretable measure of platform maturity.</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host_multi_listing = 1 if host_total_listings_count &gt; 1</w:t>
      </w:r>
    </w:p>
    <w:p>
      <w:pPr>
        <w:spacing w:after="120" w:before="0"/>
        <w:jc w:val="both"/>
      </w:pPr>
      <w:r>
        <w:rPr>
          <w:rFonts w:ascii="Arial" w:cs="Arial" w:eastAsia="Arial" w:hAnsi="Arial"/>
          <w:color w:val="1A1A2E"/>
          <w:sz w:val="22"/>
          <w:szCs w:val="22"/>
        </w:rPr>
        <w:t xml:space="preserve">Binary flag distinguishing commercial operators (&gt;1 listing) from casual hosts (single listing). Behaviour patterns differ systematically between these groups.</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is_superhost_int = int(host_is_superhost)</w:t>
      </w:r>
    </w:p>
    <w:p>
      <w:pPr>
        <w:spacing w:after="120" w:before="0"/>
        <w:jc w:val="both"/>
      </w:pPr>
      <w:r>
        <w:rPr>
          <w:rFonts w:ascii="Arial" w:cs="Arial" w:eastAsia="Arial" w:hAnsi="Arial"/>
          <w:color w:val="1A1A2E"/>
          <w:sz w:val="22"/>
          <w:szCs w:val="22"/>
        </w:rPr>
        <w:t xml:space="preserve">XGBoost requires numeric inputs. Boolean True/False becomes 1/0.</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host_type = categorical label (casual / semi_professional / professional)</w:t>
      </w:r>
    </w:p>
    <w:p>
      <w:pPr>
        <w:spacing w:after="120" w:before="0"/>
        <w:jc w:val="both"/>
      </w:pPr>
      <w:r>
        <w:rPr>
          <w:rFonts w:ascii="Arial" w:cs="Arial" w:eastAsia="Arial" w:hAnsi="Arial"/>
          <w:color w:val="1A1A2E"/>
          <w:sz w:val="22"/>
          <w:szCs w:val="22"/>
        </w:rPr>
        <w:t xml:space="preserve">Engineered from host_multi_listing and host_response_rate. Professional: multi-listing with response rate ≥ 90%. Semi-professional: multi-listing with lower response. Casual: single listing. Provides interpretable host quality segmentation for SHAP outputs.</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amenity_count = count of items in amenities_raw string</w:t>
      </w:r>
    </w:p>
    <w:p>
      <w:pPr>
        <w:spacing w:after="120" w:before="0"/>
        <w:jc w:val="both"/>
      </w:pPr>
      <w:r>
        <w:rPr>
          <w:rFonts w:ascii="Arial" w:cs="Arial" w:eastAsia="Arial" w:hAnsi="Arial"/>
          <w:color w:val="1A1A2E"/>
          <w:sz w:val="22"/>
          <w:szCs w:val="22"/>
        </w:rPr>
        <w:t xml:space="preserve">The raw amenities column is a JSON-format string. Counting the number of items produces a single numeric feature proxying listing quality and completeness. Mean for Paris: 17.6 amenities.</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review_score_composite = mean of all 7 review dimensions (0–10 scale)</w:t>
      </w:r>
    </w:p>
    <w:p>
      <w:pPr>
        <w:spacing w:after="120" w:before="0"/>
        <w:jc w:val="both"/>
      </w:pPr>
      <w:r>
        <w:rPr>
          <w:rFonts w:ascii="Arial" w:cs="Arial" w:eastAsia="Arial" w:hAnsi="Arial"/>
          <w:color w:val="1A1A2E"/>
          <w:sz w:val="22"/>
          <w:szCs w:val="22"/>
        </w:rPr>
        <w:t xml:space="preserve">A single composite quality score reduces the seven correlated review dimensions to one. The scale is 0–10 across all sources after normalisation (see Step 31).</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room_type_encoded = ordinal integer (Entire=3, Hotel=2, Private=1, Shared=0)</w:t>
      </w:r>
    </w:p>
    <w:p>
      <w:pPr>
        <w:spacing w:after="120" w:before="0"/>
        <w:jc w:val="both"/>
      </w:pPr>
      <w:r>
        <w:rPr>
          <w:rFonts w:ascii="Arial" w:cs="Arial" w:eastAsia="Arial" w:hAnsi="Arial"/>
          <w:color w:val="1A1A2E"/>
          <w:sz w:val="22"/>
          <w:szCs w:val="22"/>
        </w:rPr>
        <w:t xml:space="preserve">Ordinal encoding preserves the quality hierarchy that aligns with pricing conventions.</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capacity_per_bedroom = person_capacity / max(bedrooms, 1)</w:t>
      </w:r>
    </w:p>
    <w:p>
      <w:pPr>
        <w:spacing w:after="120" w:before="0"/>
        <w:jc w:val="both"/>
      </w:pPr>
      <w:r>
        <w:rPr>
          <w:rFonts w:ascii="Arial" w:cs="Arial" w:eastAsia="Arial" w:hAnsi="Arial"/>
          <w:color w:val="1A1A2E"/>
          <w:sz w:val="22"/>
          <w:szCs w:val="22"/>
        </w:rPr>
        <w:t xml:space="preserve">Detects overcrowding. A listing for 6 people in 1 bedroom is a very different product from one for 6 in 3 bedrooms. This ratio captures density information that raw capacity and raw bedrooms separately cannot.</w:t>
      </w:r>
    </w:p>
    <w:p>
      <w:pPr>
        <w:pStyle w:val="ListParagraph"/>
        <w:numPr>
          <w:ilvl w:val="0"/>
          <w:numId w:val="2"/>
        </w:numPr>
        <w:spacing w:after="8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instant_bookable_int = int(instant_bookable)</w:t>
      </w:r>
    </w:p>
    <w:p>
      <w:pPr>
        <w:spacing w:after="120" w:before="0"/>
        <w:jc w:val="both"/>
      </w:pPr>
      <w:r>
        <w:rPr>
          <w:rFonts w:ascii="Arial" w:cs="Arial" w:eastAsia="Arial" w:hAnsi="Arial"/>
          <w:color w:val="1A1A2E"/>
          <w:sz w:val="22"/>
          <w:szCs w:val="22"/>
        </w:rPr>
        <w:t xml:space="preserve">Boolean to integer conversion for ML compatibility.</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3.2 Kaggle / Zenodo — Steps 12–20</w:t>
      </w:r>
    </w:p>
    <w:p>
      <w:pPr>
        <w:pStyle w:val="Heading3"/>
        <w:spacing w:after="80" w:before="200"/>
      </w:pPr>
      <w:r>
        <w:rPr>
          <w:rFonts w:ascii="Arial" w:cs="Arial" w:eastAsia="Arial" w:hAnsi="Arial"/>
          <w:b/>
          <w:bCs/>
          <w:color w:val="1A1A2E"/>
          <w:sz w:val="22"/>
          <w:szCs w:val="22"/>
        </w:rPr>
        <w:t xml:space="preserve">Step 12: Load four CSVs and tag with city and is_weekend</w:t>
      </w:r>
    </w:p>
    <w:p>
      <w:pPr>
        <w:spacing w:after="120" w:before="0"/>
        <w:jc w:val="both"/>
      </w:pPr>
      <w:r>
        <w:rPr>
          <w:rFonts w:ascii="Arial" w:cs="Arial" w:eastAsia="Arial" w:hAnsi="Arial"/>
          <w:color w:val="1A1A2E"/>
          <w:sz w:val="22"/>
          <w:szCs w:val="22"/>
        </w:rPr>
        <w:t xml:space="preserve">The four separate CSV files were loaded and two columns were immediately added to each: city (‘athens’ or ‘paris’) and is_weekend (0 for weekday files, 1 for weekend files). All four were concatenated into one dataframe of 11,968 rows. The dataset had zero missing values across all columns, as expected for a peer-reviewed academic dataset.</w:t>
      </w:r>
    </w:p>
    <w:p>
      <w:pPr>
        <w:pStyle w:val="Heading3"/>
        <w:spacing w:after="80" w:before="200"/>
      </w:pPr>
      <w:r>
        <w:rPr>
          <w:rFonts w:ascii="Arial" w:cs="Arial" w:eastAsia="Arial" w:hAnsi="Arial"/>
          <w:b/>
          <w:bCs/>
          <w:color w:val="1A1A2E"/>
          <w:sz w:val="22"/>
          <w:szCs w:val="22"/>
        </w:rPr>
        <w:t xml:space="preserve">Steps 13–17: Rename, type conversion, outlier removal</w:t>
      </w:r>
    </w:p>
    <w:p>
      <w:pPr>
        <w:spacing w:after="120" w:before="0"/>
        <w:jc w:val="both"/>
      </w:pPr>
      <w:r>
        <w:rPr>
          <w:rFonts w:ascii="Arial" w:cs="Arial" w:eastAsia="Arial" w:hAnsi="Arial"/>
          <w:color w:val="1A1A2E"/>
          <w:sz w:val="22"/>
          <w:szCs w:val="22"/>
        </w:rPr>
        <w:t xml:space="preserve">19 columns were renamed to the project snake_case standard. Key renames: realSum → price_eur_kaggle, dist → dist_km, metro_dist → metro_dist_km, multi → host_multi_listing, biz → host_is_business. Boolean strings (‘True’/‘False’ with capital letters, unlike Maven’s ‘t’/‘f’) were converted to Python booleans. P1–P99 outlier removal was applied per city: Athens removed 105 rows, Paris removed 119 rows.</w:t>
      </w:r>
    </w:p>
    <w:p>
      <w:pPr>
        <w:pStyle w:val="Heading3"/>
        <w:spacing w:after="80" w:before="200"/>
      </w:pPr>
      <w:r>
        <w:rPr>
          <w:rFonts w:ascii="Arial" w:cs="Arial" w:eastAsia="Arial" w:hAnsi="Arial"/>
          <w:b/>
          <w:bCs/>
          <w:color w:val="1A1A2E"/>
          <w:sz w:val="22"/>
          <w:szCs w:val="22"/>
        </w:rPr>
        <w:t xml:space="preserve">Steps 18–20: Proximity feature engineering and zone lookup</w:t>
      </w:r>
    </w:p>
    <w:p>
      <w:pPr>
        <w:spacing w:after="120" w:before="0"/>
        <w:jc w:val="both"/>
      </w:pPr>
      <w:r>
        <w:rPr>
          <w:rFonts w:ascii="Arial" w:cs="Arial" w:eastAsia="Arial" w:hAnsi="Arial"/>
          <w:color w:val="1A1A2E"/>
          <w:sz w:val="22"/>
          <w:szCs w:val="22"/>
        </w:rPr>
        <w:t xml:space="preserve">lifestyle_score was computed as the mean of attraction_index_norm and restaurant_index_norm. Distance zones were created from dist_km using four buckets: centre_0_1km (0–1km), near_1_3km, mid_3_5km, far_5km_plus. Ordinal encodings were added. A zone-level lookup table was then built by aggregating Kaggle rows by dist_zone to produce zone-level medians for all spatial features. This lookup table is how Kaggle’s unique proximity features are transferred to Maven Paris and Athens IAB rows, which do not have per-listing proximity measurements.</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3.3 Inside Airbnb Athens — Steps 21–33</w:t>
      </w:r>
    </w:p>
    <w:p>
      <w:pPr>
        <w:pStyle w:val="Heading3"/>
        <w:spacing w:after="80" w:before="200"/>
      </w:pPr>
      <w:r>
        <w:rPr>
          <w:rFonts w:ascii="Arial" w:cs="Arial" w:eastAsia="Arial" w:hAnsi="Arial"/>
          <w:b/>
          <w:bCs/>
          <w:color w:val="1A1A2E"/>
          <w:sz w:val="22"/>
          <w:szCs w:val="22"/>
        </w:rPr>
        <w:t xml:space="preserve">Step 21: Select 50 of 79 columns</w:t>
      </w:r>
    </w:p>
    <w:p>
      <w:pPr>
        <w:spacing w:after="120" w:before="0"/>
        <w:jc w:val="both"/>
      </w:pPr>
      <w:r>
        <w:rPr>
          <w:rFonts w:ascii="Arial" w:cs="Arial" w:eastAsia="Arial" w:hAnsi="Arial"/>
          <w:color w:val="1A1A2E"/>
          <w:sz w:val="22"/>
          <w:szCs w:val="22"/>
        </w:rPr>
        <w:t xml:space="preserve">The raw IAB Athens file contains 79 columns. 29 were dropped immediately: picture_url, listing_url, scrape_id, thumbnail_url, host_url, host_thumbnail_url, and other internal administrative fields with no analytical value. 50 operationally relevant columns were retained.</w:t>
      </w:r>
    </w:p>
    <w:p>
      <w:pPr>
        <w:pStyle w:val="Heading3"/>
        <w:spacing w:after="80" w:before="200"/>
      </w:pPr>
      <w:r>
        <w:rPr>
          <w:rFonts w:ascii="Arial" w:cs="Arial" w:eastAsia="Arial" w:hAnsi="Arial"/>
          <w:b/>
          <w:bCs/>
          <w:color w:val="1A1A2E"/>
          <w:sz w:val="22"/>
          <w:szCs w:val="22"/>
        </w:rPr>
        <w:t xml:space="preserve">Step 22: Resolve the host_total_listings_count naming collision</w:t>
      </w:r>
    </w:p>
    <w:p>
      <w:pPr>
        <w:spacing w:after="120" w:before="0"/>
        <w:jc w:val="both"/>
      </w:pPr>
      <w:r>
        <w:rPr>
          <w:rFonts w:ascii="Arial" w:cs="Arial" w:eastAsia="Arial" w:hAnsi="Arial"/>
          <w:color w:val="1A1A2E"/>
          <w:sz w:val="22"/>
          <w:szCs w:val="22"/>
        </w:rPr>
        <w:t xml:space="preserve">Inside Airbnb provides two host listing count columns: host_listings_count (self-reported by the host) and calculated_host_listings_count (computed by Inside Airbnb from observable data). These values frequently differ because hosts inflate self-reported counts. The calculated version was used as host_total_listings_count and the self-reported version was dropped.</w:t>
      </w:r>
    </w:p>
    <w:p>
      <w:pPr>
        <w:pStyle w:val="Heading3"/>
        <w:spacing w:after="80" w:before="200"/>
      </w:pPr>
      <w:r>
        <w:rPr>
          <w:rFonts w:ascii="Arial" w:cs="Arial" w:eastAsia="Arial" w:hAnsi="Arial"/>
          <w:b/>
          <w:bCs/>
          <w:color w:val="1A1A2E"/>
          <w:sz w:val="22"/>
          <w:szCs w:val="22"/>
        </w:rPr>
        <w:t xml:space="preserve">Step 23: Clean the price column (strip ‘$’ symbols)</w:t>
      </w:r>
    </w:p>
    <w:p>
      <w:pPr>
        <w:spacing w:after="120" w:before="0"/>
        <w:jc w:val="both"/>
      </w:pPr>
      <w:r>
        <w:rPr>
          <w:rFonts w:ascii="Arial" w:cs="Arial" w:eastAsia="Arial" w:hAnsi="Arial"/>
          <w:color w:val="1A1A2E"/>
          <w:sz w:val="22"/>
          <w:szCs w:val="22"/>
        </w:rPr>
        <w:t xml:space="preserve">Inside Airbnb stores prices as formatted strings: ‘$45.00’ or ‘$1,200.00’. The dollar sign and comma were stripped using string operations, and values were converted to float using pd.to_numeric() with errors=‘coerce’, which turns any unparseable value to NaN rather than raising an error. 1,060 rows with null prices were then dropped. P1–P99 outlier removal (P1=€23, P99=€602) removed 282 more rows, leaving 14,242 clean Athens listings.</w:t>
      </w:r>
    </w:p>
    <w:p>
      <w:pPr>
        <w:pStyle w:val="Heading3"/>
        <w:spacing w:after="80" w:before="200"/>
      </w:pPr>
      <w:r>
        <w:rPr>
          <w:rFonts w:ascii="Arial" w:cs="Arial" w:eastAsia="Arial" w:hAnsi="Arial"/>
          <w:b/>
          <w:bCs/>
          <w:color w:val="1A1A2E"/>
          <w:sz w:val="22"/>
          <w:szCs w:val="22"/>
        </w:rPr>
        <w:t xml:space="preserve">Steps 24–28: Type conversion, date parsing, null imputation</w:t>
      </w:r>
    </w:p>
    <w:p>
      <w:pPr>
        <w:spacing w:after="120" w:before="0"/>
        <w:jc w:val="both"/>
      </w:pPr>
      <w:r>
        <w:rPr>
          <w:rFonts w:ascii="Arial" w:cs="Arial" w:eastAsia="Arial" w:hAnsi="Arial"/>
          <w:color w:val="1A1A2E"/>
          <w:sz w:val="22"/>
          <w:szCs w:val="22"/>
        </w:rPr>
        <w:t xml:space="preserve">Boolean columns (host_is_superhost, has_availability, instant_bookable) were converted from ‘t’/‘f’ strings to Python booleans. Percentage rate columns were cleaned the same way as Maven. Dates were parsed to datetime. 2,023 null review score rows were filled with column medians. 11 null bedrooms filled with 1. 10 null host_since values filled conservatively.</w:t>
      </w:r>
    </w:p>
    <w:p>
      <w:pPr>
        <w:pStyle w:val="Heading3"/>
        <w:spacing w:after="80" w:before="200"/>
      </w:pPr>
      <w:r>
        <w:rPr>
          <w:rFonts w:ascii="Arial" w:cs="Arial" w:eastAsia="Arial" w:hAnsi="Arial"/>
          <w:b/>
          <w:bCs/>
          <w:color w:val="1A1A2E"/>
          <w:sz w:val="22"/>
          <w:szCs w:val="22"/>
        </w:rPr>
        <w:t xml:space="preserve">Step 29: Compute dist_km via Haversine formula from Syntagma Square</w:t>
      </w:r>
    </w:p>
    <w:p>
      <w:pPr>
        <w:spacing w:after="120" w:before="0"/>
        <w:jc w:val="both"/>
      </w:pPr>
      <w:r>
        <w:rPr>
          <w:rFonts w:ascii="Arial" w:cs="Arial" w:eastAsia="Arial" w:hAnsi="Arial"/>
          <w:color w:val="1A1A2E"/>
          <w:sz w:val="22"/>
          <w:szCs w:val="22"/>
        </w:rPr>
        <w:t xml:space="preserve">Inside Airbnb Athens listings have latitude and longitude but no distance-to-centre column. The Haversine great-circle distance formula was applied using Syntagma Square as the Athens reference centre (37.9755°N, 23.7348°E). Syntagma Square is the geographic, political, and commercial heart of Athens and the standard reference point used in published Athens urban geography research. The resulting dist_km column ranges from 0.03km to 6.20km.</w:t>
      </w:r>
    </w:p>
    <w:p>
      <w:pPr>
        <w:pStyle w:val="Heading3"/>
        <w:spacing w:after="80" w:before="200"/>
      </w:pPr>
      <w:r>
        <w:rPr>
          <w:rFonts w:ascii="Arial" w:cs="Arial" w:eastAsia="Arial" w:hAnsi="Arial"/>
          <w:b/>
          <w:bCs/>
          <w:color w:val="1A1A2E"/>
          <w:sz w:val="22"/>
          <w:szCs w:val="22"/>
        </w:rPr>
        <w:t xml:space="preserve">Step 30: Engineer 11 new columns for Athens</w:t>
      </w:r>
    </w:p>
    <w:p>
      <w:pPr>
        <w:spacing w:after="120" w:before="0"/>
        <w:jc w:val="both"/>
      </w:pPr>
      <w:r>
        <w:rPr>
          <w:rFonts w:ascii="Arial" w:cs="Arial" w:eastAsia="Arial" w:hAnsi="Arial"/>
          <w:color w:val="1A1A2E"/>
          <w:sz w:val="22"/>
          <w:szCs w:val="22"/>
        </w:rPr>
        <w:t xml:space="preserve">The same ten columns as Maven (Steps 11) plus Athens-specific features: availability_pressure = 365 − availability_365 (booked-days proxy, following Wang et al. 2024 methodology), review_velocity_l30d, is_entire_home binary, and host_risk_score.</w:t>
      </w:r>
    </w:p>
    <w:p>
      <w:pPr>
        <w:pStyle w:val="Heading3"/>
        <w:spacing w:after="80" w:before="200"/>
      </w:pPr>
      <w:r>
        <w:rPr>
          <w:rFonts w:ascii="Arial" w:cs="Arial" w:eastAsia="Arial" w:hAnsi="Arial"/>
          <w:b/>
          <w:bCs/>
          <w:color w:val="1A1A2E"/>
          <w:sz w:val="22"/>
          <w:szCs w:val="22"/>
        </w:rPr>
        <w:t xml:space="preserve">Step 31: Engineer at_risk_host label (LightGBM target)</w:t>
      </w:r>
    </w:p>
    <w:p>
      <w:pPr>
        <w:spacing w:after="120" w:before="0"/>
        <w:jc w:val="both"/>
      </w:pPr>
      <w:r>
        <w:rPr>
          <w:rFonts w:ascii="Arial" w:cs="Arial" w:eastAsia="Arial" w:hAnsi="Arial"/>
          <w:color w:val="1A1A2E"/>
          <w:sz w:val="22"/>
          <w:szCs w:val="22"/>
        </w:rPr>
        <w:t xml:space="preserve">No ground truth for host churn exists in public Airbnb data. A heuristic label was defined based on four observable conditions, any one of which flags a listing as at risk: review_scores_rating &lt; 4.5 (below the threshold at which Airbnb typically removes listings); review_velocity_l30d == 0 and number_of_reviews &gt; 10 (established listing receiving no recent reviews); availability_365 &gt; 330 (listing available almost all year but receiving almost no bookings); and host_multi_listing == 1 and not superhost and rating &lt; 4.7 (commercial operator failing to maintain quality standards). The label was validated against all six observable dimensions using Mann-Whitney U tests (all p &lt; 0.001), confirming it captures real behavioural signal. 8,083 of 14,242 Athens listings (56.8%) were flagged. The wide net is intentional: LightGBM outputs a continuous probability (0–1), not the binary label. Investors and agents use probability thresholds, not the label directly.</w:t>
      </w:r>
    </w:p>
    <w:p>
      <w:pPr>
        <w:pStyle w:val="Heading3"/>
        <w:spacing w:after="80" w:before="200"/>
      </w:pPr>
      <w:r>
        <w:rPr>
          <w:rFonts w:ascii="Arial" w:cs="Arial" w:eastAsia="Arial" w:hAnsi="Arial"/>
          <w:b/>
          <w:bCs/>
          <w:color w:val="1A1A2E"/>
          <w:sz w:val="22"/>
          <w:szCs w:val="22"/>
        </w:rPr>
        <w:t xml:space="preserve">Steps 32–33: Process calendar and reviews</w:t>
      </w:r>
    </w:p>
    <w:p>
      <w:pPr>
        <w:spacing w:after="120" w:before="0"/>
        <w:jc w:val="both"/>
      </w:pPr>
      <w:r>
        <w:rPr>
          <w:rFonts w:ascii="Arial" w:cs="Arial" w:eastAsia="Arial" w:hAnsi="Arial"/>
          <w:color w:val="1A1A2E"/>
          <w:sz w:val="22"/>
          <w:szCs w:val="22"/>
        </w:rPr>
        <w:t xml:space="preserve">The 5,688,168-row Athens calendar file was aggregated to monthly occupancy rates by treating available == ‘f’ (unavailable) as a booking proxy. This is the standard Inside Airbnb methodology. The 874,286-row reviews file was processed to produce per-listing velocity aggregates (reviews in 2024, reviews in 2025, growth rate) and monthly review timeseries for Prophet forecasting input.</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3.4 Inside Airbnb Paris 2025 Integration — Steps 34–38</w:t>
      </w:r>
    </w:p>
    <w:p>
      <w:pPr>
        <w:pStyle w:val="Heading3"/>
        <w:spacing w:after="80" w:before="200"/>
      </w:pPr>
      <w:r>
        <w:rPr>
          <w:rFonts w:ascii="Arial" w:cs="Arial" w:eastAsia="Arial" w:hAnsi="Arial"/>
          <w:b/>
          <w:bCs/>
          <w:color w:val="1A1A2E"/>
          <w:sz w:val="22"/>
          <w:szCs w:val="22"/>
        </w:rPr>
        <w:t xml:space="preserve">Step 34: Price estimation for IAB25 Paris rows</w:t>
      </w:r>
    </w:p>
    <w:p>
      <w:pPr>
        <w:spacing w:after="120" w:before="0"/>
        <w:jc w:val="both"/>
      </w:pPr>
      <w:r>
        <w:rPr>
          <w:rFonts w:ascii="Arial" w:cs="Arial" w:eastAsia="Arial" w:hAnsi="Arial"/>
          <w:color w:val="1A1A2E"/>
          <w:sz w:val="22"/>
          <w:szCs w:val="22"/>
        </w:rPr>
        <w:t xml:space="preserve">The IAB25 Paris listings file has blank price fields. To enable revenue estimation, prices were imputed using observed Maven Paris prices as comparables, matched by neighbourhood, room type, and guest capacity bracket. The resulting prices were flagged with price_eur_estimated = 1 and price_source = ‘estimated_from_maven_paris_comps’ to ensure full transparency. The within-neighbourhood standard deviation of these estimated prices is €11.9, compared to €74.4 for observed Maven prices. This compression is an acknowledged limitation: estimation from medians produces flat prices within each neighbourhood–room type–capacity cell. These rows are excluded from XGBoost price model training via the xgb_price_training_eligible flag.</w:t>
      </w:r>
    </w:p>
    <w:p>
      <w:pPr>
        <w:pStyle w:val="Heading3"/>
        <w:spacing w:after="80" w:before="200"/>
      </w:pPr>
      <w:r>
        <w:rPr>
          <w:rFonts w:ascii="Arial" w:cs="Arial" w:eastAsia="Arial" w:hAnsi="Arial"/>
          <w:b/>
          <w:bCs/>
          <w:color w:val="1A1A2E"/>
          <w:sz w:val="22"/>
          <w:szCs w:val="22"/>
        </w:rPr>
        <w:t xml:space="preserve">Step 35: VADER sentiment scoring</w:t>
      </w:r>
    </w:p>
    <w:p>
      <w:pPr>
        <w:spacing w:after="120" w:before="0"/>
        <w:jc w:val="both"/>
      </w:pPr>
      <w:r>
        <w:rPr>
          <w:rFonts w:ascii="Arial" w:cs="Arial" w:eastAsia="Arial" w:hAnsi="Arial"/>
          <w:color w:val="1A1A2E"/>
          <w:sz w:val="22"/>
          <w:szCs w:val="22"/>
        </w:rPr>
        <w:t xml:space="preserve">The VADER SentimentIntensityAnalyzer was run on 594,482 Athens reviews and IAB25 Paris reviews (2022–2025, &gt;10 characters). For each listing, up to 20 most recent reviews were scored and the compound scores averaged to produce listing_sentiment_score. Athens: 11,980 of 14,242 listings scored (84.1%), mean score 0.501. IAB25 Paris: 43,002 of 57,289 listings scored (75.1%), mean score 0.679. The higher Paris mean reflects a known VADER limitation: the lexicon was built on English text, and French reviews that are grammatically neutral score as weakly positive because French negation patterns are not encoded in the English VADER model. Paris sentiment is therefore flagged as within-city use only via sentiment_city_comparable = 0 for IAB25 rows. Athens sentiment validity is confirmed: Spearman ρ = +0.347 vs price (p &lt; 0.001).</w:t>
      </w:r>
    </w:p>
    <w:p>
      <w:pPr>
        <w:pStyle w:val="Heading3"/>
        <w:spacing w:after="80" w:before="200"/>
      </w:pPr>
      <w:r>
        <w:rPr>
          <w:rFonts w:ascii="Arial" w:cs="Arial" w:eastAsia="Arial" w:hAnsi="Arial"/>
          <w:b/>
          <w:bCs/>
          <w:color w:val="1A1A2E"/>
          <w:sz w:val="22"/>
          <w:szCs w:val="22"/>
        </w:rPr>
        <w:t xml:space="preserve">Step 36: Amenities extraction</w:t>
      </w:r>
    </w:p>
    <w:p>
      <w:pPr>
        <w:spacing w:after="120" w:before="0"/>
        <w:jc w:val="both"/>
      </w:pPr>
      <w:r>
        <w:rPr>
          <w:rFonts w:ascii="Arial" w:cs="Arial" w:eastAsia="Arial" w:hAnsi="Arial"/>
          <w:color w:val="1A1A2E"/>
          <w:sz w:val="22"/>
          <w:szCs w:val="22"/>
        </w:rPr>
        <w:t xml:space="preserve">The raw amenities column (a JSON-format string listing all amenities a host advertises) was retained as amenities_raw for both cities. This is required by the GPT-4o listing coach agent, which reads the raw string before producing personalised rewrite suggestions.</w:t>
      </w:r>
    </w:p>
    <w:p>
      <w:pPr>
        <w:pStyle w:val="Heading3"/>
        <w:spacing w:after="80" w:before="200"/>
      </w:pPr>
      <w:r>
        <w:rPr>
          <w:rFonts w:ascii="Arial" w:cs="Arial" w:eastAsia="Arial" w:hAnsi="Arial"/>
          <w:b/>
          <w:bCs/>
          <w:color w:val="1A1A2E"/>
          <w:sz w:val="22"/>
          <w:szCs w:val="22"/>
        </w:rPr>
        <w:t xml:space="preserve">Steps 37–38: Occupancy, availability, and review enrichment from IAB25</w:t>
      </w:r>
    </w:p>
    <w:p>
      <w:pPr>
        <w:spacing w:after="120" w:before="0"/>
        <w:jc w:val="both"/>
      </w:pPr>
      <w:r>
        <w:rPr>
          <w:rFonts w:ascii="Arial" w:cs="Arial" w:eastAsia="Arial" w:hAnsi="Arial"/>
          <w:color w:val="1A1A2E"/>
          <w:sz w:val="22"/>
          <w:szCs w:val="22"/>
        </w:rPr>
        <w:t xml:space="preserve">The IAB25 Paris calendar file provided occupancy estimates, availability figures, and calendar-derived price observations for all 57,289 IAB25 Paris rows. Additionally, 24,564 Maven Paris listings that appeared in both the Maven and IAB25 datasets (overlap identified by geographic proximity and host ID matching) were enriched with current occupancy and availability data from the IAB25 snapshot, bridging the 2021 vintage gap.</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3.5 Merge and Final Engineering — Steps 39–41</w:t>
      </w:r>
    </w:p>
    <w:p>
      <w:pPr>
        <w:pStyle w:val="Heading3"/>
        <w:spacing w:after="80" w:before="200"/>
      </w:pPr>
      <w:r>
        <w:rPr>
          <w:rFonts w:ascii="Arial" w:cs="Arial" w:eastAsia="Arial" w:hAnsi="Arial"/>
          <w:b/>
          <w:bCs/>
          <w:color w:val="1A1A2E"/>
          <w:sz w:val="22"/>
          <w:szCs w:val="22"/>
        </w:rPr>
        <w:t xml:space="preserve">Step 39: Normalise review score scales across all sources</w:t>
      </w:r>
    </w:p>
    <w:p>
      <w:pPr>
        <w:spacing w:after="120" w:before="0"/>
        <w:jc w:val="both"/>
      </w:pPr>
      <w:r>
        <w:rPr>
          <w:rFonts w:ascii="Arial" w:cs="Arial" w:eastAsia="Arial" w:hAnsi="Arial"/>
          <w:color w:val="1A1A2E"/>
          <w:sz w:val="22"/>
          <w:szCs w:val="22"/>
        </w:rPr>
        <w:t xml:space="preserve">Maven Paris review_scores_rating is on a 0–100 scale (Airbnb’s older system). Inside Airbnb Athens and IAB25 Paris use a 0–5 scale (current system). The review_score_composite column was rebuilt by normalising each source to a consistent 0–10 scale before averaging. Maven: rating divided by 10, sub-dimensions retained as 0–10. IAB sources: all dimensions multiplied by 2 to reach 0–10. The resulting composite ranges from 2.00 to 10.00 with a median of 9.64–9.77 depending on source — now directly comparable across cities for the first time. The review_scores_rating_norm column provides an additional 0–1 normalised rating for cross-city comparison.</w:t>
      </w:r>
    </w:p>
    <w:p>
      <w:pPr>
        <w:pStyle w:val="Heading3"/>
        <w:spacing w:after="80" w:before="200"/>
      </w:pPr>
      <w:r>
        <w:rPr>
          <w:rFonts w:ascii="Arial" w:cs="Arial" w:eastAsia="Arial" w:hAnsi="Arial"/>
          <w:b/>
          <w:bCs/>
          <w:color w:val="1A1A2E"/>
          <w:sz w:val="22"/>
          <w:szCs w:val="22"/>
        </w:rPr>
        <w:t xml:space="preserve">Step 40: Stack all sources into the mega dataset</w:t>
      </w:r>
    </w:p>
    <w:p>
      <w:pPr>
        <w:spacing w:after="120" w:before="0"/>
        <w:jc w:val="both"/>
      </w:pPr>
      <w:r>
        <w:rPr>
          <w:rFonts w:ascii="Arial" w:cs="Arial" w:eastAsia="Arial" w:hAnsi="Arial"/>
          <w:color w:val="1A1A2E"/>
          <w:sz w:val="22"/>
          <w:szCs w:val="22"/>
        </w:rPr>
        <w:t xml:space="preserve">Maven Paris (63,520 rows), IAB Athens (14,242 rows), and IAB25 Paris (57,289 rows) were stacked vertically into a single DataFrame using pd.concat(). Columns present in only one source received NaN values for the other sources. The city column identifies Paris or Athens. The source column identifies the data origin. This design means NaN values in the dataset are structural by design, not errors.</w:t>
      </w:r>
    </w:p>
    <w:p>
      <w:pPr>
        <w:pStyle w:val="Heading3"/>
        <w:spacing w:after="80" w:before="200"/>
      </w:pPr>
      <w:r>
        <w:rPr>
          <w:rFonts w:ascii="Arial" w:cs="Arial" w:eastAsia="Arial" w:hAnsi="Arial"/>
          <w:b/>
          <w:bCs/>
          <w:color w:val="1A1A2E"/>
          <w:sz w:val="22"/>
          <w:szCs w:val="22"/>
        </w:rPr>
        <w:t xml:space="preserve">Step 41: Add ML routing flags (v4.1 patch)</w:t>
      </w:r>
    </w:p>
    <w:p>
      <w:pPr>
        <w:spacing w:after="120" w:before="0"/>
        <w:jc w:val="both"/>
      </w:pPr>
      <w:r>
        <w:rPr>
          <w:rFonts w:ascii="Arial" w:cs="Arial" w:eastAsia="Arial" w:hAnsi="Arial"/>
          <w:color w:val="1A1A2E"/>
          <w:sz w:val="22"/>
          <w:szCs w:val="22"/>
        </w:rPr>
        <w:t xml:space="preserve">Four binary integer columns were added as the final step in response to quality review findings:</w:t>
      </w:r>
    </w:p>
    <w:p>
      <w:pPr>
        <w:pStyle w:val="ListParagraph"/>
        <w:numPr>
          <w:ilvl w:val="0"/>
          <w:numId w:val="2"/>
        </w:numPr>
        <w:spacing w:after="80" w:before="0"/>
      </w:pPr>
      <w:r>
        <w:rPr>
          <w:rFonts w:ascii="Arial" w:cs="Arial" w:eastAsia="Arial" w:hAnsi="Arial"/>
          <w:color w:val="1A1A2E"/>
          <w:sz w:val="22"/>
          <w:szCs w:val="22"/>
        </w:rPr>
        <w:t xml:space="preserve">price_eur_estimated: 0 = observed price (Maven + Athens IAB), 1 = estimated price (IAB25 Paris). This was also corrected from a mixed NaN/1 state to a clean binary 0/1.</w:t>
      </w:r>
    </w:p>
    <w:p>
      <w:pPr>
        <w:pStyle w:val="ListParagraph"/>
        <w:numPr>
          <w:ilvl w:val="0"/>
          <w:numId w:val="2"/>
        </w:numPr>
        <w:spacing w:after="80" w:before="0"/>
      </w:pPr>
      <w:r>
        <w:rPr>
          <w:rFonts w:ascii="Arial" w:cs="Arial" w:eastAsia="Arial" w:hAnsi="Arial"/>
          <w:color w:val="1A1A2E"/>
          <w:sz w:val="22"/>
          <w:szCs w:val="22"/>
        </w:rPr>
        <w:t xml:space="preserve">xgb_price_training_eligible: 1 for the 77,762 rows with observed prices only. The XGBoost pricing model is trained on this subset. IAB25 Paris rows are excluded because their artificially compressed price variance (€11.9 std vs €74.4 for Maven) would dilute model learning.</w:t>
      </w:r>
    </w:p>
    <w:p>
      <w:pPr>
        <w:pStyle w:val="ListParagraph"/>
        <w:numPr>
          <w:ilvl w:val="0"/>
          <w:numId w:val="2"/>
        </w:numPr>
        <w:spacing w:after="80" w:before="0"/>
      </w:pPr>
      <w:r>
        <w:rPr>
          <w:rFonts w:ascii="Arial" w:cs="Arial" w:eastAsia="Arial" w:hAnsi="Arial"/>
          <w:color w:val="1A1A2E"/>
          <w:sz w:val="22"/>
          <w:szCs w:val="22"/>
        </w:rPr>
        <w:t xml:space="preserve">prophet_training_eligible: 1 for the 53,639 rows where estimated_occupancy_l365d &gt; 0. The 42,456 rows with occupancy = 0 are inactive or newly listed properties and should not train a demand forecasting model.</w:t>
      </w:r>
    </w:p>
    <w:p>
      <w:pPr>
        <w:pStyle w:val="ListParagraph"/>
        <w:numPr>
          <w:ilvl w:val="0"/>
          <w:numId w:val="2"/>
        </w:numPr>
        <w:spacing w:after="80" w:before="0"/>
      </w:pPr>
      <w:r>
        <w:rPr>
          <w:rFonts w:ascii="Arial" w:cs="Arial" w:eastAsia="Arial" w:hAnsi="Arial"/>
          <w:color w:val="1A1A2E"/>
          <w:sz w:val="22"/>
          <w:szCs w:val="22"/>
        </w:rPr>
        <w:t xml:space="preserve">sentiment_city_comparable: 1 for the 14,242 Athens IAB rows only. These are the only rows where VADER sentiment was computed on English-language reviews and is reliable for cross-city benchmarking.</w:t>
      </w:r>
    </w:p>
    <w:p>
      <w:pPr>
        <w:pBdr>
          <w:bottom w:val="single" w:color="00338D" w:sz="6" w:space="1"/>
        </w:pBdr>
        <w:spacing w:after="120" w:before="120"/>
      </w:pPr>
      <w:r>
        <w:t xml:space="preserve"> </w:t>
      </w:r>
    </w:p>
    <w:p>
      <w:pPr>
        <w:pStyle w:val="Heading1"/>
        <w:spacing w:after="160" w:before="360"/>
      </w:pPr>
      <w:r>
        <w:rPr>
          <w:rFonts w:ascii="Arial" w:cs="Arial" w:eastAsia="Arial" w:hAnsi="Arial"/>
          <w:b/>
          <w:bCs/>
          <w:color w:val="00338D"/>
          <w:sz w:val="32"/>
          <w:szCs w:val="32"/>
        </w:rPr>
        <w:t xml:space="preserve">4. Challenges Encountered and How They Were Resolved</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1: File encoding mismatch</w:t>
      </w:r>
    </w:p>
    <w:p>
      <w:pPr>
        <w:spacing w:after="120" w:before="0"/>
        <w:jc w:val="both"/>
      </w:pPr>
      <w:r>
        <w:rPr>
          <w:rFonts w:ascii="Arial" w:cs="Arial" w:eastAsia="Arial" w:hAnsi="Arial"/>
          <w:color w:val="1A1A2E"/>
          <w:sz w:val="22"/>
          <w:szCs w:val="22"/>
        </w:rPr>
        <w:t xml:space="preserve">Maven Listings.csv uses latin-1 encoding. Every other source uses UTF-8. Python’s default encoding caused a UnicodeDecodeError at row 206,899 when loading Maven. Resolution: specifying encoding=‘latin-1’ in pd.read_csv(). This is documented in the pipeline script so any team member re-running it does not encounter the same failure.</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2: Price column formats differed across all four sources</w:t>
      </w:r>
    </w:p>
    <w:p>
      <w:pPr>
        <w:spacing w:after="120" w:before="0"/>
        <w:jc w:val="both"/>
      </w:pPr>
      <w:r>
        <w:rPr>
          <w:rFonts w:ascii="Arial" w:cs="Arial" w:eastAsia="Arial" w:hAnsi="Arial"/>
          <w:color w:val="1A1A2E"/>
          <w:sz w:val="22"/>
          <w:szCs w:val="22"/>
        </w:rPr>
        <w:t xml:space="preserve">Maven stored prices as integers in EUR. Inside Airbnb stored prices as formatted dollar strings (‘$45.00’). Kaggle stored total 2-person 2-night costs, not per-night rates. Resolution: each source received its own price cleaning step. Maven prices were used as-is. IAB prices had the dollar sign and comma stripped before float conversion. Kaggle prices were renamed price_eur_kaggle and never used as a regression target — only the spatial features from this source were used in the final model.</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3: Inside Airbnb Paris 2025 has blank price fields</w:t>
      </w:r>
    </w:p>
    <w:p>
      <w:pPr>
        <w:spacing w:after="120" w:before="0"/>
        <w:jc w:val="both"/>
      </w:pPr>
      <w:r>
        <w:rPr>
          <w:rFonts w:ascii="Arial" w:cs="Arial" w:eastAsia="Arial" w:hAnsi="Arial"/>
          <w:color w:val="1A1A2E"/>
          <w:sz w:val="22"/>
          <w:szCs w:val="22"/>
        </w:rPr>
        <w:t xml:space="preserve">The IAB25 Paris listings file, downloaded in September 2025, has empty price fields for every listing. This is a known intermittent issue with Inside Airbnb’s Paris data collection related to Airbnb platform changes. Without prices, the IAB25 rows cannot be used to train a pricing model. Resolution: prices were estimated from observed Maven Paris comparable listings matched by neighbourhood, room type, and guest capacity. The estimation is fully disclosed via three columns: price_eur_estimated (binary flag), price_source (text description of method), and revenue_source. The xgb_price_training_eligible flag ensures these rows never enter the pricing model training set.</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4: Review score scales were different across sources and produced a broken composite</w:t>
      </w:r>
    </w:p>
    <w:p>
      <w:pPr>
        <w:spacing w:after="120" w:before="0"/>
        <w:jc w:val="both"/>
      </w:pPr>
      <w:r>
        <w:rPr>
          <w:rFonts w:ascii="Arial" w:cs="Arial" w:eastAsia="Arial" w:hAnsi="Arial"/>
          <w:color w:val="1A1A2E"/>
          <w:sz w:val="22"/>
          <w:szCs w:val="22"/>
        </w:rPr>
        <w:t xml:space="preserve">Maven stores review_scores_rating on a 0–100 scale. Inside Airbnb uses a 0–5 scale. All sub-dimensions (accuracy, cleanliness, checkin, etc.) are on a 0–10 scale for Maven and 0–5 for IAB. Averaging these without normalisation produced a nonsensical composite (Maven median 21.86, Athens median 4.89) that was used incorrectly in earlier dataset versions. Resolution in v4: all dimensions were normalised to a common 0–10 scale before averaging. Maven: rating divided by 10, sub-dimensions unchanged. IAB: all dimensions multiplied by 2. The resulting composite (median 9.64–9.77 across all sources) is now valid for cross-city comparison.</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5: Missing distance-to-centre for Maven Paris rows</w:t>
      </w:r>
    </w:p>
    <w:p>
      <w:pPr>
        <w:spacing w:after="120" w:before="0"/>
        <w:jc w:val="both"/>
      </w:pPr>
      <w:r>
        <w:rPr>
          <w:rFonts w:ascii="Arial" w:cs="Arial" w:eastAsia="Arial" w:hAnsi="Arial"/>
          <w:color w:val="1A1A2E"/>
          <w:sz w:val="22"/>
          <w:szCs w:val="22"/>
        </w:rPr>
        <w:t xml:space="preserve">Maven has no distance-to-centre column. The Kaggle source has dist_km, but only for its 6,569 Paris rows. An earlier pipeline version used Kaggle as the primary Paris source for the combined ML dataset, discarding 57,000 Maven Paris rows to gain the proximity feature — a data waste of 91%. Resolution: Maven Paris listings have latitude and longitude coordinates. The Haversine great-circle distance formula was applied using Notre-Dame cathedral (48.8530°N, 2.3499°E) as the Paris reference centre — the official kilometre-zero marker of France. This computed dist_km for all 63,520 Maven rows from their actual GPS coordinates. The Kaggle proximity features (metro distance, attraction index, restaurant index) that cannot be computed from coordinates alone were then transferred via a zone-level lookup table joined on dist_zone.</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6: VADER sentiment bias for French-language reviews</w:t>
      </w:r>
    </w:p>
    <w:p>
      <w:pPr>
        <w:spacing w:after="120" w:before="0"/>
        <w:jc w:val="both"/>
      </w:pPr>
      <w:r>
        <w:rPr>
          <w:rFonts w:ascii="Arial" w:cs="Arial" w:eastAsia="Arial" w:hAnsi="Arial"/>
          <w:color w:val="1A1A2E"/>
          <w:sz w:val="22"/>
          <w:szCs w:val="22"/>
        </w:rPr>
        <w:t xml:space="preserve">VADER was built on English text. Paris Airbnb reviews are predominantly written in French. Running VADER on French text produces inflated compound scores because French negation words and sentiment markers are absent from the English VADER lexicon. This caused IAB25 Paris sentiment mean (0.679) to be systematically higher than Athens (0.501) despite both markets being similarly rated on structured review scales. Resolution: the sentiment_city_comparable flag was added. IAB25 Paris sentiment is valid for within-Paris listing ranking (the bias is consistent across listings so relative ordering is preserved) but must not be compared to Athens sentiment scores. The flag enforces this programmatically.</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7: Host listing count self-reporting inconsistency</w:t>
      </w:r>
    </w:p>
    <w:p>
      <w:pPr>
        <w:spacing w:after="120" w:before="0"/>
        <w:jc w:val="both"/>
      </w:pPr>
      <w:r>
        <w:rPr>
          <w:rFonts w:ascii="Arial" w:cs="Arial" w:eastAsia="Arial" w:hAnsi="Arial"/>
          <w:color w:val="1A1A2E"/>
          <w:sz w:val="22"/>
          <w:szCs w:val="22"/>
        </w:rPr>
        <w:t xml:space="preserve">Inside Airbnb provides two host listing count columns: host_listings_count (self-reported) and calculated_host_listings_count (computed by Inside Airbnb). These differ significantly in practice because hosts inflate self-reported counts to appear more professional. Resolution: calculated_host_listings_count was used exclusively and renamed host_total_listings_count. The self-reported version was dropped.</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Challenge 8: Occupancy zero-inflation</w:t>
      </w:r>
    </w:p>
    <w:p>
      <w:pPr>
        <w:spacing w:after="120" w:before="0"/>
        <w:jc w:val="both"/>
      </w:pPr>
      <w:r>
        <w:rPr>
          <w:rFonts w:ascii="Arial" w:cs="Arial" w:eastAsia="Arial" w:hAnsi="Arial"/>
          <w:color w:val="1A1A2E"/>
          <w:sz w:val="22"/>
          <w:szCs w:val="22"/>
        </w:rPr>
        <w:t xml:space="preserve">25.1% of Athens listings and 32.2% of Paris IAB25 listings show estimated_occupancy_l365d = 0. Including these in Prophet training would teach the model that a large fraction of the market is completely inactive, pulling demand forecasts toward zero. Resolution: the prophet_training_eligible flag (value = 1 when occupancy &gt; 0) scopes the Prophet training set to 53,639 actively booked listings. The zero-occupancy rows are retained in the dataset for host-level risk analysis — zero occupancy on an established listing is itself a risk signal.</w:t>
      </w:r>
    </w:p>
    <w:p>
      <w:pPr>
        <w:pBdr>
          <w:bottom w:val="single" w:color="00338D" w:sz="6" w:space="1"/>
        </w:pBdr>
        <w:spacing w:after="120" w:before="120"/>
      </w:pPr>
      <w:r>
        <w:t xml:space="preserve"> </w:t>
      </w:r>
    </w:p>
    <w:p>
      <w:pPr>
        <w:pStyle w:val="Heading1"/>
        <w:spacing w:after="160" w:before="360"/>
      </w:pPr>
      <w:r>
        <w:rPr>
          <w:rFonts w:ascii="Arial" w:cs="Arial" w:eastAsia="Arial" w:hAnsi="Arial"/>
          <w:b/>
          <w:bCs/>
          <w:color w:val="00338D"/>
          <w:sz w:val="32"/>
          <w:szCs w:val="32"/>
        </w:rPr>
        <w:t xml:space="preserve">5. Acknowledged Limitations and Mitigations</w:t>
      </w:r>
    </w:p>
    <w:p>
      <w:pPr>
        <w:spacing w:after="120" w:before="0"/>
        <w:jc w:val="both"/>
      </w:pPr>
      <w:r>
        <w:rPr>
          <w:rFonts w:ascii="Arial" w:cs="Arial" w:eastAsia="Arial" w:hAnsi="Arial"/>
          <w:color w:val="1A1A2E"/>
          <w:sz w:val="22"/>
          <w:szCs w:val="22"/>
        </w:rPr>
        <w:t xml:space="preserve">The following limitations are retained in the dataset because they cannot be resolved without unavailable external data. Each is disclosed in the dataset itself via dedicated columns and is managed analytically rather than hidden.</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Limitation 1: IAB25 Paris prices are estimated, not observed</w:t>
      </w:r>
    </w:p>
    <w:p>
      <w:pPr>
        <w:spacing w:after="120" w:before="0"/>
        <w:jc w:val="both"/>
      </w:pPr>
      <w:r>
        <w:rPr>
          <w:rFonts w:ascii="Arial" w:cs="Arial" w:eastAsia="Arial" w:hAnsi="Arial"/>
          <w:color w:val="1A1A2E"/>
          <w:sz w:val="22"/>
          <w:szCs w:val="22"/>
        </w:rPr>
        <w:t xml:space="preserve">Impact: </w:t>
      </w:r>
      <w:r>
        <w:rPr>
          <w:rFonts w:ascii="Arial" w:cs="Arial" w:eastAsia="Arial" w:hAnsi="Arial"/>
          <w:b/>
          <w:bCs/>
          <w:color w:val="1A1A2E"/>
          <w:sz w:val="22"/>
          <w:szCs w:val="22"/>
        </w:rPr>
        <w:t xml:space="preserve">Within-neighbourhood price standard deviation is €11.9 for IAB25 rows vs €74.4 for Maven rows. The Paris neighbourhood opportunity scores in the neighbourhood stats files have correspondingly low variation.</w:t>
      </w:r>
    </w:p>
    <w:p>
      <w:pPr>
        <w:spacing w:after="120" w:before="0"/>
        <w:jc w:val="both"/>
      </w:pPr>
      <w:r>
        <w:rPr>
          <w:rFonts w:ascii="Arial" w:cs="Arial" w:eastAsia="Arial" w:hAnsi="Arial"/>
          <w:color w:val="1A1A2E"/>
          <w:sz w:val="22"/>
          <w:szCs w:val="22"/>
        </w:rPr>
        <w:t xml:space="preserve">Why retained: </w:t>
      </w:r>
      <w:r>
        <w:rPr>
          <w:rFonts w:ascii="Arial" w:cs="Arial" w:eastAsia="Arial" w:hAnsi="Arial"/>
          <w:b/>
          <w:bCs/>
          <w:color w:val="1A1A2E"/>
          <w:sz w:val="22"/>
          <w:szCs w:val="22"/>
        </w:rPr>
        <w:t xml:space="preserve">The IAB25 rows provide real occupancy, availability, and host quality data from the current Paris market. Their non-price features are genuine and valuable. Dropping all 57,289 rows would lose the current-market signal entirely.</w:t>
      </w:r>
    </w:p>
    <w:p>
      <w:pPr>
        <w:spacing w:after="120" w:before="0"/>
        <w:jc w:val="both"/>
      </w:pPr>
      <w:r>
        <w:rPr>
          <w:rFonts w:ascii="Arial" w:cs="Arial" w:eastAsia="Arial" w:hAnsi="Arial"/>
          <w:color w:val="1A1A2E"/>
          <w:sz w:val="22"/>
          <w:szCs w:val="22"/>
        </w:rPr>
        <w:t xml:space="preserve">Mitigation: </w:t>
      </w:r>
      <w:r>
        <w:rPr>
          <w:rFonts w:ascii="Arial" w:cs="Arial" w:eastAsia="Arial" w:hAnsi="Arial"/>
          <w:b/>
          <w:bCs/>
          <w:color w:val="1A1A2E"/>
          <w:sz w:val="22"/>
          <w:szCs w:val="22"/>
        </w:rPr>
        <w:t xml:space="preserve">price_eur_estimated and price_source flags mark every affected row. xgb_price_training_eligible = 0 for all IAB25 rows ensures they never enter the pricing model training set. The neighbourhood stats files include a price_confidence column ('observed', 'mixed', or 'estimated') per neighbourhood.</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Limitation 2: Maven Paris data is from 2021 (four-year gap)</w:t>
      </w:r>
    </w:p>
    <w:p>
      <w:pPr>
        <w:spacing w:after="120" w:before="0"/>
        <w:jc w:val="both"/>
      </w:pPr>
      <w:r>
        <w:rPr>
          <w:rFonts w:ascii="Arial" w:cs="Arial" w:eastAsia="Arial" w:hAnsi="Arial"/>
          <w:color w:val="1A1A2E"/>
          <w:sz w:val="22"/>
          <w:szCs w:val="22"/>
        </w:rPr>
        <w:t xml:space="preserve">Impact: </w:t>
      </w:r>
      <w:r>
        <w:rPr>
          <w:rFonts w:ascii="Arial" w:cs="Arial" w:eastAsia="Arial" w:hAnsi="Arial"/>
          <w:b/>
          <w:bCs/>
          <w:color w:val="1A1A2E"/>
          <w:sz w:val="22"/>
          <w:szCs w:val="22"/>
        </w:rPr>
        <w:t xml:space="preserve">Maven prices do not reflect post-2021 regulatory changes including the Loi Le Meur (2024) 90-night cap, the post-Olympics demand normalization, or the 2024–2025 Paris STR market conditions.</w:t>
      </w:r>
    </w:p>
    <w:p>
      <w:pPr>
        <w:spacing w:after="120" w:before="0"/>
        <w:jc w:val="both"/>
      </w:pPr>
      <w:r>
        <w:rPr>
          <w:rFonts w:ascii="Arial" w:cs="Arial" w:eastAsia="Arial" w:hAnsi="Arial"/>
          <w:color w:val="1A1A2E"/>
          <w:sz w:val="22"/>
          <w:szCs w:val="22"/>
        </w:rPr>
        <w:t xml:space="preserve">Why retained: </w:t>
      </w:r>
      <w:r>
        <w:rPr>
          <w:rFonts w:ascii="Arial" w:cs="Arial" w:eastAsia="Arial" w:hAnsi="Arial"/>
          <w:b/>
          <w:bCs/>
          <w:color w:val="1A1A2E"/>
          <w:sz w:val="22"/>
          <w:szCs w:val="22"/>
        </w:rPr>
        <w:t xml:space="preserve">Maven provides listing depth, host quality signals, and neighbourhood coverage that no other source matches at 63,520 rows. Dropping it would reduce the observed-price Paris training set to zero.</w:t>
      </w:r>
    </w:p>
    <w:p>
      <w:pPr>
        <w:spacing w:after="120" w:before="0"/>
        <w:jc w:val="both"/>
      </w:pPr>
      <w:r>
        <w:rPr>
          <w:rFonts w:ascii="Arial" w:cs="Arial" w:eastAsia="Arial" w:hAnsi="Arial"/>
          <w:color w:val="1A1A2E"/>
          <w:sz w:val="22"/>
          <w:szCs w:val="22"/>
        </w:rPr>
        <w:t xml:space="preserve">Mitigation: </w:t>
      </w:r>
      <w:r>
        <w:rPr>
          <w:rFonts w:ascii="Arial" w:cs="Arial" w:eastAsia="Arial" w:hAnsi="Arial"/>
          <w:b/>
          <w:bCs/>
          <w:color w:val="1A1A2E"/>
          <w:sz w:val="22"/>
          <w:szCs w:val="22"/>
        </w:rPr>
        <w:t xml:space="preserve">source and source_vintage columns identify vintage. The ARIA investor brief explicitly states that Paris pricing analysis is anchored to 2021 price levels and uses IAB25 occupancy data for current demand context. The Prophet Paris forecast uses IAB25 review velocity as a current-market demand proxy.</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Limitation 3: Paris VADER sentiment is biased toward positive</w:t>
      </w:r>
    </w:p>
    <w:p>
      <w:pPr>
        <w:spacing w:after="120" w:before="0"/>
        <w:jc w:val="both"/>
      </w:pPr>
      <w:r>
        <w:rPr>
          <w:rFonts w:ascii="Arial" w:cs="Arial" w:eastAsia="Arial" w:hAnsi="Arial"/>
          <w:color w:val="1A1A2E"/>
          <w:sz w:val="22"/>
          <w:szCs w:val="22"/>
        </w:rPr>
        <w:t xml:space="preserve">Impact: </w:t>
      </w:r>
      <w:r>
        <w:rPr>
          <w:rFonts w:ascii="Arial" w:cs="Arial" w:eastAsia="Arial" w:hAnsi="Arial"/>
          <w:b/>
          <w:bCs/>
          <w:color w:val="1A1A2E"/>
          <w:sz w:val="22"/>
          <w:szCs w:val="22"/>
        </w:rPr>
        <w:t xml:space="preserve">IAB25 Paris sentiment cannot be directly compared to Athens sentiment (0.679 vs 0.501 mean gap is linguistically artefactual).</w:t>
      </w:r>
    </w:p>
    <w:p>
      <w:pPr>
        <w:spacing w:after="120" w:before="0"/>
        <w:jc w:val="both"/>
      </w:pPr>
      <w:r>
        <w:rPr>
          <w:rFonts w:ascii="Arial" w:cs="Arial" w:eastAsia="Arial" w:hAnsi="Arial"/>
          <w:color w:val="1A1A2E"/>
          <w:sz w:val="22"/>
          <w:szCs w:val="22"/>
        </w:rPr>
        <w:t xml:space="preserve">Why retained: </w:t>
      </w:r>
      <w:r>
        <w:rPr>
          <w:rFonts w:ascii="Arial" w:cs="Arial" w:eastAsia="Arial" w:hAnsi="Arial"/>
          <w:b/>
          <w:bCs/>
          <w:color w:val="1A1A2E"/>
          <w:sz w:val="22"/>
          <w:szCs w:val="22"/>
        </w:rPr>
        <w:t xml:space="preserve">Within-Paris, the VADER bias is consistent across listings, so relative sentiment ranking between Paris listings is valid. The host persona agent uses sentiment for within-city listing benchmarking, not cross-city comparison.</w:t>
      </w:r>
    </w:p>
    <w:p>
      <w:pPr>
        <w:spacing w:after="120" w:before="0"/>
        <w:jc w:val="both"/>
      </w:pPr>
      <w:r>
        <w:rPr>
          <w:rFonts w:ascii="Arial" w:cs="Arial" w:eastAsia="Arial" w:hAnsi="Arial"/>
          <w:color w:val="1A1A2E"/>
          <w:sz w:val="22"/>
          <w:szCs w:val="22"/>
        </w:rPr>
        <w:t xml:space="preserve">Mitigation: </w:t>
      </w:r>
      <w:r>
        <w:rPr>
          <w:rFonts w:ascii="Arial" w:cs="Arial" w:eastAsia="Arial" w:hAnsi="Arial"/>
          <w:b/>
          <w:bCs/>
          <w:color w:val="1A1A2E"/>
          <w:sz w:val="22"/>
          <w:szCs w:val="22"/>
        </w:rPr>
        <w:t xml:space="preserve">sentiment_city_comparable = 0 for all IAB25 Paris rows and all Maven rows. Only Athens rows (sentiment_city_comparable = 1) should be used for cross-city sentiment analysis.</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Limitation 4: review_growth_24_25 has 2,023 Athens nulls</w:t>
      </w:r>
    </w:p>
    <w:p>
      <w:pPr>
        <w:spacing w:after="120" w:before="0"/>
        <w:jc w:val="both"/>
      </w:pPr>
      <w:r>
        <w:rPr>
          <w:rFonts w:ascii="Arial" w:cs="Arial" w:eastAsia="Arial" w:hAnsi="Arial"/>
          <w:color w:val="1A1A2E"/>
          <w:sz w:val="22"/>
          <w:szCs w:val="22"/>
        </w:rPr>
        <w:t xml:space="preserve">Impact: </w:t>
      </w:r>
      <w:r>
        <w:rPr>
          <w:rFonts w:ascii="Arial" w:cs="Arial" w:eastAsia="Arial" w:hAnsi="Arial"/>
          <w:b/>
          <w:bCs/>
          <w:color w:val="1A1A2E"/>
          <w:sz w:val="22"/>
          <w:szCs w:val="22"/>
        </w:rPr>
        <w:t xml:space="preserve">These Athens listings have no reviews in 2024, so the 2024→2025 growth rate cannot be computed.</w:t>
      </w:r>
    </w:p>
    <w:p>
      <w:pPr>
        <w:spacing w:after="120" w:before="0"/>
        <w:jc w:val="both"/>
      </w:pPr>
      <w:r>
        <w:rPr>
          <w:rFonts w:ascii="Arial" w:cs="Arial" w:eastAsia="Arial" w:hAnsi="Arial"/>
          <w:color w:val="1A1A2E"/>
          <w:sz w:val="22"/>
          <w:szCs w:val="22"/>
        </w:rPr>
        <w:t xml:space="preserve">Why retained: </w:t>
      </w:r>
      <w:r>
        <w:rPr>
          <w:rFonts w:ascii="Arial" w:cs="Arial" w:eastAsia="Arial" w:hAnsi="Arial"/>
          <w:b/>
          <w:bCs/>
          <w:color w:val="1A1A2E"/>
          <w:sz w:val="22"/>
          <w:szCs w:val="22"/>
        </w:rPr>
        <w:t xml:space="preserve">These listings are genuinely new or dormant. The null is not a data error — it is a real state.</w:t>
      </w:r>
    </w:p>
    <w:p>
      <w:pPr>
        <w:spacing w:after="120" w:before="0"/>
        <w:jc w:val="both"/>
      </w:pPr>
      <w:r>
        <w:rPr>
          <w:rFonts w:ascii="Arial" w:cs="Arial" w:eastAsia="Arial" w:hAnsi="Arial"/>
          <w:color w:val="1A1A2E"/>
          <w:sz w:val="22"/>
          <w:szCs w:val="22"/>
        </w:rPr>
        <w:t xml:space="preserve">Mitigation: </w:t>
      </w:r>
      <w:r>
        <w:rPr>
          <w:rFonts w:ascii="Arial" w:cs="Arial" w:eastAsia="Arial" w:hAnsi="Arial"/>
          <w:b/>
          <w:bCs/>
          <w:color w:val="1A1A2E"/>
          <w:sz w:val="22"/>
          <w:szCs w:val="22"/>
        </w:rPr>
        <w:t xml:space="preserve">LightGBM handles NaN natively via surrogate splits and does not require imputation for tree-based models. The null population is small (14.2% of Athens rows) and not structurally biased.</w:t>
      </w:r>
    </w:p>
    <w:p>
      <w:pPr>
        <w:spacing w:after="8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1A1A2E"/>
          <w:sz w:val="22"/>
          <w:szCs w:val="22"/>
        </w:rPr>
        <w:t xml:space="preserve">Limitation 5: dist_km and dist_zone_encoded are highly collinear (r = −0.92)</w:t>
      </w:r>
    </w:p>
    <w:p>
      <w:pPr>
        <w:spacing w:after="120" w:before="0"/>
        <w:jc w:val="both"/>
      </w:pPr>
      <w:r>
        <w:rPr>
          <w:rFonts w:ascii="Arial" w:cs="Arial" w:eastAsia="Arial" w:hAnsi="Arial"/>
          <w:color w:val="1A1A2E"/>
          <w:sz w:val="22"/>
          <w:szCs w:val="22"/>
        </w:rPr>
        <w:t xml:space="preserve">Impact: </w:t>
      </w:r>
      <w:r>
        <w:rPr>
          <w:rFonts w:ascii="Arial" w:cs="Arial" w:eastAsia="Arial" w:hAnsi="Arial"/>
          <w:b/>
          <w:bCs/>
          <w:color w:val="1A1A2E"/>
          <w:sz w:val="22"/>
          <w:szCs w:val="22"/>
        </w:rPr>
        <w:t xml:space="preserve">Using both simultaneously in XGBoost would split feature importance between two near-identical signals, making SHAP explanations harder to interpret.</w:t>
      </w:r>
    </w:p>
    <w:p>
      <w:pPr>
        <w:spacing w:after="120" w:before="0"/>
        <w:jc w:val="both"/>
      </w:pPr>
      <w:r>
        <w:rPr>
          <w:rFonts w:ascii="Arial" w:cs="Arial" w:eastAsia="Arial" w:hAnsi="Arial"/>
          <w:color w:val="1A1A2E"/>
          <w:sz w:val="22"/>
          <w:szCs w:val="22"/>
        </w:rPr>
        <w:t xml:space="preserve">Why retained: </w:t>
      </w:r>
      <w:r>
        <w:rPr>
          <w:rFonts w:ascii="Arial" w:cs="Arial" w:eastAsia="Arial" w:hAnsi="Arial"/>
          <w:b/>
          <w:bCs/>
          <w:color w:val="1A1A2E"/>
          <w:sz w:val="22"/>
          <w:szCs w:val="22"/>
        </w:rPr>
        <w:t xml:space="preserve">dist_zone_encoded is retained in the dataset because it is useful for categorical analysis and neighbourhood stats joins.</w:t>
      </w:r>
    </w:p>
    <w:p>
      <w:pPr>
        <w:spacing w:after="120" w:before="0"/>
        <w:jc w:val="both"/>
      </w:pPr>
      <w:r>
        <w:rPr>
          <w:rFonts w:ascii="Arial" w:cs="Arial" w:eastAsia="Arial" w:hAnsi="Arial"/>
          <w:color w:val="1A1A2E"/>
          <w:sz w:val="22"/>
          <w:szCs w:val="22"/>
        </w:rPr>
        <w:t xml:space="preserve">Mitigation: </w:t>
      </w:r>
      <w:r>
        <w:rPr>
          <w:rFonts w:ascii="Arial" w:cs="Arial" w:eastAsia="Arial" w:hAnsi="Arial"/>
          <w:b/>
          <w:bCs/>
          <w:color w:val="1A1A2E"/>
          <w:sz w:val="22"/>
          <w:szCs w:val="22"/>
        </w:rPr>
        <w:t xml:space="preserve">The XGBoost feature list in the modelling phase uses dist_km only. dist_zone_encoded is excluded from model training.</w:t>
      </w:r>
    </w:p>
    <w:p>
      <w:pPr>
        <w:pBdr>
          <w:bottom w:val="single" w:color="00338D" w:sz="6" w:space="1"/>
        </w:pBdr>
        <w:spacing w:after="120" w:before="120"/>
      </w:pPr>
      <w:r>
        <w:t xml:space="preserve"> </w:t>
      </w:r>
    </w:p>
    <w:p>
      <w:pPr>
        <w:pStyle w:val="Heading1"/>
        <w:spacing w:after="160" w:before="360"/>
      </w:pPr>
      <w:r>
        <w:rPr>
          <w:rFonts w:ascii="Arial" w:cs="Arial" w:eastAsia="Arial" w:hAnsi="Arial"/>
          <w:b/>
          <w:bCs/>
          <w:color w:val="00338D"/>
          <w:sz w:val="32"/>
          <w:szCs w:val="32"/>
        </w:rPr>
        <w:t xml:space="preserve">6. Column Reference — All 96 Columns</w:t>
      </w:r>
    </w:p>
    <w:p>
      <w:pPr>
        <w:spacing w:after="120" w:before="0"/>
        <w:jc w:val="both"/>
      </w:pPr>
      <w:r>
        <w:rPr>
          <w:rFonts w:ascii="Arial" w:cs="Arial" w:eastAsia="Arial" w:hAnsi="Arial"/>
          <w:color w:val="1A1A2E"/>
          <w:sz w:val="22"/>
          <w:szCs w:val="22"/>
        </w:rPr>
        <w:t xml:space="preserve">The following table documents every column in aria_mega_dataset_v4_1_final.csv: its data type, the source(s) it comes from, and its purpose in the ARIA system.</w:t>
      </w:r>
    </w:p>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900"/>
        <w:gridCol w:w="1800"/>
        <w:gridCol w:w="4140"/>
      </w:tblGrid>
      <w:tr>
        <w:trPr>
          <w:tblHeader/>
        </w:trPr>
        <w:tc>
          <w:tcPr>
            <w:tcW w:type="dxa" w:w="2520"/>
            <w:tcBorders>
              <w:top w:val="single" w:color="D1D5DB" w:sz="1"/>
              <w:left w:val="single" w:color="D1D5DB" w:sz="1"/>
              <w:bottom w:val="single" w:color="D1D5DB" w:sz="1"/>
              <w:right w:val="single" w:color="D1D5DB"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 name</w:t>
            </w:r>
          </w:p>
        </w:tc>
        <w:tc>
          <w:tcPr>
            <w:tcW w:type="dxa" w:w="900"/>
            <w:tcBorders>
              <w:top w:val="single" w:color="D1D5DB" w:sz="1"/>
              <w:left w:val="single" w:color="D1D5DB" w:sz="1"/>
              <w:bottom w:val="single" w:color="D1D5DB" w:sz="1"/>
              <w:right w:val="single" w:color="D1D5DB"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1800"/>
            <w:tcBorders>
              <w:top w:val="single" w:color="D1D5DB" w:sz="1"/>
              <w:left w:val="single" w:color="D1D5DB" w:sz="1"/>
              <w:bottom w:val="single" w:color="D1D5DB" w:sz="1"/>
              <w:right w:val="single" w:color="D1D5DB"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Source(s)</w:t>
            </w:r>
          </w:p>
        </w:tc>
        <w:tc>
          <w:tcPr>
            <w:tcW w:type="dxa" w:w="4140"/>
            <w:tcBorders>
              <w:top w:val="single" w:color="D1D5DB" w:sz="1"/>
              <w:left w:val="single" w:color="D1D5DB" w:sz="1"/>
              <w:bottom w:val="single" w:color="D1D5DB" w:sz="1"/>
              <w:right w:val="single" w:color="D1D5DB"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listing_id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Unique listing identifier. Used to join sources and detect duplicates.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city</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'paris' or 'athens'. Primary filter for all city-specific analysis.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source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Data origin: 'maven', 'inside_airbnb', or 'inside_airbnb_paris_2025'.</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listing_name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Listing title as displayed on Airbnb. Used by listing coach agent.</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neighbourhood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Administrative neighbourhood name. Joins to neighbourhood stats files.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district</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Maven</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Paris arrondissement district group. Sparse; neighbourhood is preferred.</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latitude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GPS latitude. Used for Haversine computation and Folium map.</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longitude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GPS longitude. Used for Haversine computation and Folium map.</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dist_km</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Haversine distance to city centre (km). Notre-Dame for Paris, Syntagma for Athens. Top XGBoost feature for Athens.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dist_zone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4-bucket categorical: centre_0_1km / near_1_3km / mid_3_5km / far_5km_plus.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dist_zone_encoded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Ordinal encoding: far=0, mid=1, near=2, centre=3. Not used in XGBoost (collinear with dist_km).</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host_id</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Host unique identifier. Used to detect multi-listing hosts.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host_since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Date host joined Airbnb. Used to compute host_tenure_days.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host_tenure_days</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Days on platform as of scrape date. XGBoost feature and risk signal.</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host_is_superhost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bool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Raw boolean superhost status from source.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is_superhost_int</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int(host_is_superhost). ML-compatible binary feature.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host_response_time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Maven, IAB</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Response time category. Not used in ML (high null rate).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host_response_rate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Maven, IAB</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Fraction of requests responded to (0–1). Not used as ML feature.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host_acceptance_rate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Maven, IAB</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Fraction of requests accepted (0–1). Not used as ML feature.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host_total_listings_count</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Total platform listings by host (calculated version from IAB).</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host_multi_listing</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1 if host_total_listings_count &gt; 1. Strong pricing and risk feature.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host_has_profile_pic</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1 if host has a profile photo. Minor quality signal.</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host_identity_verified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bool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Maven, IAB</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True if host identity verified by Airbnb platform.</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host_type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Engineered label: casual / semi_professional / professional.</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property_type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Raw Airbnb property type string (e.g. 'Entire rental unit').</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room_type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Room type: Entire home/apt / Private room / Shared room / Hotel room.</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room_type_encoded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Ordinal: Shared=0, Private=1, Hotel=2, Entire=3. XGBoost feature.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is_entire_home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1 if Entire home/apt. Engineered binary for analytical clarity.</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person_capacity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Maximum guests. Top XGBoost feature for Paris (rho=+0.522).</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bedrooms</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Bedrooms. Null in original Maven filled with 1 (studio assumption).</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capacity_per_bedroom</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person_capacity / max(bedrooms,1). Density proxy. XGBoost feature.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beds</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Number of beds. Filled from bedrooms for Maven rows.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amenity_count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Count of amenities from amenities_raw string. XGBoost feature.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minimum_nights</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Minimum booking length in nights.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maximum_nights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Maximum booking length in nights.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instant_bookable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bool</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True if listing can be booked without host pre-approval.</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instant_bookable_int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int(instant_bookable). ML-compatible binary.</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price_eur</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Nightly price in EUR. Maven: observed. IAB Athens: observed. IAB25 Paris: estimated (see price_eur_estimated).</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log_price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log1p(price_eur). XGBoost regression target. Corrects right skew.</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availability_30</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Days available in next 30 days. Do not use in XGBoost (r=0.94 with _60).</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availability_60</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Days available in next 60 days. Do not use in XGBoost (collinear).</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availability_90</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Days available in next 90 days. Do not use in XGBoost (collinear).</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availability_365</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Days available in next 365 days. Use this one in XGBoost if needed.</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availability_pressure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365 minus availability_365. Booked-days proxy (Wang et al. 2024).</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number_of_reviews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Total lifetime reviews for listing.</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number_of_reviews_ltm</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Reviews in the last twelve months.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review_velocity_l30d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Reviews received in last 30 days. Primary LightGBM risk feature.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reviews_per_month</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Average monthly review rate.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reviews_2024</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Review count in 2024. Used to compute review_growth_24_25.</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reviews_2025</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Review count in 2025. Used to compute review_growth_24_25.</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review_growth_24_25</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(reviews_2025 - reviews_2024) / reviews_2024. Demand momentum signal.</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review_scores_rating</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Overall rating. Maven: 0–100. IAB: 0–5. Use review_scores_rating_norm for comparisons.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review_scores_rating_norm</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Rating normalised to 0–1. Comparable across all sources and cities.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review_scores_accuracy</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Accuracy sub-score. Maven: 0–10. IAB: 0–5.</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review_scores_cleanliness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Cleanliness sub-score.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review_scores_checkin</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Check-in experience sub-score.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review_scores_communication</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Host communication sub-score.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review_scores_location</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Location sub-score.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review_scores_value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Value for money sub-score.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review_score_composite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Mean of all 7 dimensions, normalised to 0–10 scale. Comparable across all cities.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estimated_occupancy_l365d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Inside Airbnb model: estimated occupied days in last 365 days. Max = 255 (IAB hard cap = 70% of 365). Prophet training input.</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estimated_revenue_l365d</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Inside Airbnb model estimate (Athens) or price_estimated x occupancy (Paris). See revenue_source.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at_risk_host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Athens</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Heuristic risk label: 1 = host shows at-risk signals. LightGBM binary target. Athens only.</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license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Athens</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AMA registration number. 137 nulls = unlicensed Athens listings. RAG compliance agent input.</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kaggle_median_dist_km</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Median distance to centre from Kaggle Athens listings in same dist_zone.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kaggle_median_metro_dist_km</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Median metro station distance by zone. XGBoost feature.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kaggle_median_attraction_norm</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Normalised tourist attraction proximity (0–100) by zone.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kaggle_median_restaurant_norm</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Normalised restaurant proximity (0–100) by zone.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kaggle_median_lifestyle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Mean of attraction_norm and restaurant_norm. Composite zone desirability score. Top XGBoost feature for Athens.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kaggle_median_satisfaction</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Median guest satisfaction score from Kaggle by zone.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kaggle_median_cleanliness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Median cleanliness score from Kaggle by zone.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weekend_premium_pct</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Estimated weekend price premium (%) for listing's dist_zone, from Kaggle weekday/weekend split.</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amenities_raw</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Raw JSON amenity string from listing. Required by GPT-4o listing coach agent.</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listing_sentiment_score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VADER compound score averaged across up to 20 most recent reviews. -1 to +1.</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has_sentiment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1 if listing_sentiment_score is not null. Orchestrator routing flag.</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has_occupancy</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1 if estimated_occupancy_l365d is not null. Orchestrator routing flag.</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has_revenue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1 if estimated_revenue_l365d is not null. Orchestrator routing flag.</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original_row_source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Tracks original source before integration for audit.</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enrichment_source_paris_iab_2025</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Maven</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Identifies which Maven rows were enriched by IAB25 data.</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paris_iab_2025_overlap</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Maven</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1 if this Maven row also appeared in IAB25 (used for enrichment).</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source_vintage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Year of data snapshot: '2021' for Maven, '2025' for IAB sources.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number_of_reviews_l30d</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Reviews in last 30 days (IAB column name variant of review_velocity_l30d).</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number_of_reviews_ly</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Reviews in last year.</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calculated_host_listings_count</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Retained for reference; host_total_listings_count is the canonical version.</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availability_365_calendar</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Availability from calendar file (vs. listing field). Cross-validation reference.</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availability_30_calendar</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Calendar-derived 30-day availability.</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availability_60_calendar</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Calendar-derived 60-day availability.</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availability_90_calendar</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IAB25</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Calendar-derived 90-day availability.</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estimated_occupancy_l365d_calendar_proxy</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Occupancy estimated from calendar availability. Alternative Prophet input.</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price_eur_estimated</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0 = observed price. 1 = estimated from Maven neighbourhood medians. Binary, zero nulls.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price_source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Text description of how price_eur was obtained for each row.</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revenue_source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str</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Text description of how estimated_revenue_l365d was obtained for each row.</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host_risk_score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float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IAB, IAB25</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Continuous 0–1 risk score. Athens: equals at_risk_host. IAB25 Paris: derived from host behaviour signals.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xgb_price_training_eligible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1 for the 77,762 rows with observed prices. XGBoost trains only on these rows.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0338D"/>
                <w:sz w:val="17"/>
                <w:szCs w:val="17"/>
              </w:rPr>
              <w:t xml:space="preserve">prophet_training_eligible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1 for the 53,639 rows with occupancy &gt; 0. Prophet trains only on these rows.</w:t>
            </w:r>
          </w:p>
        </w:tc>
      </w:tr>
      <w:tr>
        <w:tc>
          <w:tcPr>
            <w:tcW w:type="dxa" w:w="252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00338D"/>
                <w:sz w:val="17"/>
                <w:szCs w:val="17"/>
              </w:rPr>
              <w:t xml:space="preserve">sentiment_city_comparable</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color w:val="1A1A2E"/>
                <w:sz w:val="17"/>
                <w:szCs w:val="17"/>
              </w:rPr>
              <w:t xml:space="preserve">int</w:t>
            </w:r>
          </w:p>
        </w:tc>
        <w:tc>
          <w:tcPr>
            <w:tcW w:type="dxa" w:w="1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All</w:t>
            </w:r>
          </w:p>
        </w:tc>
        <w:tc>
          <w:tcPr>
            <w:tcW w:type="dxa" w:w="414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1 for the 14,242 Athens IAB rows only. Only these rows support cross-city sentiment benchmarking.</w:t>
            </w:r>
          </w:p>
        </w:tc>
      </w:tr>
    </w:tbl>
    <w:p>
      <w:pPr>
        <w:pBdr>
          <w:bottom w:val="single" w:color="00338D" w:sz="6" w:space="1"/>
        </w:pBdr>
        <w:spacing w:after="120" w:before="120"/>
      </w:pPr>
      <w:r>
        <w:t xml:space="preserve"> </w:t>
      </w:r>
    </w:p>
    <w:p>
      <w:pPr>
        <w:pStyle w:val="Heading1"/>
        <w:spacing w:after="160" w:before="360"/>
      </w:pPr>
      <w:r>
        <w:rPr>
          <w:rFonts w:ascii="Arial" w:cs="Arial" w:eastAsia="Arial" w:hAnsi="Arial"/>
          <w:b/>
          <w:bCs/>
          <w:color w:val="00338D"/>
          <w:sz w:val="32"/>
          <w:szCs w:val="32"/>
        </w:rPr>
        <w:t xml:space="preserve">7. How This Dataset Will Be Used</w:t>
      </w:r>
    </w:p>
    <w:p>
      <w:pPr>
        <w:spacing w:after="120" w:before="0"/>
        <w:jc w:val="both"/>
      </w:pPr>
      <w:r>
        <w:rPr>
          <w:rFonts w:ascii="Arial" w:cs="Arial" w:eastAsia="Arial" w:hAnsi="Arial"/>
          <w:color w:val="1A1A2E"/>
          <w:sz w:val="22"/>
          <w:szCs w:val="22"/>
        </w:rPr>
        <w:t xml:space="preserve">The ARIA mega dataset is the single source of truth for all three machine learning models and all five AI agents in the ARIA system. The routing flags added in the v4.1 patch ensure each model draws from precisely the right subset of data.</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7.1 XGBoost Price Predictor (Investor + Host Personas)</w:t>
      </w:r>
    </w:p>
    <w:p>
      <w:pPr>
        <w:spacing w:after="120" w:before="0"/>
        <w:jc w:val="both"/>
      </w:pPr>
      <w:r>
        <w:rPr>
          <w:rFonts w:ascii="Arial" w:cs="Arial" w:eastAsia="Arial" w:hAnsi="Arial"/>
          <w:color w:val="1A1A2E"/>
          <w:sz w:val="22"/>
          <w:szCs w:val="22"/>
        </w:rPr>
        <w:t xml:space="preserve">Training set: rows where xgb_price_training_eligible = 1 (77,762 rows: 63,520 Maven Paris + 14,242 Athens IAB). Target variable: log_price. Feature set: dist_km, room_type_encoded, person_capacity, bedrooms, capacity_per_bedroom, is_superhost_int, host_multi_listing, amenity_count, review_score_composite, kaggle_median_lifestyle, kaggle_median_metro_dist_km. Models are trained separately per city because the Athens distance effect is 2.8 times stronger than Paris (rho = −0.473 vs −0.171). Outputs: predicted price in EUR (after expm1 back-transformation), SHAP explanation in natural language for the investor brief and host revenue action brief.</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7.2 LightGBM Host Risk Classifier (Investor + Developer Personas)</w:t>
      </w:r>
    </w:p>
    <w:p>
      <w:pPr>
        <w:spacing w:after="120" w:before="0"/>
        <w:jc w:val="both"/>
      </w:pPr>
      <w:r>
        <w:rPr>
          <w:rFonts w:ascii="Arial" w:cs="Arial" w:eastAsia="Arial" w:hAnsi="Arial"/>
          <w:color w:val="1A1A2E"/>
          <w:sz w:val="22"/>
          <w:szCs w:val="22"/>
        </w:rPr>
        <w:t xml:space="preserve">Training set: Athens rows only (14,242 rows). Target variable: at_risk_host (binary, 56.8% positive). Feature set: is_superhost_int, host_multi_listing, review_scores_rating_norm, review_score_composite, review_velocity_l30d, availability_pressure, amenity_count, host_tenure_days, review_growth_24_25. Outputs: risk_score (continuous 0–1 probability), aggregated to neighbourhood level for the Folium opportunity heatmap and the developer site selection brief.</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7.3 Prophet Demand Forecaster (Investor + Developer Personas)</w:t>
      </w:r>
    </w:p>
    <w:p>
      <w:pPr>
        <w:spacing w:after="120" w:before="0"/>
        <w:jc w:val="both"/>
      </w:pPr>
      <w:r>
        <w:rPr>
          <w:rFonts w:ascii="Arial" w:cs="Arial" w:eastAsia="Arial" w:hAnsi="Arial"/>
          <w:color w:val="1A1A2E"/>
          <w:sz w:val="22"/>
          <w:szCs w:val="22"/>
        </w:rPr>
        <w:t xml:space="preserve">Training set: rows where prophet_training_eligible = 1 (53,639 rows). Two timeseries inputs: athens_calendar_monthly.csv (13 monthly occupancy records aggregated from 5,688,168 calendar rows) and monthly review volume timeseries from the reviews files. Outputs: 12-month demand forecast with base, optimistic, and downside scenarios. Athens has current-vintage data enabling high-confidence forecasts. Paris Prophet forecasts carry wider confidence intervals due to the Maven 2021 vintage gap and are presented as directional.</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7.4 RAG Compliance Agent</w:t>
      </w:r>
    </w:p>
    <w:p>
      <w:pPr>
        <w:spacing w:after="120" w:before="0"/>
        <w:jc w:val="both"/>
      </w:pPr>
      <w:r>
        <w:rPr>
          <w:rFonts w:ascii="Arial" w:cs="Arial" w:eastAsia="Arial" w:hAnsi="Arial"/>
          <w:color w:val="1A1A2E"/>
          <w:sz w:val="22"/>
          <w:szCs w:val="22"/>
        </w:rPr>
        <w:t xml:space="preserve">Input: the license column (Athens AMA registration status) and indexed regulation documents for Paris (Loi Le Meur 2024, 90-night cap, SIRET registration requirements) and Athens (AMA system, central district registration freeze effective 31 December 2024, October 2025 safety standards). The agent answers plain-language compliance questions and cites the specific regulatory text retrieved.</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7.5 Host Intelligence Agent (Host Persona)</w:t>
      </w:r>
    </w:p>
    <w:p>
      <w:pPr>
        <w:spacing w:after="120" w:before="0"/>
        <w:jc w:val="both"/>
      </w:pPr>
      <w:r>
        <w:rPr>
          <w:rFonts w:ascii="Arial" w:cs="Arial" w:eastAsia="Arial" w:hAnsi="Arial"/>
          <w:color w:val="1A1A2E"/>
          <w:sz w:val="22"/>
          <w:szCs w:val="22"/>
        </w:rPr>
        <w:t xml:space="preserve">Input: amenities_raw (for GPT-4o listing rewrite), listing_sentiment_score (within-city benchmarking), price_eur vs neighbourhood median (underpricing gap analysis). 5,159 Athens listings (36.2%) are priced more than €10 below their neighbourhood median — the primary target segment for revenue optimisation recommendations.</w:t>
      </w:r>
    </w:p>
    <w:p>
      <w:pPr>
        <w:spacing w:after="80" w:before="0"/>
      </w:pPr>
      <w:r>
        <w:rPr>
          <w:rFonts w:ascii="Arial" w:cs="Arial" w:eastAsia="Arial" w:hAnsi="Arial"/>
          <w:sz w:val="22"/>
          <w:szCs w:val="22"/>
        </w:rPr>
        <w:t xml:space="preserve"> </w:t>
      </w:r>
    </w:p>
    <w:p>
      <w:pPr>
        <w:pStyle w:val="Heading2"/>
        <w:pBdr>
          <w:bottom w:val="single" w:color="00338D" w:sz="4" w:space="1"/>
        </w:pBdr>
        <w:spacing w:after="120" w:before="280"/>
      </w:pPr>
      <w:r>
        <w:rPr>
          <w:rFonts w:ascii="Arial" w:cs="Arial" w:eastAsia="Arial" w:hAnsi="Arial"/>
          <w:b/>
          <w:bCs/>
          <w:color w:val="1A1A2E"/>
          <w:sz w:val="26"/>
          <w:szCs w:val="26"/>
        </w:rPr>
        <w:t xml:space="preserve">7.6 STR Market Entry Advisor (Developer Persona)</w:t>
      </w:r>
    </w:p>
    <w:p>
      <w:pPr>
        <w:spacing w:after="120" w:before="0"/>
        <w:jc w:val="both"/>
      </w:pPr>
      <w:r>
        <w:rPr>
          <w:rFonts w:ascii="Arial" w:cs="Arial" w:eastAsia="Arial" w:hAnsi="Arial"/>
          <w:color w:val="1A1A2E"/>
          <w:sz w:val="22"/>
          <w:szCs w:val="22"/>
        </w:rPr>
        <w:t xml:space="preserve">Input: neighbourhood_stats_athens_v4.csv and neighbourhood_stats_paris_v4.csv. Ranking metric: opportunity_score = 0.40 × norm(mean_revenue) + 0.35 × norm(supply_demand_imbalance) + 0.25 × (1 − norm(pct_at_risk)). Athens top neighbourhood: ΖΑΠΠΕΙΟ (score = 0.955). Paris top neighbourhood: Hôtel-de-Ville (score = 0.857, noting that Paris scores are directional due to estimated price compression). The agent produces a ranked site selection brief identifying the development opportunity, competitive saturation, and regulatory risk for each target area.</w:t>
      </w:r>
    </w:p>
    <w:p>
      <w:pPr>
        <w:pBdr>
          <w:bottom w:val="single" w:color="00338D" w:sz="6" w:space="1"/>
        </w:pBdr>
        <w:spacing w:after="120" w:before="120"/>
      </w:pPr>
      <w:r>
        <w:t xml:space="preserve"> </w:t>
      </w:r>
    </w:p>
    <w:p>
      <w:pPr>
        <w:pStyle w:val="Heading1"/>
        <w:spacing w:after="160" w:before="360"/>
      </w:pPr>
      <w:r>
        <w:rPr>
          <w:rFonts w:ascii="Arial" w:cs="Arial" w:eastAsia="Arial" w:hAnsi="Arial"/>
          <w:b/>
          <w:bCs/>
          <w:color w:val="00338D"/>
          <w:sz w:val="32"/>
          <w:szCs w:val="32"/>
        </w:rPr>
        <w:t xml:space="preserve">8. File Reference</w:t>
      </w:r>
    </w:p>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rPr>
          <w:tblHeader/>
        </w:trPr>
        <w:tc>
          <w:tcPr>
            <w:tcW w:type="dxa" w:w="3600"/>
            <w:tcBorders>
              <w:top w:val="single" w:color="D1D5DB" w:sz="1"/>
              <w:left w:val="single" w:color="D1D5DB" w:sz="1"/>
              <w:bottom w:val="single" w:color="D1D5DB" w:sz="1"/>
              <w:right w:val="single" w:color="D1D5DB"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Filename</w:t>
            </w:r>
          </w:p>
        </w:tc>
        <w:tc>
          <w:tcPr>
            <w:tcW w:type="dxa" w:w="900"/>
            <w:tcBorders>
              <w:top w:val="single" w:color="D1D5DB" w:sz="1"/>
              <w:left w:val="single" w:color="D1D5DB" w:sz="1"/>
              <w:bottom w:val="single" w:color="D1D5DB" w:sz="1"/>
              <w:right w:val="single" w:color="D1D5DB"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Size</w:t>
            </w:r>
          </w:p>
        </w:tc>
        <w:tc>
          <w:tcPr>
            <w:tcW w:type="dxa" w:w="4860"/>
            <w:tcBorders>
              <w:top w:val="single" w:color="D1D5DB" w:sz="1"/>
              <w:left w:val="single" w:color="D1D5DB" w:sz="1"/>
              <w:bottom w:val="single" w:color="D1D5DB" w:sz="1"/>
              <w:right w:val="single" w:color="D1D5DB"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aria_mega_dataset_v4_1_final.csv</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141MB</w:t>
            </w:r>
          </w:p>
        </w:tc>
        <w:tc>
          <w:tcPr>
            <w:tcW w:type="dxa" w:w="4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Primary dataset. 135,051 rows x 96 columns. All cleaning and engineering applied.</w:t>
            </w:r>
          </w:p>
        </w:tc>
      </w:tr>
      <w:tr>
        <w:tc>
          <w:tcPr>
            <w:tcW w:type="dxa" w:w="36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neighbourhood_stats_athens_v4.csv</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18KB</w:t>
            </w:r>
          </w:p>
        </w:tc>
        <w:tc>
          <w:tcPr>
            <w:tcW w:type="dxa" w:w="48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44 Athens neighbourhood aggregates with developer opportunity scores and price_confidence flag.</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neighbourhood_stats_paris_v4.csv</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12KB</w:t>
            </w:r>
          </w:p>
        </w:tc>
        <w:tc>
          <w:tcPr>
            <w:tcW w:type="dxa" w:w="4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26 Paris neighbourhood aggregates with developer opportunity scores and price_confidence flag.</w:t>
            </w:r>
          </w:p>
        </w:tc>
      </w:tr>
      <w:tr>
        <w:tc>
          <w:tcPr>
            <w:tcW w:type="dxa" w:w="36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neighbourhood_stats_combined_v4.csv</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29KB</w:t>
            </w:r>
          </w:p>
        </w:tc>
        <w:tc>
          <w:tcPr>
            <w:tcW w:type="dxa" w:w="48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Athens and Paris combined. Use for cross-city neighbourhood comparisons.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athens_calendar_monthly.csv</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2KB</w:t>
            </w:r>
          </w:p>
        </w:tc>
        <w:tc>
          <w:tcPr>
            <w:tcW w:type="dxa" w:w="4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13 monthly occupancy records (Sept 2025 – Sept 2026). Prophet input for Athens.</w:t>
            </w:r>
          </w:p>
        </w:tc>
      </w:tr>
      <w:tr>
        <w:tc>
          <w:tcPr>
            <w:tcW w:type="dxa" w:w="36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athens_monthly_reviews.csv</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4KB</w:t>
            </w:r>
          </w:p>
        </w:tc>
        <w:tc>
          <w:tcPr>
            <w:tcW w:type="dxa" w:w="48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172 months of Athens review volume (2010–2025). Historical demand timeseries.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paris_monthly_reviews.csv</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3KB</w:t>
            </w:r>
          </w:p>
        </w:tc>
        <w:tc>
          <w:tcPr>
            <w:tcW w:type="dxa" w:w="4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140 months of Paris review volume (2009–2021). Historical demand timeseries.</w:t>
            </w:r>
          </w:p>
        </w:tc>
      </w:tr>
      <w:tr>
        <w:tc>
          <w:tcPr>
            <w:tcW w:type="dxa" w:w="36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01_data_pipeline_v2.py</w:t>
            </w:r>
          </w:p>
        </w:tc>
        <w:tc>
          <w:tcPr>
            <w:tcW w:type="dxa" w:w="9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374151"/>
                <w:sz w:val="17"/>
                <w:szCs w:val="17"/>
              </w:rPr>
              <w:t xml:space="preserve">56KB</w:t>
            </w:r>
          </w:p>
        </w:tc>
        <w:tc>
          <w:tcPr>
            <w:tcW w:type="dxa" w:w="48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color w:val="1A1A2E"/>
                <w:sz w:val="17"/>
                <w:szCs w:val="17"/>
              </w:rPr>
              <w:t xml:space="preserve">Complete pipeline script. Reproducible. Run to regenerate all processed files.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bCs/>
                <w:color w:val="00338D"/>
                <w:sz w:val="17"/>
                <w:szCs w:val="17"/>
              </w:rPr>
              <w:t xml:space="preserve">ARIA_EDA_v4_FINAL.ipynb</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601KB</w:t>
            </w:r>
          </w:p>
        </w:tc>
        <w:tc>
          <w:tcPr>
            <w:tcW w:type="dxa" w:w="4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Executed EDA notebook. 9 figures embedded. All analysis based on v4.1 data.</w:t>
            </w:r>
          </w:p>
        </w:tc>
      </w:tr>
    </w:tbl>
    <w:p>
      <w:pPr>
        <w:spacing w:after="80" w:before="0"/>
      </w:pPr>
      <w:r>
        <w:rPr>
          <w:rFonts w:ascii="Arial" w:cs="Arial" w:eastAsia="Arial" w:hAnsi="Arial"/>
          <w:sz w:val="22"/>
          <w:szCs w:val="22"/>
        </w:rPr>
        <w:t xml:space="preserve"> </w:t>
      </w:r>
    </w:p>
    <w:p>
      <w:pPr>
        <w:spacing w:after="80" w:before="0"/>
      </w:pPr>
      <w:r>
        <w:rPr>
          <w:rFonts w:ascii="Arial" w:cs="Arial" w:eastAsia="Arial" w:hAnsi="Arial"/>
          <w:sz w:val="22"/>
          <w:szCs w:val="22"/>
        </w:rPr>
        <w:t xml:space="preserve"> </w:t>
      </w:r>
    </w:p>
    <w:p>
      <w:pPr>
        <w:spacing w:after="0" w:before="240"/>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360"/>
      </w:tabs>
      <w:spacing w:after="0" w:before="80"/>
    </w:pPr>
    <w:r>
      <w:rPr>
        <w:rFonts w:ascii="Arial" w:cs="Arial" w:eastAsia="Arial" w:hAnsi="Arial"/>
        <w:color w:val="6B7280"/>
        <w:sz w:val="16"/>
        <w:szCs w:val="16"/>
      </w:rPr>
      <w:t xml:space="preserve">Confidential — For academic use only</w:t>
    </w:r>
    <w:r>
      <w:rPr>
        <w:rFonts w:ascii="Arial" w:cs="Arial" w:eastAsia="Arial" w:hAnsi="Arial"/>
        <w:sz w:val="16"/>
        <w:szCs w:val="16"/>
      </w:rPr>
      <w:t xml:space="preserve">	</w:t>
    </w:r>
    <w:r>
      <w:rPr>
        <w:rFonts w:ascii="Arial" w:cs="Arial" w:eastAsia="Arial" w:hAnsi="Arial"/>
        <w:color w:val="6B72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4" w:space="1"/>
      </w:pBdr>
      <w:spacing w:after="80" w:before="0"/>
    </w:pPr>
    <w:r>
      <w:rPr>
        <w:rFonts w:ascii="Arial" w:cs="Arial" w:eastAsia="Arial" w:hAnsi="Arial"/>
        <w:b/>
        <w:bCs/>
        <w:color w:val="00338D"/>
        <w:sz w:val="18"/>
        <w:szCs w:val="18"/>
      </w:rPr>
      <w:t xml:space="preserve">ARIA Capstone 2026</w:t>
    </w:r>
    <w:r>
      <w:rPr>
        <w:rFonts w:ascii="Arial" w:cs="Arial" w:eastAsia="Arial" w:hAnsi="Arial"/>
        <w:color w:val="6B7280"/>
        <w:sz w:val="18"/>
        <w:szCs w:val="18"/>
      </w:rPr>
      <w:t xml:space="preserve">  ·  Data Methodology &amp; Reference Document</w:t>
    </w:r>
    <w:r>
      <w:rPr>
        <w:rFonts w:ascii="Arial" w:cs="Arial" w:eastAsia="Arial" w:hAnsi="Arial"/>
        <w:color w:val="6B7280"/>
        <w:sz w:val="18"/>
        <w:szCs w:val="18"/>
      </w:rPr>
      <w:t xml:space="preserve">  ·  IE Business School × KPMG Spain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38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2026-06-05T13:06:38.773Z</dcterms:created>
  <dcterms:modified xsi:type="dcterms:W3CDTF">2026-06-05T13:06:38.788Z</dcterms:modified>
</cp:coreProperties>
</file>

<file path=docProps/custom.xml><?xml version="1.0" encoding="utf-8"?>
<Properties xmlns="http://schemas.openxmlformats.org/officeDocument/2006/custom-properties" xmlns:vt="http://schemas.openxmlformats.org/officeDocument/2006/docPropsVTypes"/>
</file>