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vfiwr55rove" w:id="0"/>
      <w:bookmarkEnd w:id="0"/>
      <w:r w:rsidDel="00000000" w:rsidR="00000000" w:rsidRPr="00000000">
        <w:rPr>
          <w:rtl w:val="0"/>
        </w:rPr>
        <w:t xml:space="preserve">Section 0:</w:t>
      </w:r>
    </w:p>
    <w:p w:rsidR="00000000" w:rsidDel="00000000" w:rsidP="00000000" w:rsidRDefault="00000000" w:rsidRPr="00000000" w14:paraId="00000002">
      <w:pPr>
        <w:spacing w:after="240" w:before="240" w:lineRule="auto"/>
        <w:rPr/>
      </w:pPr>
      <w:r w:rsidDel="00000000" w:rsidR="00000000" w:rsidRPr="00000000">
        <w:rPr>
          <w:rtl w:val="0"/>
        </w:rPr>
        <w:t xml:space="preserve">The title cell uses a table to preview the nine sections with their ML purpose. A person opening this notebook who is not on the team immediately understands the logical flow and what each section is for before running anything.</w:t>
      </w:r>
    </w:p>
    <w:p w:rsidR="00000000" w:rsidDel="00000000" w:rsidP="00000000" w:rsidRDefault="00000000" w:rsidRPr="00000000" w14:paraId="00000003">
      <w:pPr>
        <w:spacing w:after="240" w:before="240" w:lineRule="auto"/>
        <w:rPr/>
      </w:pPr>
      <w:r w:rsidDel="00000000" w:rsidR="00000000" w:rsidRPr="00000000">
        <w:rPr>
          <w:rtl w:val="0"/>
        </w:rPr>
        <w:t xml:space="preserve">The setup cell is structured in five clearly separated blocks: imports, path, data loading, subsets, and style. The subset block is the most important — it creates </w:t>
      </w:r>
      <w:r w:rsidDel="00000000" w:rsidR="00000000" w:rsidRPr="00000000">
        <w:rPr>
          <w:rFonts w:ascii="Roboto Mono" w:cs="Roboto Mono" w:eastAsia="Roboto Mono" w:hAnsi="Roboto Mono"/>
          <w:color w:val="188038"/>
          <w:rtl w:val="0"/>
        </w:rPr>
        <w:t xml:space="preserve">paris_xgb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athens_xgb</w:t>
      </w:r>
      <w:r w:rsidDel="00000000" w:rsidR="00000000" w:rsidRPr="00000000">
        <w:rPr>
          <w:rtl w:val="0"/>
        </w:rPr>
        <w:t xml:space="preserve"> as Maven-only and Athens IAB-only respectively. These are the subsets that all price analysis in Sections 3, 4, 5, and 6 will use. Using them consistently prevents the contamination problem from the previous EDA where IAB25 flat prices diluted every correlation and statistic. The </w:t>
      </w:r>
      <w:r w:rsidDel="00000000" w:rsidR="00000000" w:rsidRPr="00000000">
        <w:rPr>
          <w:rFonts w:ascii="Roboto Mono" w:cs="Roboto Mono" w:eastAsia="Roboto Mono" w:hAnsi="Roboto Mono"/>
          <w:color w:val="188038"/>
          <w:rtl w:val="0"/>
        </w:rPr>
        <w:t xml:space="preserve">prophet_train</w:t>
      </w:r>
      <w:r w:rsidDel="00000000" w:rsidR="00000000" w:rsidRPr="00000000">
        <w:rPr>
          <w:rtl w:val="0"/>
        </w:rPr>
        <w:t xml:space="preserve"> subset is also created here so every Prophet-related chart in Section 7 filters correctly from the start.</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Path.home() / "KPMG Capstone"</w:t>
      </w:r>
      <w:r w:rsidDel="00000000" w:rsidR="00000000" w:rsidRPr="00000000">
        <w:rPr>
          <w:rtl w:val="0"/>
        </w:rPr>
        <w:t xml:space="preserve"> path works on any Mac without editing. On Windows it becomes </w:t>
      </w:r>
      <w:r w:rsidDel="00000000" w:rsidR="00000000" w:rsidRPr="00000000">
        <w:rPr>
          <w:rFonts w:ascii="Roboto Mono" w:cs="Roboto Mono" w:eastAsia="Roboto Mono" w:hAnsi="Roboto Mono"/>
          <w:color w:val="188038"/>
          <w:rtl w:val="0"/>
        </w:rPr>
        <w:t xml:space="preserve">C:\Users\username\KPMG Capstone</w:t>
      </w:r>
      <w:r w:rsidDel="00000000" w:rsidR="00000000" w:rsidRPr="00000000">
        <w:rPr>
          <w:rtl w:val="0"/>
        </w:rPr>
        <w:t xml:space="preserve"> automatically. </w:t>
      </w:r>
      <w:r w:rsidDel="00000000" w:rsidR="00000000" w:rsidRPr="00000000">
        <w:rPr>
          <w:rFonts w:ascii="Roboto Mono" w:cs="Roboto Mono" w:eastAsia="Roboto Mono" w:hAnsi="Roboto Mono"/>
          <w:color w:val="188038"/>
          <w:rtl w:val="0"/>
        </w:rPr>
        <w:t xml:space="preserve">OUT.mkdir(exist_ok=True)</w:t>
      </w:r>
      <w:r w:rsidDel="00000000" w:rsidR="00000000" w:rsidRPr="00000000">
        <w:rPr>
          <w:rtl w:val="0"/>
        </w:rPr>
        <w:t xml:space="preserve"> creates the figures folder if it does not exist yet — no crash if the folder is already there.</w:t>
      </w:r>
    </w:p>
    <w:p w:rsidR="00000000" w:rsidDel="00000000" w:rsidP="00000000" w:rsidRDefault="00000000" w:rsidRPr="00000000" w14:paraId="00000005">
      <w:pPr>
        <w:spacing w:after="240" w:before="240" w:lineRule="auto"/>
        <w:rPr/>
      </w:pPr>
      <w:r w:rsidDel="00000000" w:rsidR="00000000" w:rsidRPr="00000000">
        <w:rPr>
          <w:rtl w:val="0"/>
        </w:rPr>
        <w:t xml:space="preserve">The summary print block ends with a separator line and is written so that the output is self-contained — someone who screenshots just the output of this cell has a complete data card they can paste into a presentation.</w:t>
      </w:r>
    </w:p>
    <w:p w:rsidR="00000000" w:rsidDel="00000000" w:rsidP="00000000" w:rsidRDefault="00000000" w:rsidRPr="00000000" w14:paraId="00000006">
      <w:pPr>
        <w:pStyle w:val="Heading1"/>
        <w:rPr/>
      </w:pPr>
      <w:bookmarkStart w:colFirst="0" w:colLast="0" w:name="_a1o7v8i35oi7" w:id="1"/>
      <w:bookmarkEnd w:id="1"/>
      <w:r w:rsidDel="00000000" w:rsidR="00000000" w:rsidRPr="00000000">
        <w:rPr>
          <w:rtl w:val="0"/>
        </w:rPr>
        <w:t xml:space="preserve">Section 1:</w:t>
      </w:r>
    </w:p>
    <w:p w:rsidR="00000000" w:rsidDel="00000000" w:rsidP="00000000" w:rsidRDefault="00000000" w:rsidRPr="00000000" w14:paraId="00000007">
      <w:pPr>
        <w:spacing w:after="240" w:before="240" w:lineRule="auto"/>
        <w:rPr/>
      </w:pPr>
      <w:r w:rsidDel="00000000" w:rsidR="00000000" w:rsidRPr="00000000">
        <w:rPr>
          <w:rtl w:val="0"/>
        </w:rPr>
        <w:t xml:space="preserve">The donut with the centre annotation was chosen over a bar chart because the three-source breakdown is a part-of-whole story, and the centre annotation lets us state the total dataset size without adding a title line. The centre text "135,051 listings" is the first number any reader sees. The </w:t>
      </w:r>
      <w:r w:rsidDel="00000000" w:rsidR="00000000" w:rsidRPr="00000000">
        <w:rPr>
          <w:rFonts w:ascii="Roboto Mono" w:cs="Roboto Mono" w:eastAsia="Roboto Mono" w:hAnsi="Roboto Mono"/>
          <w:color w:val="188038"/>
          <w:rtl w:val="0"/>
        </w:rPr>
        <w:t xml:space="preserve">autopct</w:t>
      </w:r>
      <w:r w:rsidDel="00000000" w:rsidR="00000000" w:rsidRPr="00000000">
        <w:rPr>
          <w:rtl w:val="0"/>
        </w:rPr>
        <w:t xml:space="preserve"> percentages on the wedges appear in white bold so they are readable against the coloured segments. The IAB25 wedge intentionally sits between Paris indigo and Athens amber to visually reinforce that it is a Paris source, not a third city.</w:t>
      </w:r>
    </w:p>
    <w:p w:rsidR="00000000" w:rsidDel="00000000" w:rsidP="00000000" w:rsidRDefault="00000000" w:rsidRPr="00000000" w14:paraId="00000008">
      <w:pPr>
        <w:spacing w:after="240" w:before="240" w:lineRule="auto"/>
        <w:rPr/>
      </w:pPr>
      <w:r w:rsidDel="00000000" w:rsidR="00000000" w:rsidRPr="00000000">
        <w:rPr>
          <w:rtl w:val="0"/>
        </w:rPr>
        <w:t xml:space="preserve">The room type chart uses consolidated labels ("Entire home" merging "Entire home/apt" and "Entire place") because Paris IAB25 uses "Entire place" while Maven and Athens use "Entire home/apt". Showing both variants would split one logical category across two bars. The consolidation is done in-cell so the raw data is unchanged. Value labels only appear when the percentage is above 2% to avoid cluttering the small slices.</w:t>
      </w:r>
    </w:p>
    <w:p w:rsidR="00000000" w:rsidDel="00000000" w:rsidP="00000000" w:rsidRDefault="00000000" w:rsidRPr="00000000" w14:paraId="00000009">
      <w:pPr>
        <w:spacing w:after="240" w:before="240" w:lineRule="auto"/>
        <w:rPr/>
      </w:pPr>
      <w:r w:rsidDel="00000000" w:rsidR="00000000" w:rsidRPr="00000000">
        <w:rPr>
          <w:rtl w:val="0"/>
        </w:rPr>
        <w:t xml:space="preserve">The module coverage chart is horizontal because the module labels are long and horizontal bars give them room. The dashed vertical line at 135,051 (the full dataset) provides a visual reference so the reader immediately sees how each module compares to the whole. The ordering is intentional — XGBoost at the top (the primary model), Prophet second, then sentiment, then the most restricted subset at the bottom.</w:t>
      </w:r>
    </w:p>
    <w:p w:rsidR="00000000" w:rsidDel="00000000" w:rsidP="00000000" w:rsidRDefault="00000000" w:rsidRPr="00000000" w14:paraId="0000000A">
      <w:pPr>
        <w:spacing w:after="240" w:before="240" w:lineRule="auto"/>
        <w:rPr/>
      </w:pPr>
      <w:r w:rsidDel="00000000" w:rsidR="00000000" w:rsidRPr="00000000">
        <w:rPr>
          <w:rtl w:val="0"/>
        </w:rPr>
        <w:t xml:space="preserve">The printed summary uses a tree structure with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and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characters to make the hierarchy of findings readable in a terminal output. The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 arrow on the room type finding connects the observation directly to its modelling consequence, which is the format we use throughout all nine sections.</w:t>
      </w:r>
    </w:p>
    <w:p w:rsidR="00000000" w:rsidDel="00000000" w:rsidP="00000000" w:rsidRDefault="00000000" w:rsidRPr="00000000" w14:paraId="0000000B">
      <w:pPr>
        <w:pStyle w:val="Heading1"/>
        <w:rPr/>
      </w:pPr>
      <w:bookmarkStart w:colFirst="0" w:colLast="0" w:name="_2b2ycjw5br2" w:id="2"/>
      <w:bookmarkEnd w:id="2"/>
      <w:r w:rsidDel="00000000" w:rsidR="00000000" w:rsidRPr="00000000">
        <w:rPr>
          <w:rtl w:val="0"/>
        </w:rPr>
        <w:t xml:space="preserve">Section 2:</w:t>
      </w:r>
    </w:p>
    <w:p w:rsidR="00000000" w:rsidDel="00000000" w:rsidP="00000000" w:rsidRDefault="00000000" w:rsidRPr="00000000" w14:paraId="0000000C">
      <w:pPr>
        <w:spacing w:after="240" w:before="240" w:lineRule="auto"/>
        <w:rPr/>
      </w:pPr>
      <w:r w:rsidDel="00000000" w:rsidR="00000000" w:rsidRPr="00000000">
        <w:rPr>
          <w:rtl w:val="0"/>
        </w:rPr>
        <w:t xml:space="preserve">Explains the limitations, what we did to solve them, what are the challenges that we decided to work around as well as why we had to do that. Basically explaining what we did to the data, how we did it and why we did that.</w:t>
      </w:r>
      <w:r w:rsidDel="00000000" w:rsidR="00000000" w:rsidRPr="00000000">
        <w:rPr>
          <w:rtl w:val="0"/>
        </w:rPr>
      </w:r>
    </w:p>
    <w:p w:rsidR="00000000" w:rsidDel="00000000" w:rsidP="00000000" w:rsidRDefault="00000000" w:rsidRPr="00000000" w14:paraId="0000000D">
      <w:pPr>
        <w:pStyle w:val="Heading1"/>
        <w:rPr/>
      </w:pPr>
      <w:bookmarkStart w:colFirst="0" w:colLast="0" w:name="_crxdg9w8a36a" w:id="3"/>
      <w:bookmarkEnd w:id="3"/>
      <w:r w:rsidDel="00000000" w:rsidR="00000000" w:rsidRPr="00000000">
        <w:rPr>
          <w:rtl w:val="0"/>
        </w:rPr>
        <w:t xml:space="preserve">Section 3:</w:t>
      </w:r>
    </w:p>
    <w:p w:rsidR="00000000" w:rsidDel="00000000" w:rsidP="00000000" w:rsidRDefault="00000000" w:rsidRPr="00000000" w14:paraId="0000000E">
      <w:pPr>
        <w:spacing w:after="240" w:before="240" w:lineRule="auto"/>
        <w:rPr/>
      </w:pPr>
      <w:r w:rsidDel="00000000" w:rsidR="00000000" w:rsidRPr="00000000">
        <w:rPr>
          <w:rtl w:val="0"/>
        </w:rPr>
        <w:t xml:space="preserve">The markdown cell opens by naming the two things the audit must confirm — completeness and intentionality of nulls — because those are genuinely different. A reader who does not understand why </w:t>
      </w:r>
      <w:r w:rsidDel="00000000" w:rsidR="00000000" w:rsidRPr="00000000">
        <w:rPr>
          <w:rFonts w:ascii="Roboto Mono" w:cs="Roboto Mono" w:eastAsia="Roboto Mono" w:hAnsi="Roboto Mono"/>
          <w:color w:val="188038"/>
          <w:rtl w:val="0"/>
        </w:rPr>
        <w:t xml:space="preserve">at_risk_host</w:t>
      </w:r>
      <w:r w:rsidDel="00000000" w:rsidR="00000000" w:rsidRPr="00000000">
        <w:rPr>
          <w:rtl w:val="0"/>
        </w:rPr>
        <w:t xml:space="preserve"> is 100% null for Paris might assume a pipeline failure. The section header frames that distinction before the chart appears, so the chart is read correctly.</w:t>
      </w:r>
    </w:p>
    <w:p w:rsidR="00000000" w:rsidDel="00000000" w:rsidP="00000000" w:rsidRDefault="00000000" w:rsidRPr="00000000" w14:paraId="0000000F">
      <w:pPr>
        <w:spacing w:after="240" w:before="240" w:lineRule="auto"/>
        <w:rPr/>
      </w:pPr>
      <w:r w:rsidDel="00000000" w:rsidR="00000000" w:rsidRPr="00000000">
        <w:rPr>
          <w:rtl w:val="0"/>
        </w:rPr>
        <w:t xml:space="preserve">The five-group table in the markdown cell is the key. It gives every reader a legend before they look at the heatmap. Without it, a red cell means "problem." With it, a red cell in the LGB group means "correct by design." That change in interpretation is significant for a KPMG panel.</w:t>
      </w:r>
    </w:p>
    <w:p w:rsidR="00000000" w:rsidDel="00000000" w:rsidP="00000000" w:rsidRDefault="00000000" w:rsidRPr="00000000" w14:paraId="00000010">
      <w:pPr>
        <w:spacing w:after="240" w:before="240" w:lineRule="auto"/>
        <w:rPr/>
      </w:pPr>
      <w:r w:rsidDel="00000000" w:rsidR="00000000" w:rsidRPr="00000000">
        <w:rPr>
          <w:rtl w:val="0"/>
        </w:rPr>
        <w:t xml:space="preserve">The heatmap uses </w:t>
      </w:r>
      <w:r w:rsidDel="00000000" w:rsidR="00000000" w:rsidRPr="00000000">
        <w:rPr>
          <w:rFonts w:ascii="Roboto Mono" w:cs="Roboto Mono" w:eastAsia="Roboto Mono" w:hAnsi="Roboto Mono"/>
          <w:color w:val="188038"/>
          <w:rtl w:val="0"/>
        </w:rPr>
        <w:t xml:space="preserve">RdYlGn_r</w:t>
      </w:r>
      <w:r w:rsidDel="00000000" w:rsidR="00000000" w:rsidRPr="00000000">
        <w:rPr>
          <w:rtl w:val="0"/>
        </w:rPr>
        <w:t xml:space="preserve"> (reversed red-yellow-green) so green means complete and red means absent — the intuitive direction. The dashed separator lines between groups are drawn programmatically using the group boundaries list so they are always aligned correctly regardless of column order changes. The group labels on the right side of the heatmap annotate the groups directly on the chart so the five-group logic is visible without referring back to the markdown table.</w:t>
      </w:r>
    </w:p>
    <w:p w:rsidR="00000000" w:rsidDel="00000000" w:rsidP="00000000" w:rsidRDefault="00000000" w:rsidRPr="00000000" w14:paraId="00000011">
      <w:pPr>
        <w:spacing w:after="240" w:before="240" w:lineRule="auto"/>
        <w:rPr/>
      </w:pPr>
      <w:r w:rsidDel="00000000" w:rsidR="00000000" w:rsidRPr="00000000">
        <w:rPr>
          <w:rtl w:val="0"/>
        </w:rPr>
        <w:t xml:space="preserve">The printed analysis is structured around the five groups, not a flat column-by-column list. Within each group, every non-zero null has a named reason, the specific row count, and the pipeline decision that handles it. The </w:t>
      </w:r>
      <w:r w:rsidDel="00000000" w:rsidR="00000000" w:rsidRPr="00000000">
        <w:rPr>
          <w:rFonts w:ascii="Roboto Mono" w:cs="Roboto Mono" w:eastAsia="Roboto Mono" w:hAnsi="Roboto Mono"/>
          <w:color w:val="188038"/>
          <w:rtl w:val="0"/>
        </w:rPr>
        <w:t xml:space="preserve">at_risk_host</w:t>
      </w:r>
      <w:r w:rsidDel="00000000" w:rsidR="00000000" w:rsidRPr="00000000">
        <w:rPr>
          <w:rtl w:val="0"/>
        </w:rPr>
        <w:t xml:space="preserve"> block explicitly explains why Paris rows are not labelled and what substitute was used — this is the kind of detail a KPMG data scientist would probe in a Q&amp;A. The </w:t>
      </w:r>
      <w:r w:rsidDel="00000000" w:rsidR="00000000" w:rsidRPr="00000000">
        <w:rPr>
          <w:rFonts w:ascii="Roboto Mono" w:cs="Roboto Mono" w:eastAsia="Roboto Mono" w:hAnsi="Roboto Mono"/>
          <w:color w:val="188038"/>
          <w:rtl w:val="0"/>
        </w:rPr>
        <w:t xml:space="preserve">review_growth_24_25</w:t>
      </w:r>
      <w:r w:rsidDel="00000000" w:rsidR="00000000" w:rsidRPr="00000000">
        <w:rPr>
          <w:rtl w:val="0"/>
        </w:rPr>
        <w:t xml:space="preserve"> null explanation includes the mathematical reason (division by zero when 2024 count is zero) so it is clear this is not a data quality failure.</w:t>
      </w:r>
    </w:p>
    <w:p w:rsidR="00000000" w:rsidDel="00000000" w:rsidP="00000000" w:rsidRDefault="00000000" w:rsidRPr="00000000" w14:paraId="00000012">
      <w:pPr>
        <w:spacing w:after="240" w:before="240" w:lineRule="auto"/>
        <w:rPr/>
      </w:pPr>
      <w:r w:rsidDel="00000000" w:rsidR="00000000" w:rsidRPr="00000000">
        <w:rPr>
          <w:rtl w:val="0"/>
        </w:rPr>
        <w:t xml:space="preserve">The verdict cell at the bottom gives a one-line status per group so anyone who reads only the last output block knows whether the data is ML-ready. The answer is yes, and the numbers are there to prove it.</w:t>
      </w:r>
    </w:p>
    <w:p w:rsidR="00000000" w:rsidDel="00000000" w:rsidP="00000000" w:rsidRDefault="00000000" w:rsidRPr="00000000" w14:paraId="00000013">
      <w:pPr>
        <w:pStyle w:val="Heading1"/>
        <w:rPr/>
      </w:pPr>
      <w:bookmarkStart w:colFirst="0" w:colLast="0" w:name="_n6ffglh3qk20" w:id="4"/>
      <w:bookmarkEnd w:id="4"/>
      <w:r w:rsidDel="00000000" w:rsidR="00000000" w:rsidRPr="00000000">
        <w:rPr>
          <w:rtl w:val="0"/>
        </w:rPr>
        <w:t xml:space="preserve">Section 4:</w:t>
      </w:r>
    </w:p>
    <w:p w:rsidR="00000000" w:rsidDel="00000000" w:rsidP="00000000" w:rsidRDefault="00000000" w:rsidRPr="00000000" w14:paraId="00000014">
      <w:pPr>
        <w:spacing w:after="240" w:before="240" w:lineRule="auto"/>
        <w:rPr/>
      </w:pPr>
      <w:r w:rsidDel="00000000" w:rsidR="00000000" w:rsidRPr="00000000">
        <w:rPr>
          <w:rtl w:val="0"/>
        </w:rPr>
        <w:t xml:space="preserve">The markdown cell opens by naming the two jobs this section does — validate the target and reveal the price landscape — because a reader skimming headings needs to know why this section comes before the correlation matrix. The table at the bottom of the markdown cell gives a three-column preview of what the six charts show and why each matters, so anyone reading the markdown before running the code knows what to look for.</w:t>
      </w:r>
    </w:p>
    <w:p w:rsidR="00000000" w:rsidDel="00000000" w:rsidP="00000000" w:rsidRDefault="00000000" w:rsidRPr="00000000" w14:paraId="00000015">
      <w:pPr>
        <w:spacing w:after="240" w:before="240" w:lineRule="auto"/>
        <w:rPr/>
      </w:pPr>
      <w:r w:rsidDel="00000000" w:rsidR="00000000" w:rsidRPr="00000000">
        <w:rPr>
          <w:rtl w:val="0"/>
        </w:rPr>
        <w:t xml:space="preserve">The suptitle on the figure explicitly states "XGB training rows only (observed prices) · IAB25 estimated prices excluded" so the chart is self-documenting — if someone shares a screenshot of the figure without the surrounding markdown, the exclusion is still visible.</w:t>
      </w:r>
    </w:p>
    <w:p w:rsidR="00000000" w:rsidDel="00000000" w:rsidP="00000000" w:rsidRDefault="00000000" w:rsidRPr="00000000" w14:paraId="00000016">
      <w:pPr>
        <w:spacing w:after="240" w:before="240" w:lineRule="auto"/>
        <w:rPr/>
      </w:pPr>
      <w:r w:rsidDel="00000000" w:rsidR="00000000" w:rsidRPr="00000000">
        <w:rPr>
          <w:rtl w:val="0"/>
        </w:rPr>
        <w:t xml:space="preserve">The skewness reduction annotation inside the log price histograms is placed in the top-left of each panel using </w:t>
      </w:r>
      <w:r w:rsidDel="00000000" w:rsidR="00000000" w:rsidRPr="00000000">
        <w:rPr>
          <w:rFonts w:ascii="Roboto Mono" w:cs="Roboto Mono" w:eastAsia="Roboto Mono" w:hAnsi="Roboto Mono"/>
          <w:color w:val="188038"/>
          <w:rtl w:val="0"/>
        </w:rPr>
        <w:t xml:space="preserve">transAxes</w:t>
      </w:r>
      <w:r w:rsidDel="00000000" w:rsidR="00000000" w:rsidRPr="00000000">
        <w:rPr>
          <w:rtl w:val="0"/>
        </w:rPr>
        <w:t xml:space="preserve"> coordinates so it never overlaps the distribution curve. It shows both the absolute values and the percentage reduction so the improvement is immediately quantifiable, not just visual.</w:t>
      </w:r>
    </w:p>
    <w:p w:rsidR="00000000" w:rsidDel="00000000" w:rsidP="00000000" w:rsidRDefault="00000000" w:rsidRPr="00000000" w14:paraId="00000017">
      <w:pPr>
        <w:spacing w:after="240" w:before="240" w:lineRule="auto"/>
        <w:rPr/>
      </w:pPr>
      <w:r w:rsidDel="00000000" w:rsidR="00000000" w:rsidRPr="00000000">
        <w:rPr>
          <w:rtl w:val="0"/>
        </w:rPr>
        <w:t xml:space="preserve">The boxplot median labels include the row count </w:t>
      </w:r>
      <w:r w:rsidDel="00000000" w:rsidR="00000000" w:rsidRPr="00000000">
        <w:rPr>
          <w:rFonts w:ascii="Roboto Mono" w:cs="Roboto Mono" w:eastAsia="Roboto Mono" w:hAnsi="Roboto Mono"/>
          <w:color w:val="188038"/>
          <w:rtl w:val="0"/>
        </w:rPr>
        <w:t xml:space="preserve">(n=X,XXX)</w:t>
      </w:r>
      <w:r w:rsidDel="00000000" w:rsidR="00000000" w:rsidRPr="00000000">
        <w:rPr>
          <w:rtl w:val="0"/>
        </w:rPr>
        <w:t xml:space="preserve"> so a reader can immediately see that the hotel room category has only 45 rows in Athens and 1,251 in Paris — which contextualises why the hotel room median appears high but carries little statistical weight. The boxes are capped at €400 to prevent whiskers from extending to the P99 outliers (€420/€500) and compressing the bulk of the distribution into an unreadable bottom band.</w:t>
      </w:r>
    </w:p>
    <w:p w:rsidR="00000000" w:rsidDel="00000000" w:rsidP="00000000" w:rsidRDefault="00000000" w:rsidRPr="00000000" w14:paraId="00000018">
      <w:pPr>
        <w:spacing w:after="240" w:before="240" w:lineRule="auto"/>
        <w:rPr/>
      </w:pPr>
      <w:r w:rsidDel="00000000" w:rsidR="00000000" w:rsidRPr="00000000">
        <w:rPr>
          <w:rtl w:val="0"/>
        </w:rPr>
        <w:t xml:space="preserve">The Athens private room finding — that private rooms command the same median price as entire homes — is called out explicitly in the printed analysis because it is genuinely surprising and explains a potential SHAP interpretation question that will arise when the model assigns lower importance to </w:t>
      </w:r>
      <w:r w:rsidDel="00000000" w:rsidR="00000000" w:rsidRPr="00000000">
        <w:rPr>
          <w:rFonts w:ascii="Roboto Mono" w:cs="Roboto Mono" w:eastAsia="Roboto Mono" w:hAnsi="Roboto Mono"/>
          <w:color w:val="188038"/>
          <w:rtl w:val="0"/>
        </w:rPr>
        <w:t xml:space="preserve">room_type_encoded</w:t>
      </w:r>
      <w:r w:rsidDel="00000000" w:rsidR="00000000" w:rsidRPr="00000000">
        <w:rPr>
          <w:rtl w:val="0"/>
        </w:rPr>
        <w:t xml:space="preserve"> in Athens than in Paris.</w:t>
      </w:r>
    </w:p>
    <w:p w:rsidR="00000000" w:rsidDel="00000000" w:rsidP="00000000" w:rsidRDefault="00000000" w:rsidRPr="00000000" w14:paraId="00000019">
      <w:pPr>
        <w:pStyle w:val="Heading1"/>
        <w:rPr/>
      </w:pPr>
      <w:bookmarkStart w:colFirst="0" w:colLast="0" w:name="_dh54nppflhal" w:id="5"/>
      <w:bookmarkEnd w:id="5"/>
      <w:r w:rsidDel="00000000" w:rsidR="00000000" w:rsidRPr="00000000">
        <w:rPr>
          <w:rtl w:val="0"/>
        </w:rPr>
        <w:t xml:space="preserve">Section 5:</w:t>
      </w:r>
    </w:p>
    <w:p w:rsidR="00000000" w:rsidDel="00000000" w:rsidP="00000000" w:rsidRDefault="00000000" w:rsidRPr="00000000" w14:paraId="0000001A">
      <w:pPr>
        <w:spacing w:after="240" w:before="240" w:lineRule="auto"/>
        <w:rPr/>
      </w:pPr>
      <w:r w:rsidDel="00000000" w:rsidR="00000000" w:rsidRPr="00000000">
        <w:rPr>
          <w:rtl w:val="0"/>
        </w:rPr>
        <w:t xml:space="preserve">The markdown cell opens with four numbered questions because the correlation matrix is often treated as a passive display — "here are the correlations." These four questions make it active: this section produces decisions, not just numbers. The table at the bottom of the markdown cell is the deliverable — three columns, specific features, specific reasons. A KPMG panel member reading only that table walks away knowing what the XGBoost feature list will look like and why.</w:t>
      </w:r>
    </w:p>
    <w:p w:rsidR="00000000" w:rsidDel="00000000" w:rsidP="00000000" w:rsidRDefault="00000000" w:rsidRPr="00000000" w14:paraId="0000001B">
      <w:pPr>
        <w:spacing w:after="240" w:before="240" w:lineRule="auto"/>
        <w:rPr/>
      </w:pPr>
      <w:r w:rsidDel="00000000" w:rsidR="00000000" w:rsidRPr="00000000">
        <w:rPr>
          <w:rtl w:val="0"/>
        </w:rPr>
        <w:t xml:space="preserve">The code sorts columns by absolute correlation with </w:t>
      </w:r>
      <w:r w:rsidDel="00000000" w:rsidR="00000000" w:rsidRPr="00000000">
        <w:rPr>
          <w:rFonts w:ascii="Roboto Mono" w:cs="Roboto Mono" w:eastAsia="Roboto Mono" w:hAnsi="Roboto Mono"/>
          <w:color w:val="188038"/>
          <w:rtl w:val="0"/>
        </w:rPr>
        <w:t xml:space="preserve">log_price</w:t>
      </w:r>
      <w:r w:rsidDel="00000000" w:rsidR="00000000" w:rsidRPr="00000000">
        <w:rPr>
          <w:rtl w:val="0"/>
        </w:rPr>
        <w:t xml:space="preserve"> so the heatmap is self-ranked. The top-left corner always shows the strongest predictor, making it immediately clear that Paris and Athens lead with different features without reading the printed analysis. The </w:t>
      </w:r>
      <w:r w:rsidDel="00000000" w:rsidR="00000000" w:rsidRPr="00000000">
        <w:rPr>
          <w:rFonts w:ascii="Roboto Mono" w:cs="Roboto Mono" w:eastAsia="Roboto Mono" w:hAnsi="Roboto Mono"/>
          <w:color w:val="188038"/>
          <w:rtl w:val="0"/>
        </w:rPr>
        <w:t xml:space="preserve">log_price</w:t>
      </w:r>
      <w:r w:rsidDel="00000000" w:rsidR="00000000" w:rsidRPr="00000000">
        <w:rPr>
          <w:rtl w:val="0"/>
        </w:rPr>
        <w:t xml:space="preserve"> row is highlighted with a city-coloured rectangle border so the target variable is visually anchored even when someone glances at the chart without reading labels.</w:t>
      </w:r>
    </w:p>
    <w:p w:rsidR="00000000" w:rsidDel="00000000" w:rsidP="00000000" w:rsidRDefault="00000000" w:rsidRPr="00000000" w14:paraId="0000001C">
      <w:pPr>
        <w:spacing w:after="240" w:before="240" w:lineRule="auto"/>
        <w:rPr/>
      </w:pPr>
      <w:r w:rsidDel="00000000" w:rsidR="00000000" w:rsidRPr="00000000">
        <w:rPr>
          <w:rtl w:val="0"/>
        </w:rPr>
        <w:t xml:space="preserve">The coloured rectangle uses </w:t>
      </w:r>
      <w:r w:rsidDel="00000000" w:rsidR="00000000" w:rsidRPr="00000000">
        <w:rPr>
          <w:rFonts w:ascii="Roboto Mono" w:cs="Roboto Mono" w:eastAsia="Roboto Mono" w:hAnsi="Roboto Mono"/>
          <w:color w:val="188038"/>
          <w:rtl w:val="0"/>
        </w:rPr>
        <w:t xml:space="preserve">ax.add_patch(plt.Rectangle(..., clip_on=False))</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axhline/axvline</w:t>
      </w:r>
      <w:r w:rsidDel="00000000" w:rsidR="00000000" w:rsidRPr="00000000">
        <w:rPr>
          <w:rtl w:val="0"/>
        </w:rPr>
        <w:t xml:space="preserve"> because the rectangle correctly wraps the entire first row including the diagonal cell, making the log_price position unambiguous in a lower-triangle-only heatmap where the top-right is masked.</w:t>
      </w:r>
    </w:p>
    <w:p w:rsidR="00000000" w:rsidDel="00000000" w:rsidP="00000000" w:rsidRDefault="00000000" w:rsidRPr="00000000" w14:paraId="0000001D">
      <w:pPr>
        <w:spacing w:after="240" w:before="240" w:lineRule="auto"/>
        <w:rPr/>
      </w:pPr>
      <w:r w:rsidDel="00000000" w:rsidR="00000000" w:rsidRPr="00000000">
        <w:rPr>
          <w:rtl w:val="0"/>
        </w:rPr>
        <w:t xml:space="preserve">The printed analysis follows the four-question structure from the markdown cell, with a dedicated block for each multicollinearity decision that states what was found, why it matters, and exactly what was decided. Every decision includes the alternative considered and why it was rejected — this is what makes the analysis defensible to a KPMG panel rather than just descriptive.</w:t>
      </w:r>
    </w:p>
    <w:p w:rsidR="00000000" w:rsidDel="00000000" w:rsidP="00000000" w:rsidRDefault="00000000" w:rsidRPr="00000000" w14:paraId="0000001E">
      <w:pPr>
        <w:pStyle w:val="Heading1"/>
        <w:rPr/>
      </w:pPr>
      <w:bookmarkStart w:colFirst="0" w:colLast="0" w:name="_zcrh7c3lfvcd" w:id="6"/>
      <w:bookmarkEnd w:id="6"/>
      <w:r w:rsidDel="00000000" w:rsidR="00000000" w:rsidRPr="00000000">
        <w:rPr>
          <w:rtl w:val="0"/>
        </w:rPr>
        <w:t xml:space="preserve">Section 6:</w:t>
      </w:r>
    </w:p>
    <w:p w:rsidR="00000000" w:rsidDel="00000000" w:rsidP="00000000" w:rsidRDefault="00000000" w:rsidRPr="00000000" w14:paraId="0000001F">
      <w:pPr>
        <w:spacing w:after="240" w:before="240" w:lineRule="auto"/>
        <w:rPr/>
      </w:pPr>
      <w:r w:rsidDel="00000000" w:rsidR="00000000" w:rsidRPr="00000000">
        <w:rPr>
          <w:rtl w:val="0"/>
        </w:rPr>
        <w:t xml:space="preserve">The markdown cell opens by naming what this section produces — the justification for separate city models — rather than just describing what will be shown. A KPMG panel member reading only the markdown cell understands the conclusion before seeing a single chart. The explanation of why Paris is not monotone is placed in the markdown before the code so the reader is primed to interpret the bar chart correctly rather than assuming a data error.</w:t>
      </w:r>
    </w:p>
    <w:p w:rsidR="00000000" w:rsidDel="00000000" w:rsidP="00000000" w:rsidRDefault="00000000" w:rsidRPr="00000000" w14:paraId="00000020">
      <w:pPr>
        <w:spacing w:after="240" w:before="240" w:lineRule="auto"/>
        <w:rPr/>
      </w:pPr>
      <w:r w:rsidDel="00000000" w:rsidR="00000000" w:rsidRPr="00000000">
        <w:rPr>
          <w:rtl w:val="0"/>
        </w:rPr>
        <w:t xml:space="preserve">The scatter plots add a jitter annotation for the lifestyle score charts. This is essential because lifestyle_score has only 4 unique values and without jitter the scatter shows four vertical lines that look like a visualisation error. The annotation explains the jitter explicitly and states that OLS was computed on true values, preserving analytical integrity.</w:t>
      </w:r>
    </w:p>
    <w:p w:rsidR="00000000" w:rsidDel="00000000" w:rsidP="00000000" w:rsidRDefault="00000000" w:rsidRPr="00000000" w14:paraId="00000021">
      <w:pPr>
        <w:spacing w:after="240" w:before="240" w:lineRule="auto"/>
        <w:rPr/>
      </w:pPr>
      <w:r w:rsidDel="00000000" w:rsidR="00000000" w:rsidRPr="00000000">
        <w:rPr>
          <w:rtl w:val="0"/>
        </w:rPr>
        <w:t xml:space="preserve">The OLS interpretation (</w:t>
      </w:r>
      <w:r w:rsidDel="00000000" w:rsidR="00000000" w:rsidRPr="00000000">
        <w:rPr>
          <w:rFonts w:ascii="Roboto Mono" w:cs="Roboto Mono" w:eastAsia="Roboto Mono" w:hAnsi="Roboto Mono"/>
          <w:color w:val="188038"/>
          <w:rtl w:val="0"/>
        </w:rPr>
        <w:t xml:space="preserve">pct_per_km</w:t>
      </w:r>
      <w:r w:rsidDel="00000000" w:rsidR="00000000" w:rsidRPr="00000000">
        <w:rPr>
          <w:rtl w:val="0"/>
        </w:rPr>
        <w:t xml:space="preserve">) is computed as </w:t>
      </w:r>
      <w:r w:rsidDel="00000000" w:rsidR="00000000" w:rsidRPr="00000000">
        <w:rPr>
          <w:rFonts w:ascii="Roboto Mono" w:cs="Roboto Mono" w:eastAsia="Roboto Mono" w:hAnsi="Roboto Mono"/>
          <w:color w:val="188038"/>
          <w:rtl w:val="0"/>
        </w:rPr>
        <w:t xml:space="preserve">(expm1(slope)) * 100</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slope * 100</w:t>
      </w:r>
      <w:r w:rsidDel="00000000" w:rsidR="00000000" w:rsidRPr="00000000">
        <w:rPr>
          <w:rFonts w:ascii="Arial Unicode MS" w:cs="Arial Unicode MS" w:eastAsia="Arial Unicode MS" w:hAnsi="Arial Unicode MS"/>
          <w:rtl w:val="0"/>
        </w:rPr>
        <w:t xml:space="preserve"> because log_price is the y-axis. The slope is in log-price units, so the correct interpretation is the percentage change in raw price per km, which requires back-transformation. Showing −6.5% per km (Paris) and −24.3% per km (Athens) is immediately interpretable by a non-technical KPMG stakeholder. Showing −0.068 and −0.278 is not.</w:t>
      </w:r>
    </w:p>
    <w:p w:rsidR="00000000" w:rsidDel="00000000" w:rsidP="00000000" w:rsidRDefault="00000000" w:rsidRPr="00000000" w14:paraId="00000022">
      <w:pPr>
        <w:spacing w:after="240" w:before="240" w:lineRule="auto"/>
        <w:rPr/>
      </w:pPr>
      <w:r w:rsidDel="00000000" w:rsidR="00000000" w:rsidRPr="00000000">
        <w:rPr>
          <w:rtl w:val="0"/>
        </w:rPr>
        <w:t xml:space="preserve">The Kruskal-Wallis H-statistic and p-value are annotated directly on the zone bar charts rather than only in the printed output. This makes the statistical significance visible on the chart itself — if someone screenshots just the figure, the significance is still there.</w:t>
      </w:r>
    </w:p>
    <w:p w:rsidR="00000000" w:rsidDel="00000000" w:rsidP="00000000" w:rsidRDefault="00000000" w:rsidRPr="00000000" w14:paraId="00000023">
      <w:pPr>
        <w:pStyle w:val="Heading1"/>
        <w:rPr/>
      </w:pPr>
      <w:bookmarkStart w:colFirst="0" w:colLast="0" w:name="_t31ipolth6wv" w:id="7"/>
      <w:bookmarkEnd w:id="7"/>
      <w:r w:rsidDel="00000000" w:rsidR="00000000" w:rsidRPr="00000000">
        <w:rPr>
          <w:rtl w:val="0"/>
        </w:rPr>
        <w:t xml:space="preserve">Section 7:</w:t>
      </w:r>
    </w:p>
    <w:p w:rsidR="00000000" w:rsidDel="00000000" w:rsidP="00000000" w:rsidRDefault="00000000" w:rsidRPr="00000000" w14:paraId="00000024">
      <w:pPr>
        <w:spacing w:after="240" w:before="240" w:lineRule="auto"/>
        <w:rPr/>
      </w:pPr>
      <w:r w:rsidDel="00000000" w:rsidR="00000000" w:rsidRPr="00000000">
        <w:rPr>
          <w:rtl w:val="0"/>
        </w:rPr>
        <w:t xml:space="preserve">The markdown cell opens with the contamination warning before the charts because this is the section where the IAB25 estimation problem has its most visible effect. A reader who sees the +0% combined Paris premium without the warning will assume the data shows no superhost premium in Paris — which is factually wrong. Placing the warning in the markdown cell means it appears before the chart is rendered.</w:t>
      </w:r>
    </w:p>
    <w:p w:rsidR="00000000" w:rsidDel="00000000" w:rsidP="00000000" w:rsidRDefault="00000000" w:rsidRPr="00000000" w14:paraId="00000025">
      <w:pPr>
        <w:spacing w:after="240" w:before="240" w:lineRule="auto"/>
        <w:rPr/>
      </w:pPr>
      <w:r w:rsidDel="00000000" w:rsidR="00000000" w:rsidRPr="00000000">
        <w:rPr>
          <w:rtl w:val="0"/>
        </w:rPr>
        <w:t xml:space="preserve">The violin plots are chosen over boxplots for the superhost comparison because they show the full distribution shape. The superhost distribution in Paris is meaningfully different in shape from the non-superhost — not just in median. Violin plots make this visible. The white median line uses linewidth 2.8 to be clearly visible against the coloured violin body.</w:t>
      </w:r>
    </w:p>
    <w:p w:rsidR="00000000" w:rsidDel="00000000" w:rsidP="00000000" w:rsidRDefault="00000000" w:rsidRPr="00000000" w14:paraId="00000026">
      <w:pPr>
        <w:spacing w:after="240" w:before="240" w:lineRule="auto"/>
        <w:rPr/>
      </w:pPr>
      <w:r w:rsidDel="00000000" w:rsidR="00000000" w:rsidRPr="00000000">
        <w:rPr>
          <w:rtl w:val="0"/>
        </w:rPr>
        <w:t xml:space="preserve">The host type chart uses increasing alpha values (0.55, 0.75, 0.95) for the box fills from casual to professional. This creates a visual hierarchy where more commercialised hosts appear more saturated — matching the intuition that professional operators are the most active market participants.</w:t>
      </w:r>
    </w:p>
    <w:p w:rsidR="00000000" w:rsidDel="00000000" w:rsidP="00000000" w:rsidRDefault="00000000" w:rsidRPr="00000000" w14:paraId="00000027">
      <w:pPr>
        <w:spacing w:after="240" w:before="240" w:lineRule="auto"/>
        <w:rPr/>
      </w:pPr>
      <w:r w:rsidDel="00000000" w:rsidR="00000000" w:rsidRPr="00000000">
        <w:rPr>
          <w:rtl w:val="0"/>
        </w:rPr>
        <w:t xml:space="preserve">The third column shows amenity count vs log_price coloured by multi-listing status rather than a third boxplot. This gives the section three distinct visual formats per row (violin, box, scatter), which makes each chart immediately distinguishable when the figure is shown in a presentation. It also connects two findings: amenity count and multi-listing both point to the same underlying pattern — commercial operators run better-equipped listings.</w:t>
      </w:r>
    </w:p>
    <w:p w:rsidR="00000000" w:rsidDel="00000000" w:rsidP="00000000" w:rsidRDefault="00000000" w:rsidRPr="00000000" w14:paraId="00000028">
      <w:pPr>
        <w:spacing w:after="240" w:before="240" w:lineRule="auto"/>
        <w:rPr/>
      </w:pPr>
      <w:r w:rsidDel="00000000" w:rsidR="00000000" w:rsidRPr="00000000">
        <w:rPr>
          <w:rtl w:val="0"/>
        </w:rPr>
        <w:t xml:space="preserve">The Athens semi-professional finding (median €98 above professional €82) is called out explicitly in the printed analysis because it is counter-intuitive and will draw questions in a KPMG Q&amp;A. Explaining it before it is asked demonstrates analytical depth.</w:t>
      </w:r>
    </w:p>
    <w:p w:rsidR="00000000" w:rsidDel="00000000" w:rsidP="00000000" w:rsidRDefault="00000000" w:rsidRPr="00000000" w14:paraId="00000029">
      <w:pPr>
        <w:pStyle w:val="Heading1"/>
        <w:rPr/>
      </w:pPr>
      <w:bookmarkStart w:colFirst="0" w:colLast="0" w:name="_cd37koc2xj5" w:id="8"/>
      <w:bookmarkEnd w:id="8"/>
      <w:r w:rsidDel="00000000" w:rsidR="00000000" w:rsidRPr="00000000">
        <w:rPr>
          <w:rtl w:val="0"/>
        </w:rPr>
        <w:t xml:space="preserve">Section 8:</w:t>
      </w:r>
    </w:p>
    <w:p w:rsidR="00000000" w:rsidDel="00000000" w:rsidP="00000000" w:rsidRDefault="00000000" w:rsidRPr="00000000" w14:paraId="0000002A">
      <w:pPr>
        <w:spacing w:after="240" w:before="240" w:lineRule="auto"/>
        <w:rPr/>
      </w:pPr>
      <w:r w:rsidDel="00000000" w:rsidR="00000000" w:rsidRPr="00000000">
        <w:rPr>
          <w:rtl w:val="0"/>
        </w:rPr>
        <w:t xml:space="preserve">The markdown table maps each sub-section to the model it feeds. This is the key structural difference from previous sections — Section 8 is not about understanding price (that was Sections 4–7), it is about inputs to three different downstream models. Making that explicit in the markdown table means anyone reading the notebook knows why each chart exists before they see it.</w:t>
      </w:r>
    </w:p>
    <w:p w:rsidR="00000000" w:rsidDel="00000000" w:rsidP="00000000" w:rsidRDefault="00000000" w:rsidRPr="00000000" w14:paraId="0000002B">
      <w:pPr>
        <w:spacing w:after="240" w:before="240" w:lineRule="auto"/>
        <w:rPr/>
      </w:pPr>
      <w:r w:rsidDel="00000000" w:rsidR="00000000" w:rsidRPr="00000000">
        <w:rPr>
          <w:rtl w:val="0"/>
        </w:rPr>
        <w:t xml:space="preserve">The occupancy chart overlays Athens and Paris IAB25 on the same axes using density normalisation so the different sample sizes (10,661 vs 34,868) do not distort the visual comparison. The 255-day cap line is drawn in red with a dotted style so it reads as a system boundary, not a natural data feature. The Maven exclusion note is annotated directly on the chart so it is self-documenting.</w:t>
      </w:r>
    </w:p>
    <w:p w:rsidR="00000000" w:rsidDel="00000000" w:rsidP="00000000" w:rsidRDefault="00000000" w:rsidRPr="00000000" w14:paraId="0000002C">
      <w:pPr>
        <w:spacing w:after="240" w:before="240" w:lineRule="auto"/>
        <w:rPr/>
      </w:pPr>
      <w:r w:rsidDel="00000000" w:rsidR="00000000" w:rsidRPr="00000000">
        <w:rPr>
          <w:rtl w:val="0"/>
        </w:rPr>
        <w:t xml:space="preserve">The review velocity bar chart uses red for the zero-velocity bar and ATHENS amber for all active velocity groups. This colour choice makes the risk distinction immediate — the most dangerous group is red without needing to read the title. The percentage labels include row counts so a reader can see that 7,583 listings are in the zero-velocity category, not just that 68% of them are at-risk.</w:t>
      </w:r>
    </w:p>
    <w:p w:rsidR="00000000" w:rsidDel="00000000" w:rsidP="00000000" w:rsidRDefault="00000000" w:rsidRPr="00000000" w14:paraId="0000002D">
      <w:pPr>
        <w:spacing w:after="240" w:before="240" w:lineRule="auto"/>
        <w:rPr/>
      </w:pPr>
      <w:r w:rsidDel="00000000" w:rsidR="00000000" w:rsidRPr="00000000">
        <w:rPr>
          <w:rtl w:val="0"/>
        </w:rPr>
        <w:t xml:space="preserve">The AMA compliance pie uses GREEN for licensed and RED for unlicensed — the regulatory traffic light convention. The finding that unlicensed listings charge the same price as licensed ones (p=0.779) is highlighted in the printed analysis because it is analytically surprising and commercially important for investors — these listings are pricing as if the regulatory risk does not exist.</w:t>
      </w:r>
    </w:p>
    <w:p w:rsidR="00000000" w:rsidDel="00000000" w:rsidP="00000000" w:rsidRDefault="00000000" w:rsidRPr="00000000" w14:paraId="0000002E">
      <w:pPr>
        <w:spacing w:after="240" w:before="240" w:lineRule="auto"/>
        <w:rPr/>
      </w:pPr>
      <w:r w:rsidDel="00000000" w:rsidR="00000000" w:rsidRPr="00000000">
        <w:rPr>
          <w:rtl w:val="0"/>
        </w:rPr>
        <w:t xml:space="preserve">The at-risk validation table in the printed output uses a fixed-width format with column headers so it renders cleanly in terminal output and can be copied directly into a methodology document. Every dimension shows the direction of the effect alongside the statistical significance, making the validation self-contained.</w:t>
      </w:r>
    </w:p>
    <w:p w:rsidR="00000000" w:rsidDel="00000000" w:rsidP="00000000" w:rsidRDefault="00000000" w:rsidRPr="00000000" w14:paraId="0000002F">
      <w:pPr>
        <w:pStyle w:val="Heading1"/>
        <w:rPr/>
      </w:pPr>
      <w:bookmarkStart w:colFirst="0" w:colLast="0" w:name="_lpd4ek26fyy" w:id="9"/>
      <w:bookmarkEnd w:id="9"/>
      <w:r w:rsidDel="00000000" w:rsidR="00000000" w:rsidRPr="00000000">
        <w:rPr>
          <w:rtl w:val="0"/>
        </w:rPr>
        <w:t xml:space="preserve">Section 9:</w:t>
      </w:r>
    </w:p>
    <w:p w:rsidR="00000000" w:rsidDel="00000000" w:rsidP="00000000" w:rsidRDefault="00000000" w:rsidRPr="00000000" w14:paraId="00000030">
      <w:pPr>
        <w:spacing w:after="240" w:before="240" w:lineRule="auto"/>
        <w:rPr/>
      </w:pPr>
      <w:r w:rsidDel="00000000" w:rsidR="00000000" w:rsidRPr="00000000">
        <w:rPr>
          <w:rtl w:val="0"/>
        </w:rPr>
        <w:t xml:space="preserve">The markdown cell addresses the pipeline bug discovery upfront rather than hiding it. Discovering and fixing a data issue during EDA — and being transparent about it — is a sign of rigour, not weakness. A KPMG panel seeing this in a methodology review will regard it positively.</w:t>
      </w:r>
    </w:p>
    <w:p w:rsidR="00000000" w:rsidDel="00000000" w:rsidP="00000000" w:rsidRDefault="00000000" w:rsidRPr="00000000" w14:paraId="00000031">
      <w:pPr>
        <w:spacing w:after="240" w:before="240" w:lineRule="auto"/>
        <w:rPr/>
      </w:pPr>
      <w:r w:rsidDel="00000000" w:rsidR="00000000" w:rsidRPr="00000000">
        <w:rPr>
          <w:rtl w:val="0"/>
        </w:rPr>
        <w:t xml:space="preserve">The opportunity score formula is rendered in the markdown cell rather than only in the printed analysis because visual prominence matters. Investors and developers reading the notebook need to understand what they are looking at before they see the charts. The three-component formula with weights is the intellectual core of the developer persona — it must be visible before the charts.</w:t>
      </w:r>
    </w:p>
    <w:p w:rsidR="00000000" w:rsidDel="00000000" w:rsidP="00000000" w:rsidRDefault="00000000" w:rsidRPr="00000000" w14:paraId="00000032">
      <w:pPr>
        <w:spacing w:after="240" w:before="240" w:lineRule="auto"/>
        <w:rPr/>
      </w:pPr>
      <w:r w:rsidDel="00000000" w:rsidR="00000000" w:rsidRPr="00000000">
        <w:rPr>
          <w:rtl w:val="0"/>
        </w:rPr>
        <w:t xml:space="preserve">The Paris bar chart uses three shades of indigo (dark for observed, medium for mixed, light for estimated) to make confidence levels immediately visible without a separate legend table. The price_confidence encoding is the most important analytical context for any Paris neighbourhood chart, and colour is the most direct way to convey it.</w:t>
      </w:r>
    </w:p>
    <w:p w:rsidR="00000000" w:rsidDel="00000000" w:rsidP="00000000" w:rsidRDefault="00000000" w:rsidRPr="00000000" w14:paraId="00000033">
      <w:pPr>
        <w:spacing w:after="240" w:before="240" w:lineRule="auto"/>
        <w:rPr/>
      </w:pPr>
      <w:r w:rsidDel="00000000" w:rsidR="00000000" w:rsidRPr="00000000">
        <w:rPr>
          <w:rtl w:val="0"/>
        </w:rPr>
        <w:t xml:space="preserve">The investor matrix (occupancy vs revenue, colour = opportunity score) uses a RdYlGn colormap so green = high opportunity and red = low, following traffic-light convention. The grey dashed lines at the median occupancy and median revenue divide the chart into four quadrants. The top-right quadrant (above-median occupancy AND above-median revenue) is where the best investment targets sit, and the colour should confirm this.</w:t>
      </w:r>
    </w:p>
    <w:p w:rsidR="00000000" w:rsidDel="00000000" w:rsidP="00000000" w:rsidRDefault="00000000" w:rsidRPr="00000000" w14:paraId="00000034">
      <w:pPr>
        <w:spacing w:after="240" w:before="240" w:lineRule="auto"/>
        <w:rPr/>
      </w:pPr>
      <w:r w:rsidDel="00000000" w:rsidR="00000000" w:rsidRPr="00000000">
        <w:rPr>
          <w:rtl w:val="0"/>
        </w:rPr>
        <w:t xml:space="preserve">The sweet-spot quadrant in the competitive saturation chart uses a very light green shading (</w:t>
      </w:r>
      <w:r w:rsidDel="00000000" w:rsidR="00000000" w:rsidRPr="00000000">
        <w:rPr>
          <w:rFonts w:ascii="Roboto Mono" w:cs="Roboto Mono" w:eastAsia="Roboto Mono" w:hAnsi="Roboto Mono"/>
          <w:color w:val="188038"/>
          <w:rtl w:val="0"/>
        </w:rPr>
        <w:t xml:space="preserve">alpha=0.06</w:t>
      </w:r>
      <w:r w:rsidDel="00000000" w:rsidR="00000000" w:rsidRPr="00000000">
        <w:rPr>
          <w:rtl w:val="0"/>
        </w:rPr>
        <w:t xml:space="preserve">) rather than a hard boundary so it reads as a guide region, not a binary classification. The 12 sweet-spot neighbourhoods are those with statistically meaningful claims to the top-left quadrant — the shading makes this readable at a glance.</w:t>
      </w:r>
    </w:p>
    <w:p w:rsidR="00000000" w:rsidDel="00000000" w:rsidP="00000000" w:rsidRDefault="00000000" w:rsidRPr="00000000" w14:paraId="00000035">
      <w:pPr>
        <w:pStyle w:val="Heading1"/>
        <w:rPr/>
      </w:pPr>
      <w:bookmarkStart w:colFirst="0" w:colLast="0" w:name="_hnbbvktu1iki" w:id="10"/>
      <w:bookmarkEnd w:id="10"/>
      <w:r w:rsidDel="00000000" w:rsidR="00000000" w:rsidRPr="00000000">
        <w:rPr>
          <w:rtl w:val="0"/>
        </w:rPr>
        <w:t xml:space="preserve">Section 10: </w:t>
      </w:r>
    </w:p>
    <w:p w:rsidR="00000000" w:rsidDel="00000000" w:rsidP="00000000" w:rsidRDefault="00000000" w:rsidRPr="00000000" w14:paraId="00000036">
      <w:pPr>
        <w:spacing w:after="240" w:before="240" w:lineRule="auto"/>
        <w:rPr/>
      </w:pPr>
      <w:r w:rsidDel="00000000" w:rsidR="00000000" w:rsidRPr="00000000">
        <w:rPr>
          <w:rtl w:val="0"/>
        </w:rPr>
        <w:t xml:space="preserve">The markdown cell opens with the coverage table because section 10 is the only section where one of the three sources (Maven) is completely absent, and the reader needs to understand that before seeing any chart. Placing the coverage table first prevents the question "where is Paris?" from arising when looking at the distribution overlay.</w:t>
      </w:r>
    </w:p>
    <w:p w:rsidR="00000000" w:rsidDel="00000000" w:rsidP="00000000" w:rsidRDefault="00000000" w:rsidRPr="00000000" w14:paraId="00000037">
      <w:pPr>
        <w:spacing w:after="240" w:before="240" w:lineRule="auto"/>
        <w:rPr/>
      </w:pPr>
      <w:r w:rsidDel="00000000" w:rsidR="00000000" w:rsidRPr="00000000">
        <w:rPr>
          <w:rtl w:val="0"/>
        </w:rPr>
        <w:t xml:space="preserve">The bias quantification annotation on the distribution chart uses an arrow pointing to the Paris mean peak with the structured rating gap vs VADER gap comparison directly on the chart. This makes the bias argument self-contained — if someone screenshots just this one chart, the analytical reasoning for why the two cities cannot be compared is still visible.</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The sentiment quartile bar chart uses a traffic-light colour progression (red → yellow → light green → dark green) rather than a single colour because the quartile ordering is the analytical story. The colour progression makes the gradient immediately readable without needing to read axis labels.</w:t>
      </w:r>
    </w:p>
    <w:p w:rsidR="00000000" w:rsidDel="00000000" w:rsidP="00000000" w:rsidRDefault="00000000" w:rsidRPr="00000000" w14:paraId="00000039">
      <w:pPr>
        <w:spacing w:after="240" w:before="240" w:lineRule="auto"/>
        <w:rPr/>
      </w:pPr>
      <w:r w:rsidDel="00000000" w:rsidR="00000000" w:rsidRPr="00000000">
        <w:rPr>
          <w:rtl w:val="0"/>
        </w:rPr>
        <w:t xml:space="preserve">The +72% premium annotation uses an arrow pointing from Q4 to Q1 with a green label — the direction of the arrow and the colour both reinforce that higher sentiment = higher price, making the business case immediately clear.</w:t>
      </w:r>
    </w:p>
    <w:p w:rsidR="00000000" w:rsidDel="00000000" w:rsidP="00000000" w:rsidRDefault="00000000" w:rsidRPr="00000000" w14:paraId="0000003A">
      <w:pPr>
        <w:spacing w:after="240" w:before="240" w:lineRule="auto"/>
        <w:rPr/>
      </w:pPr>
      <w:r w:rsidDel="00000000" w:rsidR="00000000" w:rsidRPr="00000000">
        <w:rPr>
          <w:rtl w:val="0"/>
        </w:rPr>
        <w:t xml:space="preserve">The superhost violin plot uses the same visual format as Section 7 (superhost vs non-superhost) intentionally. A consistent visual vocabulary across sections makes comparisons easier when the full notebook is presented — a panel member who remembers the Section 7 violin knows immediately what they are looking at in Section 10.</w:t>
      </w:r>
    </w:p>
    <w:p w:rsidR="00000000" w:rsidDel="00000000" w:rsidP="00000000" w:rsidRDefault="00000000" w:rsidRPr="00000000" w14:paraId="0000003B">
      <w:pPr>
        <w:spacing w:after="240" w:before="240" w:lineRule="auto"/>
        <w:rPr/>
      </w:pPr>
      <w:r w:rsidDel="00000000" w:rsidR="00000000" w:rsidRPr="00000000">
        <w:rPr>
          <w:rtl w:val="0"/>
        </w:rPr>
        <w:t xml:space="preserve">The final printed block converts the sentiment quartile finding into an annual revenue figure (€2,838 additional revenue per year for moving from Q1 to Q4 sentiment) — this is the business case in concrete money terms. It is the number the host persona agent will use to justify its recommendations.</w:t>
      </w:r>
    </w:p>
    <w:p w:rsidR="00000000" w:rsidDel="00000000" w:rsidP="00000000" w:rsidRDefault="00000000" w:rsidRPr="00000000" w14:paraId="0000003C">
      <w:pPr>
        <w:pStyle w:val="Heading1"/>
        <w:rPr/>
      </w:pPr>
      <w:bookmarkStart w:colFirst="0" w:colLast="0" w:name="_8zmkj2dablwi" w:id="11"/>
      <w:bookmarkEnd w:id="11"/>
      <w:r w:rsidDel="00000000" w:rsidR="00000000" w:rsidRPr="00000000">
        <w:rPr>
          <w:rtl w:val="0"/>
        </w:rPr>
        <w:t xml:space="preserve">Section 11:</w:t>
      </w:r>
    </w:p>
    <w:p w:rsidR="00000000" w:rsidDel="00000000" w:rsidP="00000000" w:rsidRDefault="00000000" w:rsidRPr="00000000" w14:paraId="0000003D">
      <w:pPr>
        <w:spacing w:after="240" w:before="240" w:lineRule="auto"/>
        <w:rPr/>
      </w:pPr>
      <w:r w:rsidDel="00000000" w:rsidR="00000000" w:rsidRPr="00000000">
        <w:rPr>
          <w:rtl w:val="0"/>
        </w:rPr>
        <w:t xml:space="preserve">The handoff summary is structured identically to how a real data science team would brief an ML engineer who was not in the EDA sessions. Each model block answers four questions in the same order: what rows do you train on, what is the target, what features do you use, and what do you expect to see. A new team member reading only Section 11 knows exactly how to start training without reading any of the nine sections above it.</w:t>
      </w:r>
    </w:p>
    <w:p w:rsidR="00000000" w:rsidDel="00000000" w:rsidP="00000000" w:rsidRDefault="00000000" w:rsidRPr="00000000" w14:paraId="0000003E">
      <w:pPr>
        <w:spacing w:after="240" w:before="240" w:lineRule="auto"/>
        <w:rPr/>
      </w:pPr>
      <w:r w:rsidDel="00000000" w:rsidR="00000000" w:rsidRPr="00000000">
        <w:rPr>
          <w:rtl w:val="0"/>
        </w:rPr>
        <w:t xml:space="preserve">The feature lists include the correlation coefficients for both cities because the ML engineer needs to know not just which features to include but how strong each signal is expected to be. When SHAP outputs are generated after training, these numbers are the benchmark — if SHAP ranks </w:t>
      </w:r>
      <w:r w:rsidDel="00000000" w:rsidR="00000000" w:rsidRPr="00000000">
        <w:rPr>
          <w:rFonts w:ascii="Roboto Mono" w:cs="Roboto Mono" w:eastAsia="Roboto Mono" w:hAnsi="Roboto Mono"/>
          <w:color w:val="188038"/>
          <w:rtl w:val="0"/>
        </w:rPr>
        <w:t xml:space="preserve">person_capacity</w:t>
      </w:r>
      <w:r w:rsidDel="00000000" w:rsidR="00000000" w:rsidRPr="00000000">
        <w:rPr>
          <w:rtl w:val="0"/>
        </w:rPr>
        <w:t xml:space="preserve"> fifth for Paris but the EDA showed it at r=+0.545, that is a signal the model may have overfit somewhere else.</w:t>
      </w:r>
    </w:p>
    <w:p w:rsidR="00000000" w:rsidDel="00000000" w:rsidP="00000000" w:rsidRDefault="00000000" w:rsidRPr="00000000" w14:paraId="0000003F">
      <w:pPr>
        <w:spacing w:after="240" w:before="240" w:lineRule="auto"/>
        <w:rPr/>
      </w:pPr>
      <w:r w:rsidDel="00000000" w:rsidR="00000000" w:rsidRPr="00000000">
        <w:rPr>
          <w:rtl w:val="0"/>
        </w:rPr>
        <w:t xml:space="preserve">The "next steps in order" block at the end is numbered specifically because there are dependencies. XGBoost must be trained before the host intelligence agent can compute underpricing gaps. LightGBM must be trained before neighbourhood risk scores can be aggregated. LangGraph wiring comes last because it depends on all five models being available. The order matters and the numbered list makes it unambiguous.</w:t>
      </w:r>
    </w:p>
    <w:p w:rsidR="00000000" w:rsidDel="00000000" w:rsidP="00000000" w:rsidRDefault="00000000" w:rsidRPr="00000000" w14:paraId="00000040">
      <w:pPr>
        <w:spacing w:after="240" w:before="240" w:lineRule="auto"/>
        <w:rPr/>
      </w:pPr>
      <w:r w:rsidDel="00000000" w:rsidR="00000000" w:rsidRPr="00000000">
        <w:rPr>
          <w:rtl w:val="0"/>
        </w:rPr>
        <w:t xml:space="preserve">The final line — "The dataset is ready." — is a deliberate one-sentence paragraph. After 135,051 rows, 96 columns, 41 pipeline steps, 10 EDA sections, and 10 figures, the handoff deserves a clear full stop.</w:t>
      </w:r>
    </w:p>
    <w:p w:rsidR="00000000" w:rsidDel="00000000" w:rsidP="00000000" w:rsidRDefault="00000000" w:rsidRPr="00000000" w14:paraId="00000041">
      <w:pPr>
        <w:pStyle w:val="Heading1"/>
        <w:rPr/>
      </w:pPr>
      <w:bookmarkStart w:colFirst="0" w:colLast="0" w:name="_q6jip2nlx6e7" w:id="12"/>
      <w:bookmarkEnd w:id="12"/>
      <w:r w:rsidDel="00000000" w:rsidR="00000000" w:rsidRPr="00000000">
        <w:rPr>
          <w:rtl w:val="0"/>
        </w:rPr>
        <w:t xml:space="preserve">Section 12:</w:t>
      </w:r>
    </w:p>
    <w:p w:rsidR="00000000" w:rsidDel="00000000" w:rsidP="00000000" w:rsidRDefault="00000000" w:rsidRPr="00000000" w14:paraId="00000042">
      <w:pPr>
        <w:spacing w:after="240" w:before="240" w:lineRule="auto"/>
        <w:rPr/>
      </w:pPr>
      <w:r w:rsidDel="00000000" w:rsidR="00000000" w:rsidRPr="00000000">
        <w:rPr>
          <w:rtl w:val="0"/>
        </w:rPr>
        <w:t xml:space="preserve">The figure commentary follows a consistent three-part structure for every figure: what it shows technically, what it means commercially, and what questions it raises. This structure is deliberate. The technical summary confirms the figure is being read correctly. The commercial interpretation is what a KPMG partner cares about. The open questions show intellectual depth — they demonstrate that the team knows where the analysis stops being certain.</w:t>
      </w:r>
    </w:p>
    <w:p w:rsidR="00000000" w:rsidDel="00000000" w:rsidP="00000000" w:rsidRDefault="00000000" w:rsidRPr="00000000" w14:paraId="00000043">
      <w:pPr>
        <w:spacing w:after="240" w:before="240" w:lineRule="auto"/>
        <w:rPr/>
      </w:pPr>
      <w:r w:rsidDel="00000000" w:rsidR="00000000" w:rsidRPr="00000000">
        <w:rPr>
          <w:rtl w:val="0"/>
        </w:rPr>
        <w:t xml:space="preserve">The cross-figure synthesis section identifies the three findings that point at the same conclusion from different analytical angles. This convergence argument is more persuasive than any individual finding because it shows the result is not dependent on one analytical choice. The fact that location drives price (Section 6), location drives revenue (Section 8), and location drives guest sentiment (Section 10) all independently — using different variables, different methodologies, and different data sources — makes the central Athens investment thesis extremely robust.</w:t>
      </w:r>
    </w:p>
    <w:p w:rsidR="00000000" w:rsidDel="00000000" w:rsidP="00000000" w:rsidRDefault="00000000" w:rsidRPr="00000000" w14:paraId="00000044">
      <w:pPr>
        <w:spacing w:after="240" w:before="240" w:lineRule="auto"/>
        <w:rPr/>
      </w:pPr>
      <w:r w:rsidDel="00000000" w:rsidR="00000000" w:rsidRPr="00000000">
        <w:rPr>
          <w:rtl w:val="0"/>
        </w:rPr>
        <w:t xml:space="preserve">The segue to ML uses a FROM/TO format rather than a standard narrative because the transition from descriptive to predictive analysis is a genuine conceptual shift that benefits from explicit before/after framing. Each FROM statement references a specific number from the EDA. Each TO statement describes what the model will do with that insight. The parallel structure makes the connection between EDA findings and ML tasks unambiguous.</w:t>
      </w:r>
    </w:p>
    <w:p w:rsidR="00000000" w:rsidDel="00000000" w:rsidP="00000000" w:rsidRDefault="00000000" w:rsidRPr="00000000" w14:paraId="00000045">
      <w:pPr>
        <w:spacing w:after="240" w:before="240" w:lineRule="auto"/>
        <w:rPr/>
      </w:pPr>
      <w:r w:rsidDel="00000000" w:rsidR="00000000" w:rsidRPr="00000000">
        <w:rPr>
          <w:rtl w:val="0"/>
        </w:rPr>
        <w:t xml:space="preserve">The model training order is numbered with dependencies explicitly stated because this is the information an ML engineer needs first — not what the models do, but what order they must be built in and why. Steps 1-2 (XGBoost) must precede the host underpricing gap analysis because the gap is defined as predicted_price minus actual_price, and predicted_price requires a trained model.</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