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DF30" w14:textId="77777777" w:rsidR="003F531B" w:rsidRDefault="003F531B" w:rsidP="003F531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UNIVERSIDAD NACIONAL DE EDUCACIÓN</w:t>
      </w:r>
    </w:p>
    <w:p w14:paraId="35D304E9" w14:textId="77777777" w:rsidR="003F531B" w:rsidRDefault="003F531B" w:rsidP="003F531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ENRIQUE GUZMÁN Y VALLE</w:t>
      </w:r>
    </w:p>
    <w:p w14:paraId="7B703BA1" w14:textId="77777777" w:rsidR="003F531B" w:rsidRDefault="003F531B" w:rsidP="003F531B">
      <w:pPr>
        <w:spacing w:after="0"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Alma Máter del magisterio nacional</w:t>
      </w:r>
    </w:p>
    <w:p w14:paraId="1BAC794A" w14:textId="77777777" w:rsidR="003F531B" w:rsidRDefault="003F531B" w:rsidP="003F531B">
      <w:pPr>
        <w:spacing w:after="0" w:line="240" w:lineRule="auto"/>
        <w:jc w:val="center"/>
        <w:rPr>
          <w:rFonts w:ascii="Times New Roman" w:hAnsi="Times New Roman" w:cs="Times New Roman"/>
          <w:b/>
          <w:bCs/>
          <w:i/>
          <w:iCs/>
          <w:sz w:val="28"/>
          <w:szCs w:val="28"/>
        </w:rPr>
      </w:pPr>
    </w:p>
    <w:p w14:paraId="42B5D1A4" w14:textId="77777777" w:rsidR="003F531B" w:rsidRDefault="003F531B" w:rsidP="003F531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FACULTAD DE CIENCIAS SOCIALES Y HUMANIDADES</w:t>
      </w:r>
    </w:p>
    <w:p w14:paraId="54385E8A" w14:textId="3BC6E885" w:rsidR="003F531B" w:rsidRDefault="003F531B" w:rsidP="003F531B">
      <w:pPr>
        <w:spacing w:after="0" w:line="240" w:lineRule="auto"/>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6A74E43D" wp14:editId="2C8314EF">
            <wp:extent cx="2875280" cy="38881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14037" r="11732"/>
                    <a:stretch>
                      <a:fillRect/>
                    </a:stretch>
                  </pic:blipFill>
                  <pic:spPr bwMode="auto">
                    <a:xfrm>
                      <a:off x="0" y="0"/>
                      <a:ext cx="2875280" cy="3888105"/>
                    </a:xfrm>
                    <a:prstGeom prst="rect">
                      <a:avLst/>
                    </a:prstGeom>
                    <a:noFill/>
                    <a:ln>
                      <a:noFill/>
                    </a:ln>
                  </pic:spPr>
                </pic:pic>
              </a:graphicData>
            </a:graphic>
          </wp:inline>
        </w:drawing>
      </w:r>
    </w:p>
    <w:p w14:paraId="118FA56F" w14:textId="77777777" w:rsidR="003F531B" w:rsidRDefault="003F531B" w:rsidP="003F531B">
      <w:pPr>
        <w:spacing w:after="0" w:line="240" w:lineRule="auto"/>
        <w:jc w:val="center"/>
        <w:rPr>
          <w:rFonts w:ascii="Times New Roman" w:hAnsi="Times New Roman" w:cs="Times New Roman"/>
          <w:b/>
          <w:bCs/>
          <w:sz w:val="28"/>
          <w:szCs w:val="28"/>
        </w:rPr>
      </w:pPr>
    </w:p>
    <w:p w14:paraId="4ECA49DF" w14:textId="375CE89B" w:rsidR="003F531B" w:rsidRDefault="003F531B" w:rsidP="003F53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CITAS TEXTUALES</w:t>
      </w:r>
    </w:p>
    <w:p w14:paraId="0625725A" w14:textId="0254430D" w:rsidR="003F531B" w:rsidRDefault="003F531B" w:rsidP="003F531B">
      <w:pPr>
        <w:spacing w:after="0" w:line="360" w:lineRule="auto"/>
        <w:jc w:val="center"/>
        <w:rPr>
          <w:rFonts w:ascii="Times New Roman" w:hAnsi="Times New Roman" w:cs="Times New Roman"/>
          <w:sz w:val="28"/>
          <w:szCs w:val="28"/>
        </w:rPr>
      </w:pPr>
    </w:p>
    <w:p w14:paraId="759CFACC" w14:textId="77777777" w:rsidR="003F531B" w:rsidRDefault="003F531B" w:rsidP="003F531B">
      <w:pPr>
        <w:spacing w:after="0" w:line="360" w:lineRule="auto"/>
        <w:jc w:val="center"/>
        <w:rPr>
          <w:rFonts w:ascii="Times New Roman" w:hAnsi="Times New Roman" w:cs="Times New Roman"/>
          <w:sz w:val="28"/>
          <w:szCs w:val="28"/>
        </w:rPr>
      </w:pPr>
    </w:p>
    <w:p w14:paraId="65A09DEA" w14:textId="1FEEE1D8" w:rsidR="003F531B" w:rsidRDefault="003F531B" w:rsidP="003F531B">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ESTUDIANTE:</w:t>
      </w:r>
      <w:r>
        <w:rPr>
          <w:rFonts w:ascii="Times New Roman" w:hAnsi="Times New Roman" w:cs="Times New Roman"/>
          <w:sz w:val="28"/>
          <w:szCs w:val="28"/>
        </w:rPr>
        <w:t xml:space="preserve"> Andrea Teófila Casachagua Tuesta</w:t>
      </w:r>
    </w:p>
    <w:p w14:paraId="5DD71530" w14:textId="224E6358" w:rsidR="003F531B" w:rsidRDefault="003F531B" w:rsidP="003F531B">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SECCIÓN</w:t>
      </w:r>
      <w:r>
        <w:rPr>
          <w:rFonts w:ascii="Times New Roman" w:hAnsi="Times New Roman" w:cs="Times New Roman"/>
          <w:sz w:val="28"/>
          <w:szCs w:val="28"/>
        </w:rPr>
        <w:t>: S4 – 2020</w:t>
      </w:r>
    </w:p>
    <w:p w14:paraId="1F54C3F5" w14:textId="77777777" w:rsidR="003F531B" w:rsidRDefault="003F531B" w:rsidP="003F531B">
      <w:pPr>
        <w:spacing w:after="0" w:line="360" w:lineRule="auto"/>
        <w:jc w:val="center"/>
        <w:rPr>
          <w:rFonts w:ascii="Times New Roman" w:hAnsi="Times New Roman" w:cs="Times New Roman"/>
          <w:sz w:val="28"/>
          <w:szCs w:val="28"/>
        </w:rPr>
      </w:pPr>
    </w:p>
    <w:p w14:paraId="11EE489A" w14:textId="77777777" w:rsidR="003F531B" w:rsidRDefault="003F531B" w:rsidP="003F53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DOCENTE:</w:t>
      </w:r>
    </w:p>
    <w:p w14:paraId="7E24110F" w14:textId="5D5665FD" w:rsidR="003F531B" w:rsidRDefault="003F531B" w:rsidP="003F531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Dr. Roberto Marroquín Peña</w:t>
      </w:r>
    </w:p>
    <w:p w14:paraId="5693823C" w14:textId="77777777" w:rsidR="003F531B" w:rsidRDefault="003F531B" w:rsidP="003F531B">
      <w:pPr>
        <w:spacing w:after="0" w:line="360" w:lineRule="auto"/>
        <w:jc w:val="center"/>
        <w:rPr>
          <w:rFonts w:ascii="Times New Roman" w:hAnsi="Times New Roman" w:cs="Times New Roman"/>
          <w:sz w:val="28"/>
          <w:szCs w:val="28"/>
        </w:rPr>
      </w:pPr>
    </w:p>
    <w:p w14:paraId="48AF5E44" w14:textId="77777777" w:rsidR="003F531B" w:rsidRDefault="003F531B" w:rsidP="003F53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LIMA – PERÚ</w:t>
      </w:r>
    </w:p>
    <w:p w14:paraId="0AC02D40" w14:textId="77777777" w:rsidR="003F531B" w:rsidRDefault="003F531B" w:rsidP="003F531B">
      <w:pPr>
        <w:spacing w:after="0" w:line="360" w:lineRule="auto"/>
        <w:jc w:val="center"/>
        <w:rPr>
          <w:rFonts w:ascii="Times New Roman" w:hAnsi="Times New Roman" w:cs="Times New Roman"/>
          <w:b/>
          <w:bCs/>
          <w:sz w:val="28"/>
          <w:szCs w:val="28"/>
        </w:rPr>
      </w:pPr>
    </w:p>
    <w:p w14:paraId="22146374" w14:textId="73F82424" w:rsidR="003F531B" w:rsidRPr="003F531B" w:rsidRDefault="003F531B" w:rsidP="003F531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2020</w:t>
      </w:r>
    </w:p>
    <w:p w14:paraId="656F1BF4" w14:textId="37C4285A" w:rsidR="00A44807" w:rsidRDefault="00B26BD4" w:rsidP="00B26BD4">
      <w:pPr>
        <w:jc w:val="center"/>
        <w:rPr>
          <w:rFonts w:ascii="Britannic Bold" w:hAnsi="Britannic Bold"/>
          <w:sz w:val="32"/>
          <w:szCs w:val="32"/>
          <w:lang w:val="es-ES"/>
        </w:rPr>
      </w:pPr>
      <w:bookmarkStart w:id="0" w:name="_Hlk57115948"/>
      <w:r w:rsidRPr="00B26BD4">
        <w:rPr>
          <w:rFonts w:ascii="Britannic Bold" w:hAnsi="Britannic Bold"/>
          <w:sz w:val="32"/>
          <w:szCs w:val="32"/>
          <w:lang w:val="es-ES"/>
        </w:rPr>
        <w:lastRenderedPageBreak/>
        <w:t>CITAS TEXTUALES</w:t>
      </w:r>
    </w:p>
    <w:p w14:paraId="0341B852" w14:textId="54EE0A5B" w:rsidR="00B26BD4" w:rsidRPr="00B26BD4" w:rsidRDefault="00B26BD4" w:rsidP="00B26BD4">
      <w:pPr>
        <w:pStyle w:val="Prrafodelista"/>
        <w:numPr>
          <w:ilvl w:val="0"/>
          <w:numId w:val="1"/>
        </w:numPr>
        <w:rPr>
          <w:rFonts w:ascii="Britannic Bold" w:hAnsi="Britannic Bold"/>
          <w:lang w:val="es-ES"/>
        </w:rPr>
      </w:pPr>
      <w:r>
        <w:t>Desarrolla 2 citas textuales; una basada en el texto, otro basado en el autor</w:t>
      </w:r>
      <w:r w:rsidR="003C55D1">
        <w:t>:</w:t>
      </w:r>
    </w:p>
    <w:p w14:paraId="57BF175C" w14:textId="76F2CA4D" w:rsidR="0014691B" w:rsidRDefault="0014691B" w:rsidP="0014691B">
      <w:pPr>
        <w:pStyle w:val="Prrafodelista"/>
        <w:rPr>
          <w:rFonts w:asciiTheme="majorHAnsi" w:hAnsiTheme="majorHAnsi" w:cstheme="majorHAnsi"/>
          <w:b/>
          <w:bCs/>
          <w:lang w:val="es-ES"/>
        </w:rPr>
      </w:pPr>
      <w:r>
        <w:rPr>
          <w:rFonts w:asciiTheme="majorHAnsi" w:hAnsiTheme="majorHAnsi" w:cstheme="majorHAnsi"/>
          <w:b/>
          <w:bCs/>
          <w:lang w:val="es-ES"/>
        </w:rPr>
        <w:t xml:space="preserve">BASADA EN EL TEXTO: </w:t>
      </w:r>
      <w:r>
        <w:rPr>
          <w:rFonts w:asciiTheme="majorHAnsi" w:hAnsiTheme="majorHAnsi" w:cstheme="majorHAnsi"/>
          <w:b/>
          <w:bCs/>
          <w:lang w:val="es-ES"/>
        </w:rPr>
        <w:br/>
      </w:r>
    </w:p>
    <w:p w14:paraId="2DD5B575" w14:textId="599D8696" w:rsidR="0014691B" w:rsidRDefault="0014691B" w:rsidP="0014691B">
      <w:pPr>
        <w:pStyle w:val="Prrafodelista"/>
        <w:rPr>
          <w:rFonts w:asciiTheme="majorHAnsi" w:hAnsiTheme="majorHAnsi" w:cstheme="majorHAnsi"/>
          <w:b/>
          <w:bCs/>
          <w:lang w:val="es-ES"/>
        </w:rPr>
      </w:pPr>
    </w:p>
    <w:p w14:paraId="5C6FD598" w14:textId="2E703BA8" w:rsidR="00406197" w:rsidRPr="003C55D1" w:rsidRDefault="003C55D1" w:rsidP="00836262">
      <w:pPr>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w:t>
      </w:r>
      <w:r w:rsidR="00406197" w:rsidRPr="003C55D1">
        <w:rPr>
          <w:rFonts w:ascii="Times New Roman" w:hAnsi="Times New Roman" w:cs="Times New Roman"/>
          <w:color w:val="202124"/>
          <w:sz w:val="24"/>
          <w:szCs w:val="24"/>
          <w:shd w:val="clear" w:color="auto" w:fill="FFFFFF"/>
        </w:rPr>
        <w:t>“Una revisión de múltiples investigaciones acerca del clima escolar identificar al menos cuatro áreas fundamentales: la calidad general del ambiente académico, el desarrollo profesional, la comunidad y el desarrollo institucional” (Cohen, McCabe, Michelli, y Pickeral, 2009, p. 78).</w:t>
      </w:r>
    </w:p>
    <w:bookmarkEnd w:id="0"/>
    <w:p w14:paraId="4560E10C" w14:textId="69ED9C8C" w:rsidR="0014691B" w:rsidRPr="003C55D1" w:rsidRDefault="0014691B" w:rsidP="0014691B">
      <w:pPr>
        <w:pStyle w:val="Prrafodelista"/>
        <w:rPr>
          <w:rFonts w:ascii="Times New Roman" w:hAnsi="Times New Roman" w:cs="Times New Roman"/>
          <w:b/>
          <w:bCs/>
          <w:sz w:val="24"/>
          <w:szCs w:val="24"/>
          <w:lang w:val="es-ES"/>
        </w:rPr>
      </w:pPr>
    </w:p>
    <w:p w14:paraId="7A102F02" w14:textId="667C6432" w:rsidR="0014691B" w:rsidRDefault="0014691B" w:rsidP="0014691B">
      <w:pPr>
        <w:pStyle w:val="Prrafodelista"/>
        <w:rPr>
          <w:rFonts w:asciiTheme="majorHAnsi" w:hAnsiTheme="majorHAnsi" w:cstheme="majorHAnsi"/>
          <w:b/>
          <w:bCs/>
          <w:lang w:val="es-ES"/>
        </w:rPr>
      </w:pPr>
    </w:p>
    <w:p w14:paraId="14D83D45" w14:textId="071EF1CC" w:rsidR="0014691B" w:rsidRPr="00406197" w:rsidRDefault="0014691B" w:rsidP="003C55D1">
      <w:pPr>
        <w:ind w:firstLine="708"/>
        <w:rPr>
          <w:rFonts w:asciiTheme="majorHAnsi" w:hAnsiTheme="majorHAnsi" w:cstheme="majorHAnsi"/>
          <w:b/>
          <w:bCs/>
          <w:lang w:val="es-ES"/>
        </w:rPr>
      </w:pPr>
      <w:bookmarkStart w:id="1" w:name="_Hlk57116020"/>
      <w:r w:rsidRPr="00406197">
        <w:rPr>
          <w:rFonts w:asciiTheme="majorHAnsi" w:hAnsiTheme="majorHAnsi" w:cstheme="majorHAnsi"/>
          <w:b/>
          <w:bCs/>
          <w:lang w:val="es-ES"/>
        </w:rPr>
        <w:t>BASADA EN EL AUTOR:</w:t>
      </w:r>
    </w:p>
    <w:p w14:paraId="63968FA0" w14:textId="7414A2C4" w:rsidR="0014691B" w:rsidRDefault="0014691B" w:rsidP="0014691B">
      <w:pPr>
        <w:pStyle w:val="Prrafodelista"/>
        <w:rPr>
          <w:rFonts w:asciiTheme="majorHAnsi" w:hAnsiTheme="majorHAnsi" w:cstheme="majorHAnsi"/>
          <w:b/>
          <w:bCs/>
          <w:lang w:val="es-ES"/>
        </w:rPr>
      </w:pPr>
    </w:p>
    <w:p w14:paraId="14B55877" w14:textId="63760C82" w:rsidR="00406197" w:rsidRPr="003C55D1" w:rsidRDefault="003C55D1" w:rsidP="003E5EEE">
      <w:pPr>
        <w:spacing w:line="240" w:lineRule="auto"/>
        <w:ind w:firstLine="709"/>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w:t>
      </w:r>
      <w:r w:rsidR="00406197" w:rsidRPr="003C55D1">
        <w:rPr>
          <w:rFonts w:ascii="Times New Roman" w:hAnsi="Times New Roman" w:cs="Times New Roman"/>
          <w:color w:val="202124"/>
          <w:sz w:val="24"/>
          <w:szCs w:val="24"/>
          <w:shd w:val="clear" w:color="auto" w:fill="FFFFFF"/>
        </w:rPr>
        <w:t xml:space="preserve">Gonzales (2015) refirió: Consecuentemente, hemos de tener en cuenta no solo </w:t>
      </w:r>
      <w:r w:rsidR="003E5EEE" w:rsidRPr="003C55D1">
        <w:rPr>
          <w:rFonts w:ascii="Times New Roman" w:hAnsi="Times New Roman" w:cs="Times New Roman"/>
          <w:color w:val="202124"/>
          <w:sz w:val="24"/>
          <w:szCs w:val="24"/>
          <w:shd w:val="clear" w:color="auto" w:fill="FFFFFF"/>
        </w:rPr>
        <w:t xml:space="preserve">la </w:t>
      </w:r>
      <w:r w:rsidR="003E5EEE">
        <w:rPr>
          <w:rFonts w:ascii="Times New Roman" w:hAnsi="Times New Roman" w:cs="Times New Roman"/>
          <w:color w:val="202124"/>
          <w:sz w:val="24"/>
          <w:szCs w:val="24"/>
          <w:shd w:val="clear" w:color="auto" w:fill="FFFFFF"/>
        </w:rPr>
        <w:tab/>
      </w:r>
      <w:r w:rsidR="00406197" w:rsidRPr="003C55D1">
        <w:rPr>
          <w:rFonts w:ascii="Times New Roman" w:hAnsi="Times New Roman" w:cs="Times New Roman"/>
          <w:color w:val="202124"/>
          <w:sz w:val="24"/>
          <w:szCs w:val="24"/>
          <w:shd w:val="clear" w:color="auto" w:fill="FFFFFF"/>
        </w:rPr>
        <w:t xml:space="preserve">inteligencia de los sujetos para determinar si tiene alta capacidad o no, sino otros </w:t>
      </w:r>
      <w:r w:rsidR="003E5EEE">
        <w:rPr>
          <w:rFonts w:ascii="Times New Roman" w:hAnsi="Times New Roman" w:cs="Times New Roman"/>
          <w:color w:val="202124"/>
          <w:sz w:val="24"/>
          <w:szCs w:val="24"/>
          <w:shd w:val="clear" w:color="auto" w:fill="FFFFFF"/>
        </w:rPr>
        <w:tab/>
      </w:r>
      <w:r w:rsidR="00406197" w:rsidRPr="003C55D1">
        <w:rPr>
          <w:rFonts w:ascii="Times New Roman" w:hAnsi="Times New Roman" w:cs="Times New Roman"/>
          <w:color w:val="202124"/>
          <w:sz w:val="24"/>
          <w:szCs w:val="24"/>
          <w:shd w:val="clear" w:color="auto" w:fill="FFFFFF"/>
        </w:rPr>
        <w:t xml:space="preserve">factores y variables. Por ello, para poder realizar una adecuada evaluación o perfil </w:t>
      </w:r>
      <w:r w:rsidR="003E5EEE">
        <w:rPr>
          <w:rFonts w:ascii="Times New Roman" w:hAnsi="Times New Roman" w:cs="Times New Roman"/>
          <w:color w:val="202124"/>
          <w:sz w:val="24"/>
          <w:szCs w:val="24"/>
          <w:shd w:val="clear" w:color="auto" w:fill="FFFFFF"/>
        </w:rPr>
        <w:tab/>
      </w:r>
      <w:r w:rsidR="00406197" w:rsidRPr="003C55D1">
        <w:rPr>
          <w:rFonts w:ascii="Times New Roman" w:hAnsi="Times New Roman" w:cs="Times New Roman"/>
          <w:color w:val="202124"/>
          <w:sz w:val="24"/>
          <w:szCs w:val="24"/>
          <w:shd w:val="clear" w:color="auto" w:fill="FFFFFF"/>
        </w:rPr>
        <w:t xml:space="preserve">psicopedagógico es necesario tener en cuenta otras variables o elementos de </w:t>
      </w:r>
      <w:r w:rsidR="003E5EEE">
        <w:rPr>
          <w:rFonts w:ascii="Times New Roman" w:hAnsi="Times New Roman" w:cs="Times New Roman"/>
          <w:color w:val="202124"/>
          <w:sz w:val="24"/>
          <w:szCs w:val="24"/>
          <w:shd w:val="clear" w:color="auto" w:fill="FFFFFF"/>
        </w:rPr>
        <w:tab/>
      </w:r>
      <w:r w:rsidR="00406197" w:rsidRPr="003C55D1">
        <w:rPr>
          <w:rFonts w:ascii="Times New Roman" w:hAnsi="Times New Roman" w:cs="Times New Roman"/>
          <w:color w:val="202124"/>
          <w:sz w:val="24"/>
          <w:szCs w:val="24"/>
          <w:shd w:val="clear" w:color="auto" w:fill="FFFFFF"/>
        </w:rPr>
        <w:t xml:space="preserve">estudio, que nos ayuden a complementar la valoración de las características </w:t>
      </w:r>
      <w:r w:rsidR="003E5EEE">
        <w:rPr>
          <w:rFonts w:ascii="Times New Roman" w:hAnsi="Times New Roman" w:cs="Times New Roman"/>
          <w:color w:val="202124"/>
          <w:sz w:val="24"/>
          <w:szCs w:val="24"/>
          <w:shd w:val="clear" w:color="auto" w:fill="FFFFFF"/>
        </w:rPr>
        <w:tab/>
      </w:r>
      <w:r w:rsidR="00406197" w:rsidRPr="003C55D1">
        <w:rPr>
          <w:rFonts w:ascii="Times New Roman" w:hAnsi="Times New Roman" w:cs="Times New Roman"/>
          <w:color w:val="202124"/>
          <w:sz w:val="24"/>
          <w:szCs w:val="24"/>
          <w:shd w:val="clear" w:color="auto" w:fill="FFFFFF"/>
        </w:rPr>
        <w:t>diferenciales de este grupo de alumnos (p. 25).</w:t>
      </w:r>
    </w:p>
    <w:bookmarkEnd w:id="1"/>
    <w:p w14:paraId="50F5FDCF" w14:textId="28E469BC" w:rsidR="0014691B" w:rsidRDefault="0014691B" w:rsidP="0014691B">
      <w:pPr>
        <w:pStyle w:val="Prrafodelista"/>
        <w:rPr>
          <w:rFonts w:asciiTheme="majorHAnsi" w:hAnsiTheme="majorHAnsi" w:cstheme="majorHAnsi"/>
          <w:b/>
          <w:bCs/>
          <w:lang w:val="es-ES"/>
        </w:rPr>
      </w:pPr>
    </w:p>
    <w:p w14:paraId="6D8093BE" w14:textId="41C220E3" w:rsidR="0014691B" w:rsidRDefault="0014691B" w:rsidP="0014691B">
      <w:pPr>
        <w:pStyle w:val="Prrafodelista"/>
        <w:rPr>
          <w:rFonts w:asciiTheme="majorHAnsi" w:hAnsiTheme="majorHAnsi" w:cstheme="majorHAnsi"/>
          <w:b/>
          <w:bCs/>
          <w:lang w:val="es-ES"/>
        </w:rPr>
      </w:pPr>
    </w:p>
    <w:p w14:paraId="7CBB26DE" w14:textId="674C14FE" w:rsidR="005505CE" w:rsidRPr="00D14D7A" w:rsidRDefault="005505CE" w:rsidP="004D3039">
      <w:pPr>
        <w:pStyle w:val="Prrafodelista"/>
        <w:numPr>
          <w:ilvl w:val="0"/>
          <w:numId w:val="1"/>
        </w:numPr>
        <w:rPr>
          <w:rFonts w:asciiTheme="majorHAnsi" w:hAnsiTheme="majorHAnsi" w:cstheme="majorHAnsi"/>
          <w:b/>
          <w:bCs/>
          <w:lang w:val="es-ES"/>
        </w:rPr>
      </w:pPr>
      <w:r w:rsidRPr="00D14D7A">
        <w:rPr>
          <w:b/>
          <w:bCs/>
        </w:rPr>
        <w:t>Desarrolla dos citas textuales de menos de 40 palabras:</w:t>
      </w:r>
    </w:p>
    <w:p w14:paraId="0548FDAB" w14:textId="285EECA2" w:rsidR="005505CE" w:rsidRDefault="005505CE" w:rsidP="005505CE">
      <w:pPr>
        <w:pStyle w:val="Prrafodelista"/>
        <w:rPr>
          <w:rFonts w:asciiTheme="majorHAnsi" w:hAnsiTheme="majorHAnsi" w:cstheme="majorHAnsi"/>
          <w:b/>
          <w:bCs/>
          <w:lang w:val="es-ES"/>
        </w:rPr>
      </w:pPr>
    </w:p>
    <w:p w14:paraId="37AD3FD3" w14:textId="25F92809" w:rsidR="000D4F82" w:rsidRDefault="000D4F82" w:rsidP="0014691B">
      <w:pPr>
        <w:pStyle w:val="Prrafodelista"/>
        <w:rPr>
          <w:rFonts w:asciiTheme="majorHAnsi" w:hAnsiTheme="majorHAnsi" w:cstheme="majorHAnsi"/>
          <w:b/>
          <w:bCs/>
          <w:lang w:val="es-ES"/>
        </w:rPr>
      </w:pPr>
    </w:p>
    <w:p w14:paraId="3305896E" w14:textId="7BDCB5D1" w:rsidR="000D4F82" w:rsidRDefault="000D4F82" w:rsidP="0014691B">
      <w:pPr>
        <w:pStyle w:val="Prrafodelista"/>
        <w:rPr>
          <w:rFonts w:asciiTheme="majorHAnsi" w:hAnsiTheme="majorHAnsi" w:cstheme="majorHAnsi"/>
          <w:b/>
          <w:bCs/>
          <w:lang w:val="es-ES"/>
        </w:rPr>
      </w:pPr>
    </w:p>
    <w:p w14:paraId="687B3A92" w14:textId="161E832D" w:rsidR="00406197" w:rsidRPr="003C55D1" w:rsidRDefault="003C55D1" w:rsidP="00836262">
      <w:pPr>
        <w:shd w:val="clear" w:color="auto" w:fill="FFFFFF"/>
        <w:spacing w:after="0" w:line="300" w:lineRule="atLeast"/>
        <w:rPr>
          <w:rFonts w:ascii="Times New Roman" w:eastAsia="Times New Roman" w:hAnsi="Times New Roman" w:cs="Times New Roman"/>
          <w:color w:val="202124"/>
          <w:sz w:val="24"/>
          <w:szCs w:val="24"/>
          <w:lang w:eastAsia="es-PE"/>
        </w:rPr>
      </w:pPr>
      <w:r>
        <w:rPr>
          <w:rFonts w:ascii="Times New Roman" w:eastAsia="Times New Roman" w:hAnsi="Times New Roman" w:cs="Times New Roman"/>
          <w:color w:val="202124"/>
          <w:sz w:val="24"/>
          <w:szCs w:val="24"/>
          <w:lang w:eastAsia="es-PE"/>
        </w:rPr>
        <w:t xml:space="preserve">     </w:t>
      </w:r>
      <w:r w:rsidR="00406197" w:rsidRPr="003C55D1">
        <w:rPr>
          <w:rFonts w:ascii="Times New Roman" w:eastAsia="Times New Roman" w:hAnsi="Times New Roman" w:cs="Times New Roman"/>
          <w:color w:val="202124"/>
          <w:sz w:val="24"/>
          <w:szCs w:val="24"/>
          <w:lang w:eastAsia="es-PE"/>
        </w:rPr>
        <w:t>Lerner (2003) concluyó: “Para el PCP-SL los derechos humanos tenían un carácter burgués reaccionario contrarrevolucionario y eran opuestos a los que ellos denominaban derechos del pueblo” (p. 127).</w:t>
      </w:r>
    </w:p>
    <w:p w14:paraId="2AB88A1D" w14:textId="608BA664" w:rsidR="000D4F82" w:rsidRPr="003C55D1" w:rsidRDefault="000D4F82" w:rsidP="0014691B">
      <w:pPr>
        <w:pStyle w:val="Prrafodelista"/>
        <w:rPr>
          <w:rFonts w:ascii="Times New Roman" w:hAnsi="Times New Roman" w:cs="Times New Roman"/>
          <w:b/>
          <w:bCs/>
          <w:sz w:val="24"/>
          <w:szCs w:val="24"/>
          <w:lang w:val="es-ES"/>
        </w:rPr>
      </w:pPr>
    </w:p>
    <w:p w14:paraId="30F66C84" w14:textId="686F23A3" w:rsidR="0014691B" w:rsidRPr="003C55D1" w:rsidRDefault="0014691B" w:rsidP="0014691B">
      <w:pPr>
        <w:pStyle w:val="Prrafodelista"/>
        <w:rPr>
          <w:rFonts w:ascii="Times New Roman" w:hAnsi="Times New Roman" w:cs="Times New Roman"/>
          <w:b/>
          <w:bCs/>
          <w:sz w:val="24"/>
          <w:szCs w:val="24"/>
          <w:lang w:val="es-ES"/>
        </w:rPr>
      </w:pPr>
    </w:p>
    <w:p w14:paraId="0AB70CBE" w14:textId="2BD63E74" w:rsidR="000D4F82" w:rsidRPr="003C55D1" w:rsidRDefault="000D4F82" w:rsidP="0014691B">
      <w:pPr>
        <w:pStyle w:val="Prrafodelista"/>
        <w:rPr>
          <w:rFonts w:ascii="Times New Roman" w:hAnsi="Times New Roman" w:cs="Times New Roman"/>
          <w:b/>
          <w:bCs/>
          <w:sz w:val="24"/>
          <w:szCs w:val="24"/>
          <w:lang w:val="es-ES"/>
        </w:rPr>
      </w:pPr>
    </w:p>
    <w:p w14:paraId="00DA3181" w14:textId="23B25471" w:rsidR="00406197" w:rsidRPr="003C55D1" w:rsidRDefault="003C55D1" w:rsidP="00836262">
      <w:pPr>
        <w:shd w:val="clear" w:color="auto" w:fill="FFFFFF"/>
        <w:spacing w:after="0" w:line="300" w:lineRule="atLeast"/>
        <w:rPr>
          <w:rFonts w:ascii="Times New Roman" w:eastAsia="Times New Roman" w:hAnsi="Times New Roman" w:cs="Times New Roman"/>
          <w:color w:val="202124"/>
          <w:sz w:val="24"/>
          <w:szCs w:val="24"/>
          <w:lang w:eastAsia="es-PE"/>
        </w:rPr>
      </w:pPr>
      <w:r>
        <w:rPr>
          <w:rFonts w:ascii="Times New Roman" w:eastAsia="Times New Roman" w:hAnsi="Times New Roman" w:cs="Times New Roman"/>
          <w:color w:val="202124"/>
          <w:sz w:val="24"/>
          <w:szCs w:val="24"/>
          <w:lang w:eastAsia="es-PE"/>
        </w:rPr>
        <w:t xml:space="preserve">     </w:t>
      </w:r>
      <w:r w:rsidR="00406197" w:rsidRPr="003C55D1">
        <w:rPr>
          <w:rFonts w:ascii="Times New Roman" w:eastAsia="Times New Roman" w:hAnsi="Times New Roman" w:cs="Times New Roman"/>
          <w:color w:val="202124"/>
          <w:sz w:val="24"/>
          <w:szCs w:val="24"/>
          <w:lang w:eastAsia="es-PE"/>
        </w:rPr>
        <w:t>Hitler (1924) refirió: “Si Alemania quiere poner fin al peligro de exterminio que la amenaza en Europa, deberá tener cuidado de no reincidir en los errores de la anteguerra, haciéndose enemiga del mundo entero” (p. 172).</w:t>
      </w:r>
    </w:p>
    <w:p w14:paraId="566891FD" w14:textId="692E1F8D" w:rsidR="000D4F82" w:rsidRDefault="000D4F82" w:rsidP="0014691B">
      <w:pPr>
        <w:pStyle w:val="Prrafodelista"/>
        <w:rPr>
          <w:rFonts w:asciiTheme="majorHAnsi" w:hAnsiTheme="majorHAnsi" w:cstheme="majorHAnsi"/>
          <w:b/>
          <w:bCs/>
          <w:lang w:val="es-ES"/>
        </w:rPr>
      </w:pPr>
    </w:p>
    <w:p w14:paraId="297D4B8D" w14:textId="46C82635" w:rsidR="00657853" w:rsidRDefault="00657853" w:rsidP="0014691B">
      <w:pPr>
        <w:pStyle w:val="Prrafodelista"/>
        <w:rPr>
          <w:rFonts w:asciiTheme="majorHAnsi" w:hAnsiTheme="majorHAnsi" w:cstheme="majorHAnsi"/>
          <w:b/>
          <w:bCs/>
          <w:lang w:val="es-ES"/>
        </w:rPr>
      </w:pPr>
    </w:p>
    <w:p w14:paraId="076E8BC2" w14:textId="36F45669" w:rsidR="00657853" w:rsidRDefault="00657853" w:rsidP="0014691B">
      <w:pPr>
        <w:pStyle w:val="Prrafodelista"/>
        <w:rPr>
          <w:rFonts w:asciiTheme="majorHAnsi" w:hAnsiTheme="majorHAnsi" w:cstheme="majorHAnsi"/>
          <w:b/>
          <w:bCs/>
          <w:lang w:val="es-ES"/>
        </w:rPr>
      </w:pPr>
    </w:p>
    <w:p w14:paraId="56A3D82E" w14:textId="66A934F9" w:rsidR="00657853" w:rsidRDefault="00657853" w:rsidP="0014691B">
      <w:pPr>
        <w:pStyle w:val="Prrafodelista"/>
        <w:rPr>
          <w:rFonts w:asciiTheme="majorHAnsi" w:hAnsiTheme="majorHAnsi" w:cstheme="majorHAnsi"/>
          <w:b/>
          <w:bCs/>
          <w:lang w:val="es-ES"/>
        </w:rPr>
      </w:pPr>
    </w:p>
    <w:p w14:paraId="0462339D" w14:textId="4662CAE0" w:rsidR="00657853" w:rsidRDefault="00657853" w:rsidP="0014691B">
      <w:pPr>
        <w:pStyle w:val="Prrafodelista"/>
        <w:rPr>
          <w:rFonts w:asciiTheme="majorHAnsi" w:hAnsiTheme="majorHAnsi" w:cstheme="majorHAnsi"/>
          <w:b/>
          <w:bCs/>
          <w:lang w:val="es-ES"/>
        </w:rPr>
      </w:pPr>
    </w:p>
    <w:p w14:paraId="570DE018" w14:textId="4A5AE810" w:rsidR="00657853" w:rsidRDefault="00657853" w:rsidP="0014691B">
      <w:pPr>
        <w:pStyle w:val="Prrafodelista"/>
        <w:rPr>
          <w:rFonts w:asciiTheme="majorHAnsi" w:hAnsiTheme="majorHAnsi" w:cstheme="majorHAnsi"/>
          <w:b/>
          <w:bCs/>
          <w:lang w:val="es-ES"/>
        </w:rPr>
      </w:pPr>
    </w:p>
    <w:p w14:paraId="4DFC21A3" w14:textId="5CA33EF5" w:rsidR="000D4F82" w:rsidRPr="003C55D1" w:rsidRDefault="000D4F82" w:rsidP="003C55D1">
      <w:pPr>
        <w:rPr>
          <w:rFonts w:asciiTheme="majorHAnsi" w:hAnsiTheme="majorHAnsi" w:cstheme="majorHAnsi"/>
          <w:b/>
          <w:bCs/>
          <w:lang w:val="es-ES"/>
        </w:rPr>
      </w:pPr>
    </w:p>
    <w:p w14:paraId="4EEB4F2B" w14:textId="0E97D3CC" w:rsidR="004D3039" w:rsidRPr="00D14D7A" w:rsidRDefault="004D3039" w:rsidP="004D3039">
      <w:pPr>
        <w:pStyle w:val="Prrafodelista"/>
        <w:numPr>
          <w:ilvl w:val="0"/>
          <w:numId w:val="1"/>
        </w:numPr>
        <w:rPr>
          <w:rFonts w:asciiTheme="majorHAnsi" w:hAnsiTheme="majorHAnsi" w:cstheme="majorHAnsi"/>
          <w:b/>
          <w:bCs/>
          <w:lang w:val="es-ES"/>
        </w:rPr>
      </w:pPr>
      <w:r w:rsidRPr="00D14D7A">
        <w:rPr>
          <w:b/>
          <w:bCs/>
        </w:rPr>
        <w:lastRenderedPageBreak/>
        <w:t>Desarrolla dos citas textuales de más de 40 palabras:</w:t>
      </w:r>
    </w:p>
    <w:p w14:paraId="11CD322A" w14:textId="52C8F565" w:rsidR="000D4F82" w:rsidRDefault="000D4F82" w:rsidP="0014691B">
      <w:pPr>
        <w:pStyle w:val="Prrafodelista"/>
        <w:rPr>
          <w:rFonts w:asciiTheme="majorHAnsi" w:hAnsiTheme="majorHAnsi" w:cstheme="majorHAnsi"/>
          <w:b/>
          <w:bCs/>
          <w:lang w:val="es-ES"/>
        </w:rPr>
      </w:pPr>
    </w:p>
    <w:p w14:paraId="465A36DE" w14:textId="0DF7CB7A" w:rsidR="00836262" w:rsidRDefault="00836262" w:rsidP="00836262">
      <w:pPr>
        <w:shd w:val="clear" w:color="auto" w:fill="FFFFFF"/>
        <w:spacing w:after="0" w:line="300" w:lineRule="atLeast"/>
        <w:ind w:left="360"/>
        <w:jc w:val="both"/>
        <w:rPr>
          <w:rFonts w:ascii="Times New Roman" w:eastAsia="Times New Roman" w:hAnsi="Times New Roman" w:cs="Times New Roman"/>
          <w:color w:val="202124"/>
          <w:sz w:val="24"/>
          <w:szCs w:val="24"/>
          <w:lang w:eastAsia="es-PE"/>
        </w:rPr>
      </w:pPr>
    </w:p>
    <w:p w14:paraId="47428F34" w14:textId="1D97983D" w:rsidR="00406197" w:rsidRPr="003C55D1" w:rsidRDefault="00406197" w:rsidP="0043318B">
      <w:pPr>
        <w:shd w:val="clear" w:color="auto" w:fill="FFFFFF"/>
        <w:spacing w:after="0" w:line="300" w:lineRule="atLeast"/>
        <w:ind w:left="708" w:firstLine="348"/>
        <w:rPr>
          <w:rFonts w:ascii="Times New Roman" w:eastAsia="Times New Roman" w:hAnsi="Times New Roman" w:cs="Times New Roman"/>
          <w:color w:val="202124"/>
          <w:sz w:val="24"/>
          <w:szCs w:val="24"/>
          <w:lang w:eastAsia="es-PE"/>
        </w:rPr>
      </w:pPr>
      <w:r w:rsidRPr="003C55D1">
        <w:rPr>
          <w:rFonts w:ascii="Times New Roman" w:eastAsia="Times New Roman" w:hAnsi="Times New Roman" w:cs="Times New Roman"/>
          <w:color w:val="202124"/>
          <w:sz w:val="24"/>
          <w:szCs w:val="24"/>
          <w:lang w:eastAsia="es-PE"/>
        </w:rPr>
        <w:t>Basadre (1946) concluyó: Fue La Mar hombre serio, sencillo y afable. Poseía una brillante hoja de servicios que se iniciaba con las campañas hechas en España contra la invasión napoleónica y con el grado de Mariscal de Campo que obtuviera en el ejército español; y que incluía la batalla de Ayacucho, en cuyo comando tuvo intervención eficaz. Pero, íntimamente, La Mar no era soldadesco.</w:t>
      </w:r>
    </w:p>
    <w:p w14:paraId="5F7C8CB7" w14:textId="77777777" w:rsidR="00406197" w:rsidRPr="003C55D1" w:rsidRDefault="00406197" w:rsidP="0043318B">
      <w:pPr>
        <w:shd w:val="clear" w:color="auto" w:fill="FFFFFF"/>
        <w:spacing w:after="0" w:line="300" w:lineRule="atLeast"/>
        <w:ind w:left="708"/>
        <w:rPr>
          <w:rFonts w:ascii="Times New Roman" w:eastAsia="Times New Roman" w:hAnsi="Times New Roman" w:cs="Times New Roman"/>
          <w:color w:val="202124"/>
          <w:sz w:val="24"/>
          <w:szCs w:val="24"/>
          <w:lang w:eastAsia="es-PE"/>
        </w:rPr>
      </w:pPr>
      <w:r w:rsidRPr="003C55D1">
        <w:rPr>
          <w:rFonts w:ascii="Times New Roman" w:eastAsia="Times New Roman" w:hAnsi="Times New Roman" w:cs="Times New Roman"/>
          <w:color w:val="202124"/>
          <w:sz w:val="24"/>
          <w:szCs w:val="24"/>
          <w:lang w:eastAsia="es-PE"/>
        </w:rPr>
        <w:t>Por eso, precisamente, los liberales le llevaron dos veces al poder, que obtuvo así por la falta de las características que en otros fue la única justificación para alcanzarlo (p. 297).</w:t>
      </w:r>
    </w:p>
    <w:p w14:paraId="027B1789" w14:textId="77777777" w:rsidR="00406197" w:rsidRPr="003C55D1" w:rsidRDefault="00406197" w:rsidP="0014691B">
      <w:pPr>
        <w:pStyle w:val="Prrafodelista"/>
        <w:rPr>
          <w:rFonts w:ascii="Times New Roman" w:hAnsi="Times New Roman" w:cs="Times New Roman"/>
          <w:b/>
          <w:bCs/>
          <w:sz w:val="24"/>
          <w:szCs w:val="24"/>
          <w:lang w:val="es-ES"/>
        </w:rPr>
      </w:pPr>
    </w:p>
    <w:p w14:paraId="091CE239" w14:textId="190FE63B" w:rsidR="000D4F82" w:rsidRPr="003C55D1" w:rsidRDefault="000D4F82" w:rsidP="0014691B">
      <w:pPr>
        <w:pStyle w:val="Prrafodelista"/>
        <w:rPr>
          <w:rFonts w:ascii="Times New Roman" w:hAnsi="Times New Roman" w:cs="Times New Roman"/>
          <w:b/>
          <w:bCs/>
          <w:sz w:val="24"/>
          <w:szCs w:val="24"/>
          <w:lang w:val="es-ES"/>
        </w:rPr>
      </w:pPr>
    </w:p>
    <w:p w14:paraId="30CBFD27" w14:textId="688E1216" w:rsidR="000D4F82" w:rsidRPr="003C55D1" w:rsidRDefault="000D4F82" w:rsidP="00F96E1A">
      <w:pPr>
        <w:pStyle w:val="Prrafodelista"/>
        <w:ind w:left="1416"/>
        <w:rPr>
          <w:rFonts w:ascii="Times New Roman" w:hAnsi="Times New Roman" w:cs="Times New Roman"/>
          <w:b/>
          <w:bCs/>
          <w:sz w:val="24"/>
          <w:szCs w:val="24"/>
          <w:lang w:val="es-ES"/>
        </w:rPr>
      </w:pPr>
    </w:p>
    <w:p w14:paraId="36E638E1" w14:textId="0F77D565" w:rsidR="00406197" w:rsidRPr="003C55D1" w:rsidRDefault="003C55D1" w:rsidP="00F96E1A">
      <w:pPr>
        <w:ind w:left="69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6197" w:rsidRPr="003C55D1">
        <w:rPr>
          <w:rFonts w:ascii="Times New Roman" w:hAnsi="Times New Roman" w:cs="Times New Roman"/>
          <w:color w:val="000000" w:themeColor="text1"/>
          <w:sz w:val="24"/>
          <w:szCs w:val="24"/>
        </w:rPr>
        <w:t>Ibáñez (2017) escribió: Muchas veces, debido a la sociedad en que vivimos, nos preocupamos de solo pensar que podamos tener una orientación sexual distinta a la heterosexual. Quizá puedas albergar ideas negativas sobre si las personas te aceptarán o crees que lo que habías imaginado para el futuro no lo podrás conseguir. En todo el mundo, muchas personas han experimentado lo mismo que tú en este momento, y ahora disfrutan una vida con mucha felicidad y sueños cumplidos (p.20).</w:t>
      </w:r>
    </w:p>
    <w:p w14:paraId="3CBADD65" w14:textId="67CC4561" w:rsidR="0074795A" w:rsidRDefault="0074795A" w:rsidP="0014691B">
      <w:pPr>
        <w:pStyle w:val="Prrafodelista"/>
        <w:rPr>
          <w:rFonts w:asciiTheme="majorHAnsi" w:hAnsiTheme="majorHAnsi" w:cstheme="majorHAnsi"/>
          <w:b/>
          <w:bCs/>
          <w:lang w:val="es-ES"/>
        </w:rPr>
      </w:pPr>
    </w:p>
    <w:p w14:paraId="228E8457" w14:textId="5077B8E0" w:rsidR="0074795A" w:rsidRDefault="0074795A" w:rsidP="0014691B">
      <w:pPr>
        <w:pStyle w:val="Prrafodelista"/>
        <w:rPr>
          <w:rFonts w:asciiTheme="majorHAnsi" w:hAnsiTheme="majorHAnsi" w:cstheme="majorHAnsi"/>
          <w:b/>
          <w:bCs/>
          <w:lang w:val="es-ES"/>
        </w:rPr>
      </w:pPr>
    </w:p>
    <w:p w14:paraId="322BAE19" w14:textId="06E36425" w:rsidR="0074795A" w:rsidRPr="00D14D7A" w:rsidRDefault="0074795A" w:rsidP="0074795A">
      <w:pPr>
        <w:pStyle w:val="Prrafodelista"/>
        <w:numPr>
          <w:ilvl w:val="0"/>
          <w:numId w:val="1"/>
        </w:numPr>
        <w:rPr>
          <w:rFonts w:asciiTheme="majorHAnsi" w:hAnsiTheme="majorHAnsi" w:cstheme="majorHAnsi"/>
          <w:b/>
          <w:bCs/>
          <w:lang w:val="es-ES"/>
        </w:rPr>
      </w:pPr>
      <w:r w:rsidRPr="00D14D7A">
        <w:rPr>
          <w:b/>
          <w:bCs/>
        </w:rPr>
        <w:t>Desarrolla dos citas textuales de citas de citas:</w:t>
      </w:r>
    </w:p>
    <w:p w14:paraId="5C859D1B" w14:textId="57F91517" w:rsidR="00406197" w:rsidRDefault="00406197" w:rsidP="00406197">
      <w:pPr>
        <w:pStyle w:val="Prrafodelista"/>
        <w:ind w:left="644"/>
        <w:rPr>
          <w:rFonts w:asciiTheme="majorHAnsi" w:hAnsiTheme="majorHAnsi" w:cstheme="majorHAnsi"/>
          <w:b/>
          <w:bCs/>
          <w:lang w:val="es-ES"/>
        </w:rPr>
      </w:pPr>
    </w:p>
    <w:p w14:paraId="7CA830DA" w14:textId="4A9875FD" w:rsidR="00406197" w:rsidRPr="003C55D1" w:rsidRDefault="003C55D1" w:rsidP="00F96E1A">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6197" w:rsidRPr="003C55D1">
        <w:rPr>
          <w:rFonts w:ascii="Times New Roman" w:hAnsi="Times New Roman" w:cs="Times New Roman"/>
          <w:color w:val="000000" w:themeColor="text1"/>
          <w:sz w:val="24"/>
          <w:szCs w:val="24"/>
        </w:rPr>
        <w:t>North (2001) mencionó que: en el caso de los Estos Unidos, la Constitución encarnó la herencia de las normas políticas y económicas de Inglaterra, y posteriormente coloniales, complementadas por un modelo ideológico congruente con los problemas en cuestión</w:t>
      </w:r>
      <w:r w:rsidRPr="003C55D1">
        <w:rPr>
          <w:rFonts w:ascii="Times New Roman" w:hAnsi="Times New Roman" w:cs="Times New Roman"/>
          <w:color w:val="000000" w:themeColor="text1"/>
          <w:sz w:val="24"/>
          <w:szCs w:val="24"/>
        </w:rPr>
        <w:t xml:space="preserve"> (…) </w:t>
      </w:r>
      <w:r w:rsidR="00406197" w:rsidRPr="003C55D1">
        <w:rPr>
          <w:rFonts w:ascii="Times New Roman" w:hAnsi="Times New Roman" w:cs="Times New Roman"/>
          <w:color w:val="000000" w:themeColor="text1"/>
          <w:sz w:val="24"/>
          <w:szCs w:val="24"/>
        </w:rPr>
        <w:t>La reversión gradual, país por país, al control centralizado burocrático caracterizó a Hispanoamérica en los siglos XIX y XX. La persistencia de la pauta institucional que había sido impuesta por España y Portugal siguió desempeñando un papel fundamental en la evolución de las políticas latinoamericanas y en sus percepciones, así como en cuanto a distinguir y diferenciar la historia de este continente, a pesar de imposición después de la independencia de un conjunto de normas similares a las de la tradición institucional inglesa que dieron forma a la vía de los Estados Unidos (Arratia, 20</w:t>
      </w:r>
      <w:r w:rsidR="001775BD">
        <w:rPr>
          <w:rFonts w:ascii="Times New Roman" w:hAnsi="Times New Roman" w:cs="Times New Roman"/>
          <w:color w:val="000000" w:themeColor="text1"/>
          <w:sz w:val="24"/>
          <w:szCs w:val="24"/>
        </w:rPr>
        <w:t>10</w:t>
      </w:r>
      <w:r w:rsidR="00406197" w:rsidRPr="003C55D1">
        <w:rPr>
          <w:rFonts w:ascii="Times New Roman" w:hAnsi="Times New Roman" w:cs="Times New Roman"/>
          <w:color w:val="000000" w:themeColor="text1"/>
          <w:sz w:val="24"/>
          <w:szCs w:val="24"/>
        </w:rPr>
        <w:t>, p. 134).</w:t>
      </w:r>
    </w:p>
    <w:p w14:paraId="09AAE88D" w14:textId="77777777" w:rsidR="00406197" w:rsidRPr="0074795A" w:rsidRDefault="00406197" w:rsidP="00406197">
      <w:pPr>
        <w:pStyle w:val="Prrafodelista"/>
        <w:ind w:left="644"/>
        <w:rPr>
          <w:rFonts w:asciiTheme="majorHAnsi" w:hAnsiTheme="majorHAnsi" w:cstheme="majorHAnsi"/>
          <w:b/>
          <w:bCs/>
          <w:lang w:val="es-ES"/>
        </w:rPr>
      </w:pPr>
    </w:p>
    <w:p w14:paraId="1D347D8C" w14:textId="063FD96A" w:rsidR="0074795A" w:rsidRDefault="0074795A" w:rsidP="0074795A">
      <w:pPr>
        <w:rPr>
          <w:rFonts w:asciiTheme="majorHAnsi" w:hAnsiTheme="majorHAnsi" w:cstheme="majorHAnsi"/>
          <w:b/>
          <w:bCs/>
          <w:lang w:val="es-ES"/>
        </w:rPr>
      </w:pPr>
    </w:p>
    <w:p w14:paraId="1E9DC983" w14:textId="2DCD90D2" w:rsidR="00406197" w:rsidRPr="003C55D1" w:rsidRDefault="003C55D1" w:rsidP="008362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6197" w:rsidRPr="003C55D1">
        <w:rPr>
          <w:rFonts w:ascii="Times New Roman" w:hAnsi="Times New Roman" w:cs="Times New Roman"/>
          <w:color w:val="000000" w:themeColor="text1"/>
          <w:sz w:val="24"/>
          <w:szCs w:val="24"/>
        </w:rPr>
        <w:t xml:space="preserve">Rouquié (2011) refirió que: “reestructurar la economía y la sociedad con el objeto de establecer un orden contrarrevolucionario y permanente, así como una vida política y social sin riesgos para el </w:t>
      </w:r>
      <w:proofErr w:type="spellStart"/>
      <w:r w:rsidR="00406197" w:rsidRPr="003C55D1">
        <w:rPr>
          <w:rFonts w:ascii="Times New Roman" w:hAnsi="Times New Roman" w:cs="Times New Roman"/>
          <w:color w:val="000000" w:themeColor="text1"/>
          <w:sz w:val="24"/>
          <w:szCs w:val="24"/>
        </w:rPr>
        <w:t>status</w:t>
      </w:r>
      <w:proofErr w:type="spellEnd"/>
      <w:r w:rsidR="00406197" w:rsidRPr="003C55D1">
        <w:rPr>
          <w:rFonts w:ascii="Times New Roman" w:hAnsi="Times New Roman" w:cs="Times New Roman"/>
          <w:color w:val="000000" w:themeColor="text1"/>
          <w:sz w:val="24"/>
          <w:szCs w:val="24"/>
        </w:rPr>
        <w:t xml:space="preserve"> quo”. (Benavides, 2018, p. 4).</w:t>
      </w:r>
    </w:p>
    <w:p w14:paraId="502B8885" w14:textId="423999F6" w:rsidR="00063438" w:rsidRDefault="00063438" w:rsidP="00836262">
      <w:pPr>
        <w:jc w:val="both"/>
        <w:rPr>
          <w:rFonts w:asciiTheme="majorHAnsi" w:hAnsiTheme="majorHAnsi" w:cstheme="majorHAnsi"/>
          <w:b/>
          <w:bCs/>
          <w:lang w:val="es-ES"/>
        </w:rPr>
      </w:pPr>
    </w:p>
    <w:p w14:paraId="36D44BC2" w14:textId="096B1FB5" w:rsidR="003C55D1" w:rsidRDefault="003C55D1" w:rsidP="0074795A">
      <w:pPr>
        <w:rPr>
          <w:rFonts w:asciiTheme="majorHAnsi" w:hAnsiTheme="majorHAnsi" w:cstheme="majorHAnsi"/>
          <w:b/>
          <w:bCs/>
          <w:lang w:val="es-ES"/>
        </w:rPr>
      </w:pPr>
    </w:p>
    <w:p w14:paraId="3FAACCE7" w14:textId="77777777" w:rsidR="003C55D1" w:rsidRDefault="003C55D1" w:rsidP="0074795A">
      <w:pPr>
        <w:rPr>
          <w:rFonts w:asciiTheme="majorHAnsi" w:hAnsiTheme="majorHAnsi" w:cstheme="majorHAnsi"/>
          <w:b/>
          <w:bCs/>
          <w:lang w:val="es-ES"/>
        </w:rPr>
      </w:pPr>
    </w:p>
    <w:p w14:paraId="4FA9637B" w14:textId="77777777" w:rsidR="00D14D7A" w:rsidRPr="00D14D7A" w:rsidRDefault="00063438" w:rsidP="00D14D7A">
      <w:pPr>
        <w:pStyle w:val="Prrafodelista"/>
        <w:numPr>
          <w:ilvl w:val="0"/>
          <w:numId w:val="1"/>
        </w:numPr>
        <w:rPr>
          <w:rFonts w:asciiTheme="majorHAnsi" w:hAnsiTheme="majorHAnsi" w:cstheme="majorHAnsi"/>
          <w:b/>
          <w:bCs/>
          <w:lang w:val="es-ES"/>
        </w:rPr>
      </w:pPr>
      <w:r w:rsidRPr="00D14D7A">
        <w:rPr>
          <w:b/>
          <w:bCs/>
        </w:rPr>
        <w:t>Desarrolla dos citas textuales de autores corporativos (como se escribe la cita por primera vez y como se cita por segunda vez)</w:t>
      </w:r>
      <w:r w:rsidR="003C55D1" w:rsidRPr="00D14D7A">
        <w:rPr>
          <w:b/>
          <w:bCs/>
        </w:rPr>
        <w:t>.</w:t>
      </w:r>
    </w:p>
    <w:p w14:paraId="300945DC" w14:textId="77777777" w:rsidR="00557E23" w:rsidRDefault="00557E23" w:rsidP="00557E23">
      <w:pPr>
        <w:pStyle w:val="Prrafodelista"/>
        <w:ind w:left="0" w:firstLine="360"/>
        <w:rPr>
          <w:rFonts w:ascii="Times New Roman" w:hAnsi="Times New Roman" w:cs="Times New Roman"/>
          <w:color w:val="000000" w:themeColor="text1"/>
          <w:sz w:val="24"/>
          <w:szCs w:val="24"/>
          <w:lang w:val="es-ES"/>
        </w:rPr>
      </w:pPr>
    </w:p>
    <w:p w14:paraId="4DDFB1D4" w14:textId="1B0F2B9F" w:rsidR="00F467E8" w:rsidRPr="00D14D7A" w:rsidRDefault="00FE656A" w:rsidP="00557E23">
      <w:pPr>
        <w:pStyle w:val="Prrafodelista"/>
        <w:ind w:left="0" w:firstLine="360"/>
        <w:rPr>
          <w:rFonts w:asciiTheme="majorHAnsi" w:hAnsiTheme="majorHAnsi" w:cstheme="majorHAnsi"/>
          <w:b/>
          <w:bCs/>
          <w:lang w:val="es-ES"/>
        </w:rPr>
      </w:pPr>
      <w:r w:rsidRPr="00D14D7A">
        <w:rPr>
          <w:rFonts w:ascii="Times New Roman" w:hAnsi="Times New Roman" w:cs="Times New Roman"/>
          <w:color w:val="000000" w:themeColor="text1"/>
          <w:sz w:val="24"/>
          <w:szCs w:val="24"/>
          <w:lang w:val="es-ES"/>
        </w:rPr>
        <w:t>Ministerio de salud</w:t>
      </w:r>
      <w:r w:rsidR="00F467E8" w:rsidRPr="00D14D7A">
        <w:rPr>
          <w:rFonts w:ascii="Times New Roman" w:hAnsi="Times New Roman" w:cs="Times New Roman"/>
          <w:color w:val="000000" w:themeColor="text1"/>
          <w:sz w:val="24"/>
          <w:szCs w:val="24"/>
          <w:lang w:val="es-ES"/>
        </w:rPr>
        <w:t xml:space="preserve"> (</w:t>
      </w:r>
      <w:r w:rsidRPr="00D14D7A">
        <w:rPr>
          <w:rFonts w:ascii="Times New Roman" w:hAnsi="Times New Roman" w:cs="Times New Roman"/>
          <w:color w:val="000000" w:themeColor="text1"/>
          <w:sz w:val="24"/>
          <w:szCs w:val="24"/>
          <w:lang w:val="es-ES"/>
        </w:rPr>
        <w:t>MINSA</w:t>
      </w:r>
      <w:r w:rsidR="00E50C4B" w:rsidRPr="00D14D7A">
        <w:rPr>
          <w:rFonts w:ascii="Times New Roman" w:hAnsi="Times New Roman" w:cs="Times New Roman"/>
          <w:color w:val="000000" w:themeColor="text1"/>
          <w:sz w:val="24"/>
          <w:szCs w:val="24"/>
          <w:lang w:val="es-ES"/>
        </w:rPr>
        <w:t xml:space="preserve">, 2020) Indicó que: “el </w:t>
      </w:r>
      <w:r w:rsidR="00E50C4B" w:rsidRPr="00D14D7A">
        <w:rPr>
          <w:rFonts w:ascii="Times New Roman" w:hAnsi="Times New Roman" w:cs="Times New Roman"/>
          <w:sz w:val="24"/>
          <w:szCs w:val="24"/>
        </w:rPr>
        <w:t>duelo es el proceso psicológico que se produce tras una pérdida o muerte de un ser querido o persona significativa. Es diferente en cada persona, y puede experimentarse ansiedad, miedo, culpa, confusión,</w:t>
      </w:r>
      <w:r w:rsidR="00557E23">
        <w:rPr>
          <w:rFonts w:ascii="Times New Roman" w:hAnsi="Times New Roman" w:cs="Times New Roman"/>
          <w:sz w:val="24"/>
          <w:szCs w:val="24"/>
        </w:rPr>
        <w:t xml:space="preserve"> </w:t>
      </w:r>
      <w:r w:rsidR="00E50C4B" w:rsidRPr="00D14D7A">
        <w:rPr>
          <w:rFonts w:ascii="Times New Roman" w:hAnsi="Times New Roman" w:cs="Times New Roman"/>
          <w:sz w:val="24"/>
          <w:szCs w:val="24"/>
        </w:rPr>
        <w:t>negación, depresión, tristeza, entre otros”</w:t>
      </w:r>
      <w:r w:rsidR="00F467E8" w:rsidRPr="00D14D7A">
        <w:rPr>
          <w:rFonts w:ascii="Times New Roman" w:hAnsi="Times New Roman" w:cs="Times New Roman"/>
          <w:color w:val="000000" w:themeColor="text1"/>
          <w:sz w:val="24"/>
          <w:szCs w:val="24"/>
          <w:lang w:val="es-ES"/>
        </w:rPr>
        <w:t xml:space="preserve"> (p. </w:t>
      </w:r>
      <w:r w:rsidR="00E50C4B" w:rsidRPr="00D14D7A">
        <w:rPr>
          <w:rFonts w:ascii="Times New Roman" w:hAnsi="Times New Roman" w:cs="Times New Roman"/>
          <w:color w:val="000000" w:themeColor="text1"/>
          <w:sz w:val="24"/>
          <w:szCs w:val="24"/>
          <w:lang w:val="es-ES"/>
        </w:rPr>
        <w:t>6</w:t>
      </w:r>
      <w:r w:rsidR="00F467E8" w:rsidRPr="00D14D7A">
        <w:rPr>
          <w:rFonts w:ascii="Times New Roman" w:hAnsi="Times New Roman" w:cs="Times New Roman"/>
          <w:color w:val="000000" w:themeColor="text1"/>
          <w:sz w:val="24"/>
          <w:szCs w:val="24"/>
          <w:lang w:val="es-ES"/>
        </w:rPr>
        <w:t>).</w:t>
      </w:r>
    </w:p>
    <w:p w14:paraId="1BACDDF9" w14:textId="3F67811E" w:rsidR="00F467E8" w:rsidRPr="003C55D1" w:rsidRDefault="003C55D1" w:rsidP="00836262">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8D7C66" w:rsidRPr="003C55D1">
        <w:rPr>
          <w:rFonts w:ascii="Times New Roman" w:hAnsi="Times New Roman" w:cs="Times New Roman"/>
          <w:sz w:val="24"/>
          <w:szCs w:val="24"/>
        </w:rPr>
        <w:t xml:space="preserve">“El cuidado de la salud mental se planifica, organiza, ejecuta, monitorea y evalúa de manera coordinada intra e interinstitucionalmente, con la participación de la comunidad a través de sus actores clave, voluntarios y agentes comunitarios de salud” </w:t>
      </w:r>
      <w:r w:rsidR="00F467E8" w:rsidRPr="003C55D1">
        <w:rPr>
          <w:rFonts w:ascii="Times New Roman" w:hAnsi="Times New Roman" w:cs="Times New Roman"/>
          <w:color w:val="000000" w:themeColor="text1"/>
          <w:sz w:val="24"/>
          <w:szCs w:val="24"/>
        </w:rPr>
        <w:t>(</w:t>
      </w:r>
      <w:r w:rsidR="005B6F0B">
        <w:rPr>
          <w:rFonts w:ascii="Times New Roman" w:hAnsi="Times New Roman" w:cs="Times New Roman"/>
          <w:color w:val="000000" w:themeColor="text1"/>
          <w:sz w:val="24"/>
          <w:szCs w:val="24"/>
        </w:rPr>
        <w:t xml:space="preserve">MINSA, </w:t>
      </w:r>
      <w:r w:rsidR="008D7C66" w:rsidRPr="003C55D1">
        <w:rPr>
          <w:rFonts w:ascii="Times New Roman" w:hAnsi="Times New Roman" w:cs="Times New Roman"/>
          <w:color w:val="000000" w:themeColor="text1"/>
          <w:sz w:val="24"/>
          <w:szCs w:val="24"/>
        </w:rPr>
        <w:t>2020</w:t>
      </w:r>
      <w:r w:rsidR="00FE656A">
        <w:rPr>
          <w:rFonts w:ascii="Times New Roman" w:hAnsi="Times New Roman" w:cs="Times New Roman"/>
          <w:color w:val="000000" w:themeColor="text1"/>
          <w:sz w:val="24"/>
          <w:szCs w:val="24"/>
        </w:rPr>
        <w:t>, p. 6</w:t>
      </w:r>
      <w:r w:rsidR="00F467E8" w:rsidRPr="003C55D1">
        <w:rPr>
          <w:rFonts w:ascii="Times New Roman" w:hAnsi="Times New Roman" w:cs="Times New Roman"/>
          <w:color w:val="000000" w:themeColor="text1"/>
          <w:sz w:val="24"/>
          <w:szCs w:val="24"/>
        </w:rPr>
        <w:t>).</w:t>
      </w:r>
    </w:p>
    <w:p w14:paraId="6DC23D7D" w14:textId="4FBDE523" w:rsidR="00F467E8" w:rsidRDefault="00F467E8" w:rsidP="0074795A">
      <w:pPr>
        <w:rPr>
          <w:rFonts w:asciiTheme="majorHAnsi" w:hAnsiTheme="majorHAnsi" w:cstheme="majorHAnsi"/>
          <w:b/>
          <w:bCs/>
          <w:lang w:val="es-ES"/>
        </w:rPr>
      </w:pPr>
    </w:p>
    <w:p w14:paraId="430C4BF4" w14:textId="77777777" w:rsidR="00F467E8" w:rsidRDefault="00F467E8" w:rsidP="0074795A">
      <w:pPr>
        <w:rPr>
          <w:rFonts w:asciiTheme="majorHAnsi" w:hAnsiTheme="majorHAnsi" w:cstheme="majorHAnsi"/>
          <w:b/>
          <w:bCs/>
          <w:lang w:val="es-ES"/>
        </w:rPr>
      </w:pPr>
    </w:p>
    <w:p w14:paraId="053C8AE7" w14:textId="4FB01FE8" w:rsidR="0023490E" w:rsidRPr="00D14D7A" w:rsidRDefault="0023490E" w:rsidP="0023490E">
      <w:pPr>
        <w:pStyle w:val="Prrafodelista"/>
        <w:numPr>
          <w:ilvl w:val="0"/>
          <w:numId w:val="1"/>
        </w:numPr>
        <w:rPr>
          <w:rFonts w:asciiTheme="majorHAnsi" w:hAnsiTheme="majorHAnsi" w:cstheme="majorHAnsi"/>
          <w:b/>
          <w:bCs/>
          <w:lang w:val="es-ES"/>
        </w:rPr>
      </w:pPr>
      <w:r w:rsidRPr="00D14D7A">
        <w:rPr>
          <w:b/>
          <w:bCs/>
        </w:rPr>
        <w:t>Desarrolla dos citas textuales con un solo autor.</w:t>
      </w:r>
    </w:p>
    <w:p w14:paraId="5A4F8D6B" w14:textId="77777777" w:rsidR="00F55A05" w:rsidRDefault="00F55A05" w:rsidP="0023490E">
      <w:pPr>
        <w:rPr>
          <w:rFonts w:asciiTheme="majorHAnsi" w:hAnsiTheme="majorHAnsi" w:cstheme="majorHAnsi"/>
          <w:b/>
          <w:bCs/>
          <w:lang w:val="es-ES"/>
        </w:rPr>
      </w:pPr>
    </w:p>
    <w:p w14:paraId="168CD21A" w14:textId="5457BA69" w:rsidR="00F55A05" w:rsidRPr="003C55D1" w:rsidRDefault="00F55A05" w:rsidP="0023490E">
      <w:pPr>
        <w:rPr>
          <w:rFonts w:ascii="Times New Roman" w:hAnsi="Times New Roman" w:cs="Times New Roman"/>
          <w:b/>
          <w:bCs/>
          <w:sz w:val="24"/>
          <w:szCs w:val="24"/>
          <w:lang w:val="es-ES"/>
        </w:rPr>
      </w:pPr>
    </w:p>
    <w:p w14:paraId="444B8604" w14:textId="75A16656" w:rsidR="00F55A05" w:rsidRPr="003C55D1" w:rsidRDefault="003C55D1" w:rsidP="00D14D7A">
      <w:pPr>
        <w:spacing w:line="240" w:lineRule="auto"/>
        <w:ind w:firstLine="709"/>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    </w:t>
      </w:r>
      <w:r w:rsidR="00695307">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 </w:t>
      </w:r>
      <w:r w:rsidR="00F467E8" w:rsidRPr="003C55D1">
        <w:rPr>
          <w:rFonts w:ascii="Times New Roman" w:hAnsi="Times New Roman" w:cs="Times New Roman"/>
          <w:color w:val="202124"/>
          <w:sz w:val="24"/>
          <w:szCs w:val="24"/>
          <w:shd w:val="clear" w:color="auto" w:fill="FFFFFF"/>
        </w:rPr>
        <w:t xml:space="preserve">Cuauhtémoc (2014) Escribió que: Como las mujeres tienen menos agua y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 xml:space="preserve">encimas para metabolizar el alcohol en sus cuerpos, ellas acumulan mayor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 xml:space="preserve">concentración y los efectos les resultan varias veces más graves. Sin necesidad de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 xml:space="preserve">usar drogas ilegales como Rohipnol o GHB, los hombres emborrachan a las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 xml:space="preserve">mujeres para desinhibirlas y seducirlas. Muchas violaciones, embarazos no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 xml:space="preserve">deseados y contagios de enfermedades venéreas, ocurren porque hay alcohol de por </w:t>
      </w:r>
      <w:r w:rsidR="00D14D7A">
        <w:rPr>
          <w:rFonts w:ascii="Times New Roman" w:hAnsi="Times New Roman" w:cs="Times New Roman"/>
          <w:color w:val="202124"/>
          <w:sz w:val="24"/>
          <w:szCs w:val="24"/>
          <w:shd w:val="clear" w:color="auto" w:fill="FFFFFF"/>
        </w:rPr>
        <w:tab/>
      </w:r>
      <w:r w:rsidR="00F467E8" w:rsidRPr="003C55D1">
        <w:rPr>
          <w:rFonts w:ascii="Times New Roman" w:hAnsi="Times New Roman" w:cs="Times New Roman"/>
          <w:color w:val="202124"/>
          <w:sz w:val="24"/>
          <w:szCs w:val="24"/>
          <w:shd w:val="clear" w:color="auto" w:fill="FFFFFF"/>
        </w:rPr>
        <w:t>medio (p. 16)</w:t>
      </w:r>
    </w:p>
    <w:p w14:paraId="14B11AD3" w14:textId="695EDC7A" w:rsidR="00420331" w:rsidRDefault="00420331" w:rsidP="0023490E">
      <w:pPr>
        <w:rPr>
          <w:rFonts w:asciiTheme="majorHAnsi" w:hAnsiTheme="majorHAnsi" w:cstheme="majorHAnsi"/>
          <w:b/>
          <w:bCs/>
          <w:lang w:val="es-ES"/>
        </w:rPr>
      </w:pPr>
    </w:p>
    <w:p w14:paraId="76562DAA" w14:textId="0063EB02" w:rsidR="00420331" w:rsidRPr="00D14D7A" w:rsidRDefault="00420331" w:rsidP="00420331">
      <w:pPr>
        <w:pStyle w:val="Prrafodelista"/>
        <w:numPr>
          <w:ilvl w:val="0"/>
          <w:numId w:val="1"/>
        </w:numPr>
        <w:spacing w:after="0" w:line="240" w:lineRule="auto"/>
        <w:rPr>
          <w:b/>
          <w:bCs/>
        </w:rPr>
      </w:pPr>
      <w:r w:rsidRPr="00D14D7A">
        <w:rPr>
          <w:b/>
          <w:bCs/>
        </w:rPr>
        <w:t>Desarrolla dos citas textuales con dos autores.</w:t>
      </w:r>
    </w:p>
    <w:p w14:paraId="38F2F144" w14:textId="77777777" w:rsidR="00695307" w:rsidRDefault="00695307" w:rsidP="00695307">
      <w:pPr>
        <w:spacing w:line="240" w:lineRule="auto"/>
        <w:ind w:left="357" w:firstLine="851"/>
        <w:jc w:val="both"/>
      </w:pPr>
    </w:p>
    <w:p w14:paraId="67653CD6" w14:textId="77777777" w:rsidR="00695307" w:rsidRDefault="00F467E8" w:rsidP="00695307">
      <w:pPr>
        <w:spacing w:line="240" w:lineRule="auto"/>
        <w:ind w:left="357" w:firstLine="851"/>
        <w:jc w:val="both"/>
      </w:pPr>
      <w:r w:rsidRPr="003C55D1">
        <w:rPr>
          <w:rFonts w:ascii="Times New Roman" w:hAnsi="Times New Roman" w:cs="Times New Roman"/>
          <w:color w:val="000000" w:themeColor="text1"/>
          <w:sz w:val="24"/>
          <w:szCs w:val="24"/>
        </w:rPr>
        <w:t xml:space="preserve">Aguirre y Drinot (2018) dedujeron que: Otro balance temprano y crítico del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nacionalismo militar fue el del sociólogo Aníbal Quijano. Este descartó los intentos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por clasificar al régimen peruano como «populista», «Nasserista» o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«Bismarckista»,</w:t>
      </w:r>
      <w:r w:rsidR="00695307">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 xml:space="preserve">y propuso en su lugar un análisis centrado en las dimensiones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económicas del</w:t>
      </w:r>
      <w:r w:rsidR="00695307">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 xml:space="preserve">proyecto: ¿quién se estaba beneficiando de las reformas?, ¿qué </w:t>
      </w:r>
      <w:r w:rsidR="00695307">
        <w:rPr>
          <w:rFonts w:ascii="Times New Roman" w:hAnsi="Times New Roman" w:cs="Times New Roman"/>
          <w:color w:val="000000" w:themeColor="text1"/>
          <w:sz w:val="24"/>
          <w:szCs w:val="24"/>
        </w:rPr>
        <w:tab/>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intereses defendía el régimen militar? Ubicándolo dentro de los cambios en el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escenario internacional, Quijano postuló que el proceso peruano fue el resultado de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los cambios en la naturaleza de la dominación imperialista desde los</w:t>
      </w:r>
      <w:r w:rsidR="00695307">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sectores</w:t>
      </w:r>
      <w:r w:rsidR="00695307">
        <w:rPr>
          <w:rFonts w:ascii="Times New Roman" w:hAnsi="Times New Roman" w:cs="Times New Roman"/>
          <w:color w:val="000000" w:themeColor="text1"/>
          <w:sz w:val="24"/>
          <w:szCs w:val="24"/>
        </w:rPr>
        <w:t xml:space="preserve"> </w:t>
      </w:r>
      <w:r w:rsidR="00695307">
        <w:rPr>
          <w:rFonts w:ascii="Times New Roman" w:hAnsi="Times New Roman" w:cs="Times New Roman"/>
          <w:color w:val="000000" w:themeColor="text1"/>
          <w:sz w:val="24"/>
          <w:szCs w:val="24"/>
        </w:rPr>
        <w:tab/>
      </w:r>
      <w:r w:rsidR="00695307" w:rsidRPr="003C55D1">
        <w:rPr>
          <w:rFonts w:ascii="Times New Roman" w:hAnsi="Times New Roman" w:cs="Times New Roman"/>
          <w:color w:val="000000" w:themeColor="text1"/>
          <w:sz w:val="24"/>
          <w:szCs w:val="24"/>
        </w:rPr>
        <w:t>agro extractivos</w:t>
      </w:r>
      <w:r w:rsidRPr="003C55D1">
        <w:rPr>
          <w:rFonts w:ascii="Times New Roman" w:hAnsi="Times New Roman" w:cs="Times New Roman"/>
          <w:color w:val="000000" w:themeColor="text1"/>
          <w:sz w:val="24"/>
          <w:szCs w:val="24"/>
        </w:rPr>
        <w:t xml:space="preserve"> hacia los sectores industrial</w:t>
      </w:r>
      <w:r w:rsidR="00695307">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urbanos y de la erosión de</w:t>
      </w:r>
      <w:r w:rsidR="00695307">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 xml:space="preserve">los </w:t>
      </w:r>
      <w:r w:rsidR="00695307">
        <w:rPr>
          <w:rFonts w:ascii="Times New Roman" w:hAnsi="Times New Roman" w:cs="Times New Roman"/>
          <w:color w:val="000000" w:themeColor="text1"/>
          <w:sz w:val="24"/>
          <w:szCs w:val="24"/>
        </w:rPr>
        <w:t xml:space="preserve">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agentes tradicionales de legitimación del orden político-social vigente» como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la </w:t>
      </w:r>
      <w:r w:rsidR="00695307">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Iglesia católica y las universidades (p. 65).</w:t>
      </w:r>
    </w:p>
    <w:p w14:paraId="57216C29" w14:textId="34FA6A3C" w:rsidR="00F467E8" w:rsidRPr="00695307" w:rsidRDefault="00695307" w:rsidP="00695307">
      <w:pPr>
        <w:spacing w:line="240" w:lineRule="auto"/>
        <w:ind w:left="357" w:firstLine="851"/>
      </w:pPr>
      <w:r>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 xml:space="preserve">A diferencia de la década de 1970 y principios de la de 1980, desde mediados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de esta última la producción académica sobre el GRFA ha sido</w:t>
      </w:r>
      <w:r>
        <w:rPr>
          <w:rFonts w:ascii="Times New Roman" w:hAnsi="Times New Roman" w:cs="Times New Roman"/>
          <w:color w:val="000000" w:themeColor="text1"/>
          <w:sz w:val="24"/>
          <w:szCs w:val="24"/>
        </w:rPr>
        <w:t xml:space="preserve"> </w:t>
      </w:r>
      <w:r w:rsidRPr="003C55D1">
        <w:rPr>
          <w:rFonts w:ascii="Times New Roman" w:hAnsi="Times New Roman" w:cs="Times New Roman"/>
          <w:color w:val="000000" w:themeColor="text1"/>
          <w:sz w:val="24"/>
          <w:szCs w:val="24"/>
        </w:rPr>
        <w:t xml:space="preserve">limitada. Esta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relativa falta de interés fue probablemente producto de los importantes cambios que </w:t>
      </w:r>
      <w:r>
        <w:rPr>
          <w:rFonts w:ascii="Times New Roman" w:hAnsi="Times New Roman" w:cs="Times New Roman"/>
          <w:color w:val="000000" w:themeColor="text1"/>
          <w:sz w:val="24"/>
          <w:szCs w:val="24"/>
        </w:rPr>
        <w:lastRenderedPageBreak/>
        <w:tab/>
      </w:r>
      <w:r w:rsidRPr="003C55D1">
        <w:rPr>
          <w:rFonts w:ascii="Times New Roman" w:hAnsi="Times New Roman" w:cs="Times New Roman"/>
          <w:color w:val="000000" w:themeColor="text1"/>
          <w:sz w:val="24"/>
          <w:szCs w:val="24"/>
        </w:rPr>
        <w:t xml:space="preserve">Perú experimentó a partir de 1980. La insurgencia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de Sendero Luminoso, el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desarrollo del conflicto armado interno durante el resto de esa década y </w:t>
      </w:r>
      <w:r>
        <w:rPr>
          <w:rFonts w:ascii="Times New Roman" w:hAnsi="Times New Roman" w:cs="Times New Roman"/>
          <w:color w:val="000000" w:themeColor="text1"/>
          <w:sz w:val="24"/>
          <w:szCs w:val="24"/>
        </w:rPr>
        <w:tab/>
      </w:r>
      <w:r w:rsidR="00EB5664" w:rsidRPr="003C55D1">
        <w:rPr>
          <w:rFonts w:ascii="Times New Roman" w:hAnsi="Times New Roman" w:cs="Times New Roman"/>
          <w:color w:val="000000" w:themeColor="text1"/>
          <w:sz w:val="24"/>
          <w:szCs w:val="24"/>
        </w:rPr>
        <w:t xml:space="preserve">la </w:t>
      </w:r>
      <w:r w:rsidR="00EB5664">
        <w:rPr>
          <w:rFonts w:ascii="Times New Roman" w:hAnsi="Times New Roman" w:cs="Times New Roman"/>
          <w:color w:val="000000" w:themeColor="text1"/>
          <w:sz w:val="24"/>
          <w:szCs w:val="24"/>
        </w:rPr>
        <w:tab/>
        <w:t>siguiente</w:t>
      </w:r>
      <w:r w:rsidRPr="003C55D1">
        <w:rPr>
          <w:rFonts w:ascii="Times New Roman" w:hAnsi="Times New Roman" w:cs="Times New Roman"/>
          <w:color w:val="000000" w:themeColor="text1"/>
          <w:sz w:val="24"/>
          <w:szCs w:val="24"/>
        </w:rPr>
        <w:t xml:space="preserve">, así como la elección de Alberto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Fujimori y la «revolución» autoritaria </w:t>
      </w:r>
      <w:r>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 xml:space="preserve">neoliberal que implementó después de 1990 llevó a los académicos a enfocarse en </w:t>
      </w:r>
      <w:r w:rsidR="00EB5664">
        <w:rPr>
          <w:rFonts w:ascii="Times New Roman" w:hAnsi="Times New Roman" w:cs="Times New Roman"/>
          <w:color w:val="000000" w:themeColor="text1"/>
          <w:sz w:val="24"/>
          <w:szCs w:val="24"/>
        </w:rPr>
        <w:tab/>
      </w:r>
      <w:r w:rsidRPr="003C55D1">
        <w:rPr>
          <w:rFonts w:ascii="Times New Roman" w:hAnsi="Times New Roman" w:cs="Times New Roman"/>
          <w:color w:val="000000" w:themeColor="text1"/>
          <w:sz w:val="24"/>
          <w:szCs w:val="24"/>
        </w:rPr>
        <w:t>otros temas (</w:t>
      </w:r>
      <w:r>
        <w:rPr>
          <w:rFonts w:ascii="Times New Roman" w:hAnsi="Times New Roman" w:cs="Times New Roman"/>
          <w:color w:val="000000" w:themeColor="text1"/>
          <w:sz w:val="24"/>
          <w:szCs w:val="24"/>
        </w:rPr>
        <w:t xml:space="preserve">et al. </w:t>
      </w:r>
      <w:r w:rsidRPr="003C55D1">
        <w:rPr>
          <w:rFonts w:ascii="Times New Roman" w:hAnsi="Times New Roman" w:cs="Times New Roman"/>
          <w:color w:val="000000" w:themeColor="text1"/>
          <w:sz w:val="24"/>
          <w:szCs w:val="24"/>
        </w:rPr>
        <w:t>2018).</w:t>
      </w:r>
    </w:p>
    <w:p w14:paraId="6673B51B" w14:textId="383F37AA" w:rsidR="00D46B52" w:rsidRDefault="00D46B52" w:rsidP="00420331">
      <w:pPr>
        <w:spacing w:after="0" w:line="240" w:lineRule="auto"/>
      </w:pPr>
    </w:p>
    <w:p w14:paraId="6C473545" w14:textId="4252680E" w:rsidR="00F467E8" w:rsidRDefault="00F467E8" w:rsidP="00420331">
      <w:pPr>
        <w:spacing w:after="0" w:line="240" w:lineRule="auto"/>
      </w:pPr>
    </w:p>
    <w:p w14:paraId="6E6EC4E1" w14:textId="77777777" w:rsidR="00F467E8" w:rsidRDefault="00F467E8" w:rsidP="00420331">
      <w:pPr>
        <w:spacing w:after="0" w:line="240" w:lineRule="auto"/>
      </w:pPr>
    </w:p>
    <w:p w14:paraId="08965176" w14:textId="6B965BDD" w:rsidR="00034639" w:rsidRDefault="00034639" w:rsidP="00420331">
      <w:pPr>
        <w:spacing w:after="0" w:line="240" w:lineRule="auto"/>
      </w:pPr>
    </w:p>
    <w:p w14:paraId="2098DC97" w14:textId="77777777" w:rsidR="00034639" w:rsidRDefault="00034639" w:rsidP="00420331">
      <w:pPr>
        <w:spacing w:after="0" w:line="240" w:lineRule="auto"/>
      </w:pPr>
    </w:p>
    <w:p w14:paraId="773D2DA0" w14:textId="364700AF" w:rsidR="00420331" w:rsidRPr="00D14D7A" w:rsidRDefault="00034639" w:rsidP="00034639">
      <w:pPr>
        <w:pStyle w:val="Prrafodelista"/>
        <w:numPr>
          <w:ilvl w:val="0"/>
          <w:numId w:val="1"/>
        </w:numPr>
        <w:spacing w:after="0" w:line="240" w:lineRule="auto"/>
        <w:rPr>
          <w:b/>
          <w:bCs/>
        </w:rPr>
      </w:pPr>
      <w:r w:rsidRPr="00D14D7A">
        <w:rPr>
          <w:b/>
          <w:bCs/>
        </w:rPr>
        <w:t>Desarrolla dos citas textuales con tres a cinco autores. (como se cita la primera vez y como se cita la segunda vez).</w:t>
      </w:r>
    </w:p>
    <w:p w14:paraId="7043CB3D" w14:textId="77777777" w:rsidR="00EB5664" w:rsidRDefault="00EB5664" w:rsidP="00EB5664">
      <w:pPr>
        <w:spacing w:line="240" w:lineRule="auto"/>
        <w:ind w:left="709" w:firstLine="709"/>
        <w:rPr>
          <w:rFonts w:ascii="Times New Roman" w:hAnsi="Times New Roman" w:cs="Times New Roman"/>
          <w:color w:val="000000" w:themeColor="text1"/>
          <w:sz w:val="24"/>
          <w:szCs w:val="24"/>
          <w:shd w:val="clear" w:color="auto" w:fill="FFFFFF"/>
        </w:rPr>
      </w:pPr>
    </w:p>
    <w:p w14:paraId="6FD5DA27" w14:textId="5476E533" w:rsidR="00F467E8" w:rsidRPr="00EB5664" w:rsidRDefault="00F467E8" w:rsidP="00EB5664">
      <w:pPr>
        <w:spacing w:line="240" w:lineRule="auto"/>
        <w:ind w:left="709" w:firstLine="709"/>
        <w:rPr>
          <w:rFonts w:ascii="Times New Roman" w:hAnsi="Times New Roman" w:cs="Times New Roman"/>
          <w:color w:val="000000" w:themeColor="text1"/>
          <w:sz w:val="24"/>
          <w:szCs w:val="24"/>
        </w:rPr>
      </w:pPr>
      <w:r w:rsidRPr="00EB5664">
        <w:rPr>
          <w:rFonts w:ascii="Times New Roman" w:hAnsi="Times New Roman" w:cs="Times New Roman"/>
          <w:color w:val="000000" w:themeColor="text1"/>
          <w:sz w:val="24"/>
          <w:szCs w:val="24"/>
          <w:shd w:val="clear" w:color="auto" w:fill="FFFFFF"/>
        </w:rPr>
        <w:t xml:space="preserve">Pastor, Nashiki y Pérez (2009) refirieron que: Existen muchas prácticas </w:t>
      </w:r>
      <w:r w:rsidR="00EB5664">
        <w:rPr>
          <w:rFonts w:ascii="Times New Roman" w:hAnsi="Times New Roman" w:cs="Times New Roman"/>
          <w:color w:val="000000" w:themeColor="text1"/>
          <w:sz w:val="24"/>
          <w:szCs w:val="24"/>
          <w:shd w:val="clear" w:color="auto" w:fill="FFFFFF"/>
        </w:rPr>
        <w:t xml:space="preserve">     </w:t>
      </w:r>
      <w:r w:rsidRPr="00EB5664">
        <w:rPr>
          <w:rFonts w:ascii="Times New Roman" w:hAnsi="Times New Roman" w:cs="Times New Roman"/>
          <w:color w:val="000000" w:themeColor="text1"/>
          <w:sz w:val="24"/>
          <w:szCs w:val="24"/>
          <w:shd w:val="clear" w:color="auto" w:fill="FFFFFF"/>
        </w:rPr>
        <w:t>educativas, estrategias y acciones que se pueden realizar al interior del aula para poder cumplir con lo que implica ser una buena educadora de niños y niñas pequeñas; algunas de ellas las de la formación inicial, otras la experiencia misma al trabajar con niños, niñas, sus familias y otros profesionistas, y algunas otras son generadas a partir de la reflexión continua sobre la labor docente (p. 5).</w:t>
      </w:r>
    </w:p>
    <w:p w14:paraId="47E17439" w14:textId="2F34864D" w:rsidR="00034639" w:rsidRDefault="00034639" w:rsidP="00034639">
      <w:pPr>
        <w:spacing w:after="0" w:line="240" w:lineRule="auto"/>
      </w:pPr>
    </w:p>
    <w:p w14:paraId="0D10F86A" w14:textId="5F16B613" w:rsidR="00034639" w:rsidRDefault="00034639" w:rsidP="00034639">
      <w:pPr>
        <w:spacing w:after="0" w:line="240" w:lineRule="auto"/>
      </w:pPr>
    </w:p>
    <w:p w14:paraId="1B472C50" w14:textId="71B7F649" w:rsidR="00F467E8" w:rsidRPr="00EB5664" w:rsidRDefault="00F467E8" w:rsidP="0065266C">
      <w:pPr>
        <w:ind w:left="708" w:firstLine="708"/>
        <w:rPr>
          <w:rFonts w:ascii="Times New Roman" w:hAnsi="Times New Roman" w:cs="Times New Roman"/>
          <w:color w:val="000000" w:themeColor="text1"/>
          <w:sz w:val="24"/>
          <w:szCs w:val="24"/>
          <w:lang w:val="es-ES"/>
        </w:rPr>
      </w:pPr>
      <w:r w:rsidRPr="00EB5664">
        <w:rPr>
          <w:rFonts w:ascii="Times New Roman" w:hAnsi="Times New Roman" w:cs="Times New Roman"/>
          <w:color w:val="000000" w:themeColor="text1"/>
          <w:sz w:val="24"/>
          <w:szCs w:val="24"/>
          <w:lang w:val="es-ES"/>
        </w:rPr>
        <w:t>El desarrollo motor involucra el dominio y especialización de los movimientos voluntarios. Al nacer los seres humanos poseen una gran serie de reflejos que les permiten sobrevivir, como la succión o el voltear la cara cuando algo le tapa, y poco a poco estos movimientos son incorporados e integrados entre si para dar origen a las acciones voluntarias. En este sentido, la succión como reflejo poco a poco se vuelve, lo que da lugar a que el/la bebé pueda comer alimentos más sólidos, Pastor et a</w:t>
      </w:r>
      <w:r w:rsidR="00836262" w:rsidRPr="00EB5664">
        <w:rPr>
          <w:rFonts w:ascii="Times New Roman" w:hAnsi="Times New Roman" w:cs="Times New Roman"/>
          <w:color w:val="000000" w:themeColor="text1"/>
          <w:sz w:val="24"/>
          <w:szCs w:val="24"/>
          <w:lang w:val="es-ES"/>
        </w:rPr>
        <w:t>l. 2009</w:t>
      </w:r>
      <w:r w:rsidR="00D466C0">
        <w:rPr>
          <w:rFonts w:ascii="Times New Roman" w:hAnsi="Times New Roman" w:cs="Times New Roman"/>
          <w:color w:val="000000" w:themeColor="text1"/>
          <w:sz w:val="24"/>
          <w:szCs w:val="24"/>
          <w:lang w:val="es-ES"/>
        </w:rPr>
        <w:t xml:space="preserve"> (p. 5).</w:t>
      </w:r>
    </w:p>
    <w:p w14:paraId="0553E041" w14:textId="7DCEDFEC" w:rsidR="00034639" w:rsidRDefault="00034639" w:rsidP="00034639">
      <w:pPr>
        <w:spacing w:after="0" w:line="240" w:lineRule="auto"/>
      </w:pPr>
    </w:p>
    <w:p w14:paraId="0471576D" w14:textId="79372007" w:rsidR="00034639" w:rsidRDefault="00034639" w:rsidP="00034639">
      <w:pPr>
        <w:spacing w:after="0" w:line="240" w:lineRule="auto"/>
      </w:pPr>
    </w:p>
    <w:p w14:paraId="2724FB63" w14:textId="50CCDECE" w:rsidR="0073756A" w:rsidRDefault="0073756A" w:rsidP="00034639">
      <w:pPr>
        <w:spacing w:after="0" w:line="240" w:lineRule="auto"/>
      </w:pPr>
    </w:p>
    <w:p w14:paraId="5E8C5682" w14:textId="48DF929E" w:rsidR="0073756A" w:rsidRDefault="0073756A" w:rsidP="00034639">
      <w:pPr>
        <w:spacing w:after="0" w:line="240" w:lineRule="auto"/>
      </w:pPr>
    </w:p>
    <w:p w14:paraId="440885A0" w14:textId="15FB16E1" w:rsidR="0073756A" w:rsidRDefault="0073756A" w:rsidP="00034639">
      <w:pPr>
        <w:spacing w:after="0" w:line="240" w:lineRule="auto"/>
      </w:pPr>
    </w:p>
    <w:p w14:paraId="5CA981B7" w14:textId="6DE22A5C" w:rsidR="0073756A" w:rsidRPr="00D14D7A" w:rsidRDefault="0073756A" w:rsidP="00034639">
      <w:pPr>
        <w:spacing w:after="0" w:line="240" w:lineRule="auto"/>
        <w:rPr>
          <w:b/>
          <w:bCs/>
        </w:rPr>
      </w:pPr>
    </w:p>
    <w:p w14:paraId="1880064F" w14:textId="6D1F7EE0" w:rsidR="0073756A" w:rsidRPr="00D14D7A" w:rsidRDefault="0073756A" w:rsidP="0073756A">
      <w:pPr>
        <w:pStyle w:val="Prrafodelista"/>
        <w:numPr>
          <w:ilvl w:val="0"/>
          <w:numId w:val="1"/>
        </w:numPr>
        <w:spacing w:after="0" w:line="240" w:lineRule="auto"/>
        <w:rPr>
          <w:b/>
          <w:bCs/>
        </w:rPr>
      </w:pPr>
      <w:r w:rsidRPr="00D14D7A">
        <w:rPr>
          <w:b/>
          <w:bCs/>
        </w:rPr>
        <w:t>Desarrolla dos citas textuales con seis autores. (como se cita la primera vez y como se cita la segunda vez).</w:t>
      </w:r>
    </w:p>
    <w:p w14:paraId="03D011C5" w14:textId="77777777" w:rsidR="0073756A" w:rsidRDefault="0073756A" w:rsidP="0073756A">
      <w:pPr>
        <w:spacing w:after="0" w:line="240" w:lineRule="auto"/>
        <w:ind w:left="284"/>
      </w:pPr>
    </w:p>
    <w:p w14:paraId="0801E2F5" w14:textId="77777777" w:rsidR="0073756A" w:rsidRDefault="0073756A" w:rsidP="0073756A">
      <w:pPr>
        <w:spacing w:after="0" w:line="240" w:lineRule="auto"/>
        <w:ind w:left="284"/>
      </w:pPr>
    </w:p>
    <w:p w14:paraId="1783C31D" w14:textId="2D3BD8DB" w:rsidR="00F467E8" w:rsidRPr="005B6F0B" w:rsidRDefault="005B6F0B" w:rsidP="00D14D7A">
      <w:pPr>
        <w:spacing w:line="240" w:lineRule="auto"/>
        <w:ind w:left="357"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7E8" w:rsidRPr="005B6F0B">
        <w:rPr>
          <w:rFonts w:ascii="Times New Roman" w:hAnsi="Times New Roman" w:cs="Times New Roman"/>
          <w:color w:val="000000" w:themeColor="text1"/>
          <w:sz w:val="24"/>
          <w:szCs w:val="24"/>
        </w:rPr>
        <w:t xml:space="preserve">En el ámbito de la protección de los derechos humanos, la intervención de los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 xml:space="preserve">órganos jurisdiccionales por parte del poder político, motivó que actualmente el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 xml:space="preserve">Estado peruano sea uno de los Estados Parte de la OEA con más denuncias ante la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 xml:space="preserve">Comisión Interamericana de Derechos Humanos. Dichas denuncias han sido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 xml:space="preserve">presentadas por personas que no consiguieron una tutela judicial efectiva de sus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 xml:space="preserve">derechos humanos en la jurisdicción doméstica como consecuencia de la situación </w:t>
      </w:r>
      <w:r w:rsidR="00D14D7A">
        <w:rPr>
          <w:rFonts w:ascii="Times New Roman" w:hAnsi="Times New Roman" w:cs="Times New Roman"/>
          <w:color w:val="000000" w:themeColor="text1"/>
          <w:sz w:val="24"/>
          <w:szCs w:val="24"/>
        </w:rPr>
        <w:tab/>
      </w:r>
      <w:r w:rsidR="00F467E8" w:rsidRPr="005B6F0B">
        <w:rPr>
          <w:rFonts w:ascii="Times New Roman" w:hAnsi="Times New Roman" w:cs="Times New Roman"/>
          <w:color w:val="000000" w:themeColor="text1"/>
          <w:sz w:val="24"/>
          <w:szCs w:val="24"/>
        </w:rPr>
        <w:t>descrita (Abad, et al., 2001).</w:t>
      </w:r>
    </w:p>
    <w:p w14:paraId="1B996613" w14:textId="01F462ED" w:rsidR="0073756A" w:rsidRDefault="0073756A" w:rsidP="0073756A">
      <w:pPr>
        <w:spacing w:after="0" w:line="240" w:lineRule="auto"/>
        <w:ind w:left="284"/>
      </w:pPr>
    </w:p>
    <w:p w14:paraId="4855FE39" w14:textId="77777777" w:rsidR="0073756A" w:rsidRDefault="0073756A" w:rsidP="0065266C">
      <w:pPr>
        <w:spacing w:after="0" w:line="240" w:lineRule="auto"/>
        <w:ind w:left="708"/>
      </w:pPr>
    </w:p>
    <w:p w14:paraId="34C66F85" w14:textId="5EE58327" w:rsidR="00980733" w:rsidRPr="005B6F0B" w:rsidRDefault="005B6F0B" w:rsidP="00EB5664">
      <w:pPr>
        <w:ind w:left="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F467E8" w:rsidRPr="005B6F0B">
        <w:rPr>
          <w:rFonts w:ascii="Times New Roman" w:hAnsi="Times New Roman" w:cs="Times New Roman"/>
          <w:color w:val="000000" w:themeColor="text1"/>
          <w:sz w:val="24"/>
          <w:szCs w:val="24"/>
        </w:rPr>
        <w:t>La Constitución no establece ninguna limitación al respecto”; que, consecuentemente, es contrario al derecho sostener que la amnistía sólo puede ejercerse respecto a los delitos políticos y no respecto a los delitos comunes; que, en este sentido, la a quo como órgano del Poder Judicial, en el ejercicio de sus atribuciones jurisdiccionales, con sujeción a lo dispuesto en los artículos ciento treinta y ocho y ciento treinta y nueve, incisos segundo y trece de la Constitución Política del Estado, no puede obrar “contra legem” sino que debe actuar, precisamente “secundum legem”, es decir, conforme al sentido y extensión regulativa de la Ley de Amnistía, Abad et al, 2001.</w:t>
      </w:r>
    </w:p>
    <w:p w14:paraId="11B11EA2" w14:textId="7C552378" w:rsidR="00980733" w:rsidRDefault="00980733" w:rsidP="0073756A">
      <w:pPr>
        <w:spacing w:after="0" w:line="240" w:lineRule="auto"/>
        <w:ind w:left="284"/>
      </w:pPr>
    </w:p>
    <w:p w14:paraId="7E61E21B" w14:textId="223017E4" w:rsidR="00980733" w:rsidRDefault="00980733" w:rsidP="0073756A">
      <w:pPr>
        <w:spacing w:after="0" w:line="240" w:lineRule="auto"/>
        <w:ind w:left="284"/>
      </w:pPr>
    </w:p>
    <w:p w14:paraId="6C534897" w14:textId="15D54D55" w:rsidR="0073756A" w:rsidRDefault="00980733" w:rsidP="00A24101">
      <w:pPr>
        <w:pStyle w:val="Prrafodelista"/>
        <w:numPr>
          <w:ilvl w:val="0"/>
          <w:numId w:val="1"/>
        </w:numPr>
        <w:spacing w:after="0" w:line="240" w:lineRule="auto"/>
      </w:pPr>
      <w:r>
        <w:t>Desarrolla dos citas no literales (Parafraseo)</w:t>
      </w:r>
    </w:p>
    <w:p w14:paraId="3D08912F" w14:textId="5507F667" w:rsidR="00A24101" w:rsidRDefault="00A24101" w:rsidP="00A24101">
      <w:pPr>
        <w:spacing w:after="0" w:line="240" w:lineRule="auto"/>
      </w:pPr>
    </w:p>
    <w:p w14:paraId="7CA6E071" w14:textId="77777777" w:rsidR="00F467E8" w:rsidRDefault="00F467E8" w:rsidP="00F467E8">
      <w:pPr>
        <w:jc w:val="both"/>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 xml:space="preserve">1 </w:t>
      </w:r>
      <w:r w:rsidRPr="00A24101">
        <w:rPr>
          <w:rFonts w:ascii="Arial" w:hAnsi="Arial" w:cs="Arial"/>
          <w:b/>
          <w:bCs/>
          <w:color w:val="202124"/>
          <w:sz w:val="20"/>
          <w:szCs w:val="20"/>
          <w:shd w:val="clear" w:color="auto" w:fill="FFFFFF"/>
        </w:rPr>
        <w:t>PARAFRASEO</w:t>
      </w:r>
    </w:p>
    <w:p w14:paraId="28FD3C99" w14:textId="25E563AF" w:rsidR="00F467E8" w:rsidRPr="005B6F0B" w:rsidRDefault="00F467E8" w:rsidP="00836262">
      <w:pPr>
        <w:rPr>
          <w:rFonts w:ascii="Times New Roman" w:hAnsi="Times New Roman" w:cs="Times New Roman"/>
          <w:b/>
          <w:bCs/>
          <w:color w:val="202124"/>
          <w:sz w:val="24"/>
          <w:szCs w:val="24"/>
          <w:shd w:val="clear" w:color="auto" w:fill="FFFFFF"/>
        </w:rPr>
      </w:pPr>
      <w:r w:rsidRPr="005B6F0B">
        <w:rPr>
          <w:rFonts w:ascii="Times New Roman" w:hAnsi="Times New Roman" w:cs="Times New Roman"/>
          <w:color w:val="202124"/>
          <w:sz w:val="24"/>
          <w:szCs w:val="24"/>
          <w:shd w:val="clear" w:color="auto" w:fill="FFFFFF"/>
        </w:rPr>
        <w:t xml:space="preserve"> </w:t>
      </w:r>
      <w:r w:rsidR="005B6F0B">
        <w:rPr>
          <w:rFonts w:ascii="Times New Roman" w:hAnsi="Times New Roman" w:cs="Times New Roman"/>
          <w:color w:val="202124"/>
          <w:sz w:val="24"/>
          <w:szCs w:val="24"/>
          <w:shd w:val="clear" w:color="auto" w:fill="FFFFFF"/>
        </w:rPr>
        <w:t xml:space="preserve">     </w:t>
      </w:r>
      <w:r w:rsidRPr="005B6F0B">
        <w:rPr>
          <w:rFonts w:ascii="Times New Roman" w:hAnsi="Times New Roman" w:cs="Times New Roman"/>
          <w:color w:val="202124"/>
          <w:sz w:val="24"/>
          <w:szCs w:val="24"/>
          <w:shd w:val="clear" w:color="auto" w:fill="FFFFFF"/>
        </w:rPr>
        <w:t>El</w:t>
      </w:r>
      <w:r w:rsidRPr="005B6F0B">
        <w:rPr>
          <w:rFonts w:ascii="Times New Roman" w:hAnsi="Times New Roman" w:cs="Times New Roman"/>
          <w:sz w:val="24"/>
          <w:szCs w:val="24"/>
        </w:rPr>
        <w:t xml:space="preserve"> </w:t>
      </w:r>
      <w:r w:rsidRPr="005B6F0B">
        <w:rPr>
          <w:rFonts w:ascii="Times New Roman" w:hAnsi="Times New Roman" w:cs="Times New Roman"/>
          <w:color w:val="000000" w:themeColor="text1"/>
          <w:sz w:val="24"/>
          <w:szCs w:val="24"/>
        </w:rPr>
        <w:t>pueblo peruano ya tenía sus derechos humanos los cuales son los que conocemos, sin embargo, estos derechos humanos para el Partido Comunista Peruano – Sendero Luminoso (PCP - SL) eran contrarios a los derechos que ellos pensaban que eran para el pueblo, en pocas palabras, los derechos humanos que nosotros conocemos diferían mucho a lo que ellos tienen como derechos humanos (Lerner, 2003).</w:t>
      </w:r>
    </w:p>
    <w:p w14:paraId="755026D4" w14:textId="34675EA6" w:rsidR="00A24101" w:rsidRDefault="00A24101" w:rsidP="00A24101">
      <w:pPr>
        <w:spacing w:after="0" w:line="240" w:lineRule="auto"/>
      </w:pPr>
    </w:p>
    <w:p w14:paraId="40954A7E" w14:textId="0614FD8E" w:rsidR="00F467E8" w:rsidRDefault="00F467E8" w:rsidP="00F467E8">
      <w:pPr>
        <w:jc w:val="both"/>
        <w:rPr>
          <w:rFonts w:ascii="Arial" w:hAnsi="Arial" w:cs="Arial"/>
          <w:color w:val="202124"/>
          <w:sz w:val="20"/>
          <w:szCs w:val="20"/>
          <w:shd w:val="clear" w:color="auto" w:fill="FFFFFF"/>
        </w:rPr>
      </w:pPr>
      <w:r>
        <w:rPr>
          <w:rFonts w:ascii="Arial" w:hAnsi="Arial" w:cs="Arial"/>
          <w:b/>
          <w:bCs/>
          <w:color w:val="202124"/>
          <w:sz w:val="20"/>
          <w:szCs w:val="20"/>
          <w:shd w:val="clear" w:color="auto" w:fill="FFFFFF"/>
        </w:rPr>
        <w:t xml:space="preserve">2 </w:t>
      </w:r>
      <w:r w:rsidRPr="00A24101">
        <w:rPr>
          <w:rFonts w:ascii="Arial" w:hAnsi="Arial" w:cs="Arial"/>
          <w:b/>
          <w:bCs/>
          <w:color w:val="202124"/>
          <w:sz w:val="20"/>
          <w:szCs w:val="20"/>
          <w:shd w:val="clear" w:color="auto" w:fill="FFFFFF"/>
        </w:rPr>
        <w:t>PARAFRASEO</w:t>
      </w:r>
      <w:r>
        <w:rPr>
          <w:rFonts w:ascii="Arial" w:hAnsi="Arial" w:cs="Arial"/>
          <w:color w:val="202124"/>
          <w:sz w:val="20"/>
          <w:szCs w:val="20"/>
          <w:shd w:val="clear" w:color="auto" w:fill="FFFFFF"/>
        </w:rPr>
        <w:t xml:space="preserve">  </w:t>
      </w:r>
    </w:p>
    <w:p w14:paraId="4B5463EB" w14:textId="0F76C0E7" w:rsidR="00A24101" w:rsidRPr="00557E23" w:rsidRDefault="001775BD" w:rsidP="00836262">
      <w:pPr>
        <w:rPr>
          <w:rFonts w:ascii="Times New Roman" w:hAnsi="Times New Roman" w:cs="Times New Roman"/>
          <w:sz w:val="24"/>
          <w:szCs w:val="24"/>
        </w:rPr>
      </w:pPr>
      <w:r w:rsidRPr="00557E23">
        <w:rPr>
          <w:color w:val="000000" w:themeColor="text1"/>
          <w:sz w:val="24"/>
          <w:szCs w:val="24"/>
        </w:rPr>
        <w:t xml:space="preserve">     </w:t>
      </w:r>
      <w:r w:rsidR="00F467E8" w:rsidRPr="00557E23">
        <w:rPr>
          <w:rFonts w:ascii="Times New Roman" w:hAnsi="Times New Roman" w:cs="Times New Roman"/>
          <w:color w:val="000000" w:themeColor="text1"/>
          <w:sz w:val="24"/>
          <w:szCs w:val="24"/>
        </w:rPr>
        <w:t>Alemania no debe volver a cometer los errores de la guerra pasada, uno de estos errores fue que se hizo enemiga de todo el mundo, por consecuencia se veía amenazada por casi todo el mundo. Si Alemania quiere poner fin a todo lo que le amenaza, no debe reincidir en esos errores hizo durante la guerra pasada, pues como se mencionó, sería reincidir en los errores de la guerra pasada (Hitler, 1924).</w:t>
      </w:r>
    </w:p>
    <w:p w14:paraId="6E7AE500" w14:textId="7BB028F5" w:rsidR="00A24101" w:rsidRDefault="00A24101" w:rsidP="00A24101">
      <w:pPr>
        <w:spacing w:after="0" w:line="240" w:lineRule="auto"/>
      </w:pPr>
    </w:p>
    <w:p w14:paraId="6869A512" w14:textId="08D1FA32" w:rsidR="00A24101" w:rsidRDefault="00A24101" w:rsidP="00A24101">
      <w:pPr>
        <w:pStyle w:val="Prrafodelista"/>
        <w:numPr>
          <w:ilvl w:val="0"/>
          <w:numId w:val="1"/>
        </w:numPr>
        <w:spacing w:after="0" w:line="240" w:lineRule="auto"/>
      </w:pPr>
      <w:r>
        <w:t>Describe las referencias del trabajo desarrollado. (sangría francesa).</w:t>
      </w:r>
    </w:p>
    <w:p w14:paraId="7A78116C" w14:textId="62D98281" w:rsidR="00A24101" w:rsidRDefault="00A24101" w:rsidP="00A24101">
      <w:pPr>
        <w:pStyle w:val="Prrafodelista"/>
        <w:spacing w:after="0" w:line="240" w:lineRule="auto"/>
        <w:ind w:left="644"/>
      </w:pPr>
    </w:p>
    <w:p w14:paraId="27F7E010" w14:textId="77777777"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Abad S., Soria D., Pereira R., Marzo P. P. &amp; Klien S. (2001). </w:t>
      </w:r>
      <w:r w:rsidRPr="00557E23">
        <w:rPr>
          <w:rFonts w:ascii="Times New Roman" w:hAnsi="Times New Roman" w:cs="Times New Roman"/>
          <w:i/>
          <w:iCs/>
          <w:sz w:val="24"/>
          <w:szCs w:val="24"/>
        </w:rPr>
        <w:t xml:space="preserve">Amnistía v.s Derechos humanos buscando justicia. </w:t>
      </w:r>
      <w:r w:rsidRPr="00557E23">
        <w:rPr>
          <w:rFonts w:ascii="Times New Roman" w:hAnsi="Times New Roman" w:cs="Times New Roman"/>
          <w:sz w:val="24"/>
          <w:szCs w:val="24"/>
        </w:rPr>
        <w:t xml:space="preserve">Lima, Perú. </w:t>
      </w:r>
    </w:p>
    <w:p w14:paraId="32F4D344" w14:textId="77777777" w:rsidR="009743F1" w:rsidRPr="00557E23" w:rsidRDefault="009743F1" w:rsidP="00143519">
      <w:pPr>
        <w:ind w:left="644" w:hanging="709"/>
        <w:jc w:val="both"/>
        <w:rPr>
          <w:rFonts w:ascii="Times New Roman" w:hAnsi="Times New Roman" w:cs="Times New Roman"/>
          <w:i/>
          <w:iCs/>
          <w:sz w:val="24"/>
          <w:szCs w:val="24"/>
        </w:rPr>
      </w:pPr>
      <w:r w:rsidRPr="00557E23">
        <w:rPr>
          <w:rFonts w:ascii="Times New Roman" w:hAnsi="Times New Roman" w:cs="Times New Roman"/>
          <w:sz w:val="24"/>
          <w:szCs w:val="24"/>
        </w:rPr>
        <w:t>Aguirre C. &amp; Drinot P</w:t>
      </w:r>
      <w:r w:rsidRPr="00557E23">
        <w:rPr>
          <w:rFonts w:ascii="Times New Roman" w:hAnsi="Times New Roman" w:cs="Times New Roman"/>
          <w:i/>
          <w:iCs/>
          <w:sz w:val="24"/>
          <w:szCs w:val="24"/>
        </w:rPr>
        <w:t xml:space="preserve">. (2018). La revolución peculiar repensando el gobierno militar de Velasco. Instituto de Estudios Peruanos. </w:t>
      </w:r>
      <w:r w:rsidRPr="00557E23">
        <w:rPr>
          <w:rFonts w:ascii="Times New Roman" w:hAnsi="Times New Roman" w:cs="Times New Roman"/>
          <w:sz w:val="24"/>
          <w:szCs w:val="24"/>
        </w:rPr>
        <w:t>Lima, Perú</w:t>
      </w:r>
    </w:p>
    <w:p w14:paraId="72DFFE1A" w14:textId="77777777"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Arratia A. (2010). </w:t>
      </w:r>
      <w:r w:rsidRPr="00557E23">
        <w:rPr>
          <w:rFonts w:ascii="Times New Roman" w:hAnsi="Times New Roman" w:cs="Times New Roman"/>
          <w:i/>
          <w:iCs/>
          <w:sz w:val="24"/>
          <w:szCs w:val="24"/>
        </w:rPr>
        <w:t>Dictaduras Latinoamericanas</w:t>
      </w:r>
      <w:r w:rsidRPr="00557E23">
        <w:rPr>
          <w:rFonts w:ascii="Times New Roman" w:hAnsi="Times New Roman" w:cs="Times New Roman"/>
          <w:sz w:val="24"/>
          <w:szCs w:val="24"/>
        </w:rPr>
        <w:t>. Universidad Central de Venezuela. Caracas, Venezuela.</w:t>
      </w:r>
    </w:p>
    <w:p w14:paraId="2A4C5A31" w14:textId="28D78562"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Basadre J. (1939). </w:t>
      </w:r>
      <w:r w:rsidRPr="00557E23">
        <w:rPr>
          <w:rFonts w:ascii="Times New Roman" w:hAnsi="Times New Roman" w:cs="Times New Roman"/>
          <w:i/>
          <w:iCs/>
          <w:sz w:val="24"/>
          <w:szCs w:val="24"/>
        </w:rPr>
        <w:t xml:space="preserve">Historia de la republica del Perú. </w:t>
      </w:r>
      <w:r w:rsidRPr="00557E23">
        <w:rPr>
          <w:rFonts w:ascii="Times New Roman" w:hAnsi="Times New Roman" w:cs="Times New Roman"/>
          <w:sz w:val="24"/>
          <w:szCs w:val="24"/>
        </w:rPr>
        <w:t xml:space="preserve">Universidad Nacional mayor de San Marcos. Lima Perú. </w:t>
      </w:r>
    </w:p>
    <w:p w14:paraId="26555D20" w14:textId="09E14D31"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Benavides J. M. (2018).</w:t>
      </w:r>
      <w:r w:rsidRPr="00557E23">
        <w:rPr>
          <w:rFonts w:ascii="Times New Roman" w:hAnsi="Times New Roman" w:cs="Times New Roman"/>
          <w:i/>
          <w:iCs/>
          <w:sz w:val="24"/>
          <w:szCs w:val="24"/>
        </w:rPr>
        <w:t xml:space="preserve"> La dictadura en Chile: un abordaje narrativo al régimen de terror de Pinochet. </w:t>
      </w:r>
      <w:r w:rsidRPr="00557E23">
        <w:rPr>
          <w:rFonts w:ascii="Times New Roman" w:hAnsi="Times New Roman" w:cs="Times New Roman"/>
          <w:sz w:val="24"/>
          <w:szCs w:val="24"/>
        </w:rPr>
        <w:t>Universidad Técnica de Manabí. Manabí, Ecuador.</w:t>
      </w:r>
    </w:p>
    <w:p w14:paraId="767DA0ED" w14:textId="77777777"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Branden N. (2009). </w:t>
      </w:r>
      <w:r w:rsidRPr="00557E23">
        <w:rPr>
          <w:rFonts w:ascii="Times New Roman" w:hAnsi="Times New Roman" w:cs="Times New Roman"/>
          <w:i/>
          <w:iCs/>
          <w:sz w:val="24"/>
          <w:szCs w:val="24"/>
        </w:rPr>
        <w:t>Como mejorar su autoestima</w:t>
      </w:r>
      <w:r w:rsidRPr="00557E23">
        <w:rPr>
          <w:rFonts w:ascii="Times New Roman" w:hAnsi="Times New Roman" w:cs="Times New Roman"/>
          <w:sz w:val="24"/>
          <w:szCs w:val="24"/>
        </w:rPr>
        <w:t>. Universidad Técnica de Manabí. Brampton, Canadá.</w:t>
      </w:r>
    </w:p>
    <w:p w14:paraId="26C15364" w14:textId="017AF5C9"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lastRenderedPageBreak/>
        <w:t xml:space="preserve">Cuauhtémoc C. (2014). </w:t>
      </w:r>
      <w:r w:rsidRPr="00557E23">
        <w:rPr>
          <w:rFonts w:ascii="Times New Roman" w:hAnsi="Times New Roman" w:cs="Times New Roman"/>
          <w:i/>
          <w:iCs/>
          <w:sz w:val="24"/>
          <w:szCs w:val="24"/>
        </w:rPr>
        <w:t>Sangre de campeón EN PIE DE GUERRA: En pie de guerra contra las drogas.</w:t>
      </w:r>
      <w:r w:rsidRPr="00557E23">
        <w:rPr>
          <w:rFonts w:ascii="Times New Roman" w:hAnsi="Times New Roman" w:cs="Times New Roman"/>
          <w:sz w:val="24"/>
          <w:szCs w:val="24"/>
        </w:rPr>
        <w:t xml:space="preserve"> Ciudad de México, México.</w:t>
      </w:r>
    </w:p>
    <w:p w14:paraId="0E6B3627" w14:textId="77777777" w:rsidR="009743F1" w:rsidRPr="00557E23" w:rsidRDefault="009743F1" w:rsidP="00143519">
      <w:pPr>
        <w:pStyle w:val="Prrafodelista"/>
        <w:spacing w:after="0" w:line="240" w:lineRule="auto"/>
        <w:ind w:left="644" w:hanging="709"/>
        <w:jc w:val="both"/>
        <w:rPr>
          <w:rFonts w:ascii="Times New Roman" w:hAnsi="Times New Roman" w:cs="Times New Roman"/>
          <w:i/>
          <w:iCs/>
          <w:color w:val="202124"/>
          <w:sz w:val="24"/>
          <w:szCs w:val="24"/>
          <w:shd w:val="clear" w:color="auto" w:fill="FFFFFF"/>
        </w:rPr>
      </w:pPr>
      <w:r w:rsidRPr="00557E23">
        <w:rPr>
          <w:rFonts w:ascii="Times New Roman" w:hAnsi="Times New Roman" w:cs="Times New Roman"/>
          <w:sz w:val="24"/>
          <w:szCs w:val="24"/>
        </w:rPr>
        <w:t xml:space="preserve">Gonzales M. (2015). </w:t>
      </w:r>
      <w:r w:rsidRPr="00557E23">
        <w:rPr>
          <w:rFonts w:ascii="Times New Roman" w:hAnsi="Times New Roman" w:cs="Times New Roman"/>
          <w:i/>
          <w:iCs/>
          <w:color w:val="202124"/>
          <w:sz w:val="24"/>
          <w:szCs w:val="24"/>
          <w:shd w:val="clear" w:color="auto" w:fill="FFFFFF"/>
        </w:rPr>
        <w:t>Perfiles cognitivos asociados a alumnos con altas habilidades intelectuales. (</w:t>
      </w:r>
      <w:r w:rsidRPr="00557E23">
        <w:rPr>
          <w:rFonts w:ascii="Times New Roman" w:hAnsi="Times New Roman" w:cs="Times New Roman"/>
          <w:color w:val="202124"/>
          <w:sz w:val="24"/>
          <w:szCs w:val="24"/>
          <w:shd w:val="clear" w:color="auto" w:fill="FFFFFF"/>
        </w:rPr>
        <w:t>Tesis doctoral). Universidad de Alicante, España.</w:t>
      </w:r>
      <w:r w:rsidRPr="00557E23">
        <w:rPr>
          <w:rFonts w:ascii="Times New Roman" w:hAnsi="Times New Roman" w:cs="Times New Roman"/>
          <w:i/>
          <w:iCs/>
          <w:color w:val="202124"/>
          <w:sz w:val="24"/>
          <w:szCs w:val="24"/>
          <w:shd w:val="clear" w:color="auto" w:fill="FFFFFF"/>
        </w:rPr>
        <w:t xml:space="preserve"> </w:t>
      </w:r>
    </w:p>
    <w:p w14:paraId="6BACD51D" w14:textId="77777777" w:rsidR="009743F1" w:rsidRPr="00557E23" w:rsidRDefault="009743F1" w:rsidP="00143519">
      <w:pPr>
        <w:ind w:hanging="709"/>
        <w:rPr>
          <w:rFonts w:ascii="Times New Roman" w:hAnsi="Times New Roman" w:cs="Times New Roman"/>
          <w:sz w:val="24"/>
          <w:szCs w:val="24"/>
        </w:rPr>
      </w:pPr>
    </w:p>
    <w:p w14:paraId="74A0AFD6" w14:textId="60789D7D" w:rsidR="009743F1" w:rsidRPr="00557E23" w:rsidRDefault="009743F1" w:rsidP="00406197">
      <w:pPr>
        <w:ind w:hanging="65"/>
        <w:rPr>
          <w:rFonts w:ascii="Times New Roman" w:hAnsi="Times New Roman" w:cs="Times New Roman"/>
          <w:sz w:val="24"/>
          <w:szCs w:val="24"/>
        </w:rPr>
      </w:pPr>
      <w:r w:rsidRPr="00557E23">
        <w:rPr>
          <w:rFonts w:ascii="Times New Roman" w:hAnsi="Times New Roman" w:cs="Times New Roman"/>
          <w:sz w:val="24"/>
          <w:szCs w:val="24"/>
        </w:rPr>
        <w:t xml:space="preserve">Hitler A. (1924). </w:t>
      </w:r>
      <w:r w:rsidRPr="00557E23">
        <w:rPr>
          <w:rFonts w:ascii="Times New Roman" w:hAnsi="Times New Roman" w:cs="Times New Roman"/>
          <w:i/>
          <w:iCs/>
          <w:sz w:val="24"/>
          <w:szCs w:val="24"/>
        </w:rPr>
        <w:t xml:space="preserve">Mi lucha. </w:t>
      </w:r>
      <w:r w:rsidRPr="00557E23">
        <w:rPr>
          <w:rFonts w:ascii="Times New Roman" w:hAnsi="Times New Roman" w:cs="Times New Roman"/>
          <w:sz w:val="24"/>
          <w:szCs w:val="24"/>
        </w:rPr>
        <w:t>Múnich, Alemania.</w:t>
      </w:r>
    </w:p>
    <w:p w14:paraId="7D963BA0" w14:textId="77777777" w:rsidR="009743F1" w:rsidRPr="00557E23" w:rsidRDefault="009743F1" w:rsidP="00406197">
      <w:pPr>
        <w:ind w:left="644" w:hanging="644"/>
        <w:jc w:val="both"/>
        <w:rPr>
          <w:rFonts w:ascii="Times New Roman" w:hAnsi="Times New Roman" w:cs="Times New Roman"/>
          <w:sz w:val="24"/>
          <w:szCs w:val="24"/>
        </w:rPr>
      </w:pPr>
      <w:r w:rsidRPr="00557E23">
        <w:rPr>
          <w:rFonts w:ascii="Times New Roman" w:hAnsi="Times New Roman" w:cs="Times New Roman"/>
          <w:sz w:val="24"/>
          <w:szCs w:val="24"/>
        </w:rPr>
        <w:t xml:space="preserve">Ibáñez L. (2017). </w:t>
      </w:r>
      <w:r w:rsidRPr="00557E23">
        <w:rPr>
          <w:rFonts w:ascii="Times New Roman" w:hAnsi="Times New Roman" w:cs="Times New Roman"/>
          <w:i/>
          <w:iCs/>
          <w:sz w:val="24"/>
          <w:szCs w:val="24"/>
        </w:rPr>
        <w:t xml:space="preserve">Elijo ser yo. </w:t>
      </w:r>
      <w:r w:rsidRPr="00557E23">
        <w:rPr>
          <w:rFonts w:ascii="Times New Roman" w:hAnsi="Times New Roman" w:cs="Times New Roman"/>
          <w:sz w:val="24"/>
          <w:szCs w:val="24"/>
        </w:rPr>
        <w:t>Lima Perú.</w:t>
      </w:r>
    </w:p>
    <w:p w14:paraId="7FA5DBFC" w14:textId="77777777" w:rsidR="009743F1" w:rsidRPr="00557E23" w:rsidRDefault="009743F1" w:rsidP="00143519">
      <w:pPr>
        <w:ind w:left="644" w:hanging="709"/>
        <w:jc w:val="both"/>
        <w:rPr>
          <w:rFonts w:ascii="Times New Roman" w:hAnsi="Times New Roman" w:cs="Times New Roman"/>
          <w:sz w:val="24"/>
          <w:szCs w:val="24"/>
        </w:rPr>
      </w:pPr>
      <w:r w:rsidRPr="00557E23">
        <w:rPr>
          <w:rFonts w:ascii="Times New Roman" w:hAnsi="Times New Roman" w:cs="Times New Roman"/>
          <w:sz w:val="24"/>
          <w:szCs w:val="24"/>
        </w:rPr>
        <w:t>Lerner S. (2003). C</w:t>
      </w:r>
      <w:r w:rsidRPr="00557E23">
        <w:rPr>
          <w:rFonts w:ascii="Times New Roman" w:hAnsi="Times New Roman" w:cs="Times New Roman"/>
          <w:i/>
          <w:iCs/>
          <w:sz w:val="24"/>
          <w:szCs w:val="24"/>
        </w:rPr>
        <w:t xml:space="preserve">omisión de la verdad y la reconciliación. </w:t>
      </w:r>
      <w:r w:rsidRPr="00557E23">
        <w:rPr>
          <w:rFonts w:ascii="Times New Roman" w:hAnsi="Times New Roman" w:cs="Times New Roman"/>
          <w:sz w:val="24"/>
          <w:szCs w:val="24"/>
        </w:rPr>
        <w:t xml:space="preserve">Pontificia Universidad católica del Perú. Lima, Perú. </w:t>
      </w:r>
    </w:p>
    <w:p w14:paraId="21BABC19" w14:textId="1BCAA7E3" w:rsidR="009743F1" w:rsidRPr="00557E23" w:rsidRDefault="009743F1" w:rsidP="00143519">
      <w:pPr>
        <w:pStyle w:val="Prrafodelista"/>
        <w:spacing w:after="0" w:line="240" w:lineRule="auto"/>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López V., Bilbao M. A. &amp; Rodríguez J. I. (2012) </w:t>
      </w:r>
      <w:r w:rsidRPr="00557E23">
        <w:rPr>
          <w:rFonts w:ascii="Times New Roman" w:hAnsi="Times New Roman" w:cs="Times New Roman"/>
          <w:i/>
          <w:iCs/>
          <w:sz w:val="24"/>
          <w:szCs w:val="24"/>
        </w:rPr>
        <w:t>La sala de clases sí importa: incidencia del clima de aula sobre la percepción de intimidación y victimización entre escolares</w:t>
      </w:r>
      <w:r w:rsidRPr="00557E23">
        <w:rPr>
          <w:rFonts w:ascii="Times New Roman" w:hAnsi="Times New Roman" w:cs="Times New Roman"/>
          <w:sz w:val="24"/>
          <w:szCs w:val="24"/>
        </w:rPr>
        <w:t>. Pontificia Universidad Javeriana Bogotá, Colombia.</w:t>
      </w:r>
    </w:p>
    <w:p w14:paraId="17C63BFF" w14:textId="0943B21D" w:rsidR="009743F1" w:rsidRPr="00557E23" w:rsidRDefault="008D7C66" w:rsidP="008D7C66">
      <w:pPr>
        <w:ind w:left="644" w:hanging="709"/>
        <w:jc w:val="both"/>
        <w:rPr>
          <w:rFonts w:ascii="Times New Roman" w:hAnsi="Times New Roman" w:cs="Times New Roman"/>
          <w:i/>
          <w:iCs/>
          <w:sz w:val="24"/>
          <w:szCs w:val="24"/>
        </w:rPr>
      </w:pPr>
      <w:r w:rsidRPr="00557E23">
        <w:rPr>
          <w:rFonts w:ascii="Times New Roman" w:hAnsi="Times New Roman" w:cs="Times New Roman"/>
          <w:sz w:val="24"/>
          <w:szCs w:val="24"/>
        </w:rPr>
        <w:t>M</w:t>
      </w:r>
      <w:r w:rsidR="00F96E1A" w:rsidRPr="00557E23">
        <w:rPr>
          <w:rFonts w:ascii="Times New Roman" w:hAnsi="Times New Roman" w:cs="Times New Roman"/>
          <w:sz w:val="24"/>
          <w:szCs w:val="24"/>
        </w:rPr>
        <w:t>INSA</w:t>
      </w:r>
      <w:r w:rsidR="0065266C" w:rsidRPr="00557E23">
        <w:rPr>
          <w:rFonts w:ascii="Times New Roman" w:hAnsi="Times New Roman" w:cs="Times New Roman"/>
          <w:sz w:val="24"/>
          <w:szCs w:val="24"/>
        </w:rPr>
        <w:t xml:space="preserve"> </w:t>
      </w:r>
      <w:r w:rsidRPr="00557E23">
        <w:rPr>
          <w:rFonts w:ascii="Times New Roman" w:hAnsi="Times New Roman" w:cs="Times New Roman"/>
          <w:sz w:val="24"/>
          <w:szCs w:val="24"/>
        </w:rPr>
        <w:t xml:space="preserve">(2020). </w:t>
      </w:r>
      <w:r w:rsidRPr="00557E23">
        <w:rPr>
          <w:rFonts w:ascii="Times New Roman" w:hAnsi="Times New Roman" w:cs="Times New Roman"/>
          <w:i/>
          <w:iCs/>
          <w:sz w:val="24"/>
          <w:szCs w:val="24"/>
        </w:rPr>
        <w:t>Cuidado de la salud mental de la población afectada, familias y comunidad, en el contexto del covid–19.</w:t>
      </w:r>
    </w:p>
    <w:p w14:paraId="13CEBE1C" w14:textId="54673E1A" w:rsidR="009743F1" w:rsidRPr="00557E23" w:rsidRDefault="009743F1" w:rsidP="00143519">
      <w:pPr>
        <w:pStyle w:val="Prrafodelista"/>
        <w:spacing w:after="0" w:line="240" w:lineRule="auto"/>
        <w:ind w:left="644" w:hanging="709"/>
        <w:jc w:val="both"/>
        <w:rPr>
          <w:rFonts w:ascii="Times New Roman" w:hAnsi="Times New Roman" w:cs="Times New Roman"/>
          <w:sz w:val="24"/>
          <w:szCs w:val="24"/>
        </w:rPr>
      </w:pPr>
      <w:r w:rsidRPr="00557E23">
        <w:rPr>
          <w:rFonts w:ascii="Times New Roman" w:hAnsi="Times New Roman" w:cs="Times New Roman"/>
          <w:sz w:val="24"/>
          <w:szCs w:val="24"/>
        </w:rPr>
        <w:t xml:space="preserve">Pastor R., Nashiki R. M. &amp; Pérez M. A. (2009). </w:t>
      </w:r>
      <w:r w:rsidRPr="00557E23">
        <w:rPr>
          <w:rFonts w:ascii="Times New Roman" w:hAnsi="Times New Roman" w:cs="Times New Roman"/>
          <w:i/>
          <w:iCs/>
          <w:sz w:val="24"/>
          <w:szCs w:val="24"/>
        </w:rPr>
        <w:t>Construyendo comunidades de aprendizaje.</w:t>
      </w:r>
    </w:p>
    <w:p w14:paraId="333C1D67" w14:textId="77777777" w:rsidR="00406197" w:rsidRDefault="00406197" w:rsidP="00406197">
      <w:pPr>
        <w:jc w:val="both"/>
      </w:pPr>
    </w:p>
    <w:p w14:paraId="1BC87E82" w14:textId="77777777" w:rsidR="003719C3" w:rsidRPr="00C56E38" w:rsidRDefault="003719C3" w:rsidP="00143519">
      <w:pPr>
        <w:ind w:left="644" w:hanging="709"/>
        <w:jc w:val="both"/>
      </w:pPr>
    </w:p>
    <w:p w14:paraId="77C439AA" w14:textId="77777777" w:rsidR="00BF0298" w:rsidRPr="00BF0298" w:rsidRDefault="00BF0298" w:rsidP="00BF0298">
      <w:pPr>
        <w:ind w:firstLine="644"/>
      </w:pPr>
    </w:p>
    <w:p w14:paraId="2288EF9A" w14:textId="2130099D" w:rsidR="00B00F40" w:rsidRDefault="00B00F40" w:rsidP="00B00F40">
      <w:pPr>
        <w:pStyle w:val="Prrafodelista"/>
        <w:spacing w:after="0" w:line="240" w:lineRule="auto"/>
        <w:ind w:left="644"/>
        <w:jc w:val="both"/>
      </w:pPr>
    </w:p>
    <w:p w14:paraId="4AED8BF3" w14:textId="77777777" w:rsidR="00BF0298" w:rsidRDefault="00BF0298" w:rsidP="00B00F40">
      <w:pPr>
        <w:pStyle w:val="Prrafodelista"/>
        <w:spacing w:after="0" w:line="240" w:lineRule="auto"/>
        <w:ind w:left="644"/>
        <w:jc w:val="both"/>
      </w:pPr>
    </w:p>
    <w:p w14:paraId="4DB3F1DF" w14:textId="37A4F46F" w:rsidR="00B00F40" w:rsidRPr="00420331" w:rsidRDefault="00B00F40" w:rsidP="00B00F40">
      <w:pPr>
        <w:pStyle w:val="Prrafodelista"/>
        <w:spacing w:after="0" w:line="240" w:lineRule="auto"/>
        <w:ind w:left="644"/>
        <w:jc w:val="both"/>
      </w:pPr>
    </w:p>
    <w:sectPr w:rsidR="00B00F40" w:rsidRPr="00420331" w:rsidSect="00FE656A">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3C6B" w14:textId="77777777" w:rsidR="00451F02" w:rsidRDefault="00451F02" w:rsidP="00F467E8">
      <w:pPr>
        <w:spacing w:after="0" w:line="240" w:lineRule="auto"/>
      </w:pPr>
      <w:r>
        <w:separator/>
      </w:r>
    </w:p>
  </w:endnote>
  <w:endnote w:type="continuationSeparator" w:id="0">
    <w:p w14:paraId="3E3E0330" w14:textId="77777777" w:rsidR="00451F02" w:rsidRDefault="00451F02" w:rsidP="00F4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C437" w14:textId="77777777" w:rsidR="00451F02" w:rsidRDefault="00451F02" w:rsidP="00F467E8">
      <w:pPr>
        <w:spacing w:after="0" w:line="240" w:lineRule="auto"/>
      </w:pPr>
      <w:r>
        <w:separator/>
      </w:r>
    </w:p>
  </w:footnote>
  <w:footnote w:type="continuationSeparator" w:id="0">
    <w:p w14:paraId="1CD3B9A5" w14:textId="77777777" w:rsidR="00451F02" w:rsidRDefault="00451F02" w:rsidP="00F4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F0B6C"/>
    <w:multiLevelType w:val="hybridMultilevel"/>
    <w:tmpl w:val="E1F64C4A"/>
    <w:lvl w:ilvl="0" w:tplc="3CC841F8">
      <w:start w:val="1"/>
      <w:numFmt w:val="decimal"/>
      <w:lvlText w:val="%1."/>
      <w:lvlJc w:val="left"/>
      <w:pPr>
        <w:ind w:left="360" w:hanging="360"/>
      </w:pPr>
      <w:rPr>
        <w:b/>
        <w:bCs/>
      </w:rPr>
    </w:lvl>
    <w:lvl w:ilvl="1" w:tplc="280A0019" w:tentative="1">
      <w:start w:val="1"/>
      <w:numFmt w:val="lowerLetter"/>
      <w:lvlText w:val="%2."/>
      <w:lvlJc w:val="left"/>
      <w:pPr>
        <w:ind w:left="1298" w:hanging="360"/>
      </w:pPr>
    </w:lvl>
    <w:lvl w:ilvl="2" w:tplc="280A001B" w:tentative="1">
      <w:start w:val="1"/>
      <w:numFmt w:val="lowerRoman"/>
      <w:lvlText w:val="%3."/>
      <w:lvlJc w:val="right"/>
      <w:pPr>
        <w:ind w:left="2018" w:hanging="180"/>
      </w:pPr>
    </w:lvl>
    <w:lvl w:ilvl="3" w:tplc="280A000F" w:tentative="1">
      <w:start w:val="1"/>
      <w:numFmt w:val="decimal"/>
      <w:lvlText w:val="%4."/>
      <w:lvlJc w:val="left"/>
      <w:pPr>
        <w:ind w:left="2738" w:hanging="360"/>
      </w:pPr>
    </w:lvl>
    <w:lvl w:ilvl="4" w:tplc="280A0019" w:tentative="1">
      <w:start w:val="1"/>
      <w:numFmt w:val="lowerLetter"/>
      <w:lvlText w:val="%5."/>
      <w:lvlJc w:val="left"/>
      <w:pPr>
        <w:ind w:left="3458" w:hanging="360"/>
      </w:pPr>
    </w:lvl>
    <w:lvl w:ilvl="5" w:tplc="280A001B" w:tentative="1">
      <w:start w:val="1"/>
      <w:numFmt w:val="lowerRoman"/>
      <w:lvlText w:val="%6."/>
      <w:lvlJc w:val="right"/>
      <w:pPr>
        <w:ind w:left="4178" w:hanging="180"/>
      </w:pPr>
    </w:lvl>
    <w:lvl w:ilvl="6" w:tplc="280A000F" w:tentative="1">
      <w:start w:val="1"/>
      <w:numFmt w:val="decimal"/>
      <w:lvlText w:val="%7."/>
      <w:lvlJc w:val="left"/>
      <w:pPr>
        <w:ind w:left="4898" w:hanging="360"/>
      </w:pPr>
    </w:lvl>
    <w:lvl w:ilvl="7" w:tplc="280A0019" w:tentative="1">
      <w:start w:val="1"/>
      <w:numFmt w:val="lowerLetter"/>
      <w:lvlText w:val="%8."/>
      <w:lvlJc w:val="left"/>
      <w:pPr>
        <w:ind w:left="5618" w:hanging="360"/>
      </w:pPr>
    </w:lvl>
    <w:lvl w:ilvl="8" w:tplc="280A001B" w:tentative="1">
      <w:start w:val="1"/>
      <w:numFmt w:val="lowerRoman"/>
      <w:lvlText w:val="%9."/>
      <w:lvlJc w:val="right"/>
      <w:pPr>
        <w:ind w:left="63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4"/>
    <w:rsid w:val="00034639"/>
    <w:rsid w:val="0005751F"/>
    <w:rsid w:val="00063438"/>
    <w:rsid w:val="000A3AF7"/>
    <w:rsid w:val="000B0B5B"/>
    <w:rsid w:val="000D4F82"/>
    <w:rsid w:val="001318E8"/>
    <w:rsid w:val="00143519"/>
    <w:rsid w:val="0014691B"/>
    <w:rsid w:val="00176053"/>
    <w:rsid w:val="001775BD"/>
    <w:rsid w:val="001E1340"/>
    <w:rsid w:val="00227C0D"/>
    <w:rsid w:val="0023490E"/>
    <w:rsid w:val="00267BF0"/>
    <w:rsid w:val="003719C3"/>
    <w:rsid w:val="003C55D1"/>
    <w:rsid w:val="003E5EEE"/>
    <w:rsid w:val="003F531B"/>
    <w:rsid w:val="00406197"/>
    <w:rsid w:val="00420331"/>
    <w:rsid w:val="0043318B"/>
    <w:rsid w:val="00451F02"/>
    <w:rsid w:val="0046434E"/>
    <w:rsid w:val="004A124E"/>
    <w:rsid w:val="004D3039"/>
    <w:rsid w:val="0053343A"/>
    <w:rsid w:val="00536074"/>
    <w:rsid w:val="005505CE"/>
    <w:rsid w:val="00557E23"/>
    <w:rsid w:val="005B6F0B"/>
    <w:rsid w:val="005D6922"/>
    <w:rsid w:val="0061001D"/>
    <w:rsid w:val="00632526"/>
    <w:rsid w:val="0065266C"/>
    <w:rsid w:val="00657853"/>
    <w:rsid w:val="00695307"/>
    <w:rsid w:val="0069582F"/>
    <w:rsid w:val="0073168C"/>
    <w:rsid w:val="0073756A"/>
    <w:rsid w:val="0074795A"/>
    <w:rsid w:val="00836262"/>
    <w:rsid w:val="00845AE6"/>
    <w:rsid w:val="00861B4C"/>
    <w:rsid w:val="00865E56"/>
    <w:rsid w:val="008D6D44"/>
    <w:rsid w:val="008D7C66"/>
    <w:rsid w:val="009743F1"/>
    <w:rsid w:val="00980733"/>
    <w:rsid w:val="009E4C8E"/>
    <w:rsid w:val="00A24101"/>
    <w:rsid w:val="00A44807"/>
    <w:rsid w:val="00A51907"/>
    <w:rsid w:val="00A71024"/>
    <w:rsid w:val="00AB7BA4"/>
    <w:rsid w:val="00B00F40"/>
    <w:rsid w:val="00B26BD4"/>
    <w:rsid w:val="00B862B5"/>
    <w:rsid w:val="00BB3B6A"/>
    <w:rsid w:val="00BB6B27"/>
    <w:rsid w:val="00BD0458"/>
    <w:rsid w:val="00BF0298"/>
    <w:rsid w:val="00C56E38"/>
    <w:rsid w:val="00C603EB"/>
    <w:rsid w:val="00C65956"/>
    <w:rsid w:val="00C96697"/>
    <w:rsid w:val="00D14D7A"/>
    <w:rsid w:val="00D466C0"/>
    <w:rsid w:val="00D46B52"/>
    <w:rsid w:val="00D8323E"/>
    <w:rsid w:val="00DF0FF3"/>
    <w:rsid w:val="00E25D95"/>
    <w:rsid w:val="00E50C4B"/>
    <w:rsid w:val="00EB5664"/>
    <w:rsid w:val="00EF5B6B"/>
    <w:rsid w:val="00F467E8"/>
    <w:rsid w:val="00F55A05"/>
    <w:rsid w:val="00F96E1A"/>
    <w:rsid w:val="00FD70DC"/>
    <w:rsid w:val="00FE65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963"/>
  <w15:chartTrackingRefBased/>
  <w15:docId w15:val="{53FC4846-83E4-46B0-8B1C-32D87F92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BD4"/>
    <w:pPr>
      <w:ind w:left="720"/>
      <w:contextualSpacing/>
    </w:pPr>
  </w:style>
  <w:style w:type="character" w:customStyle="1" w:styleId="a">
    <w:name w:val="_"/>
    <w:basedOn w:val="Fuentedeprrafopredeter"/>
    <w:rsid w:val="0074795A"/>
  </w:style>
  <w:style w:type="character" w:customStyle="1" w:styleId="ff6">
    <w:name w:val="ff6"/>
    <w:basedOn w:val="Fuentedeprrafopredeter"/>
    <w:rsid w:val="0074795A"/>
  </w:style>
  <w:style w:type="character" w:customStyle="1" w:styleId="ff1">
    <w:name w:val="ff1"/>
    <w:basedOn w:val="Fuentedeprrafopredeter"/>
    <w:rsid w:val="0074795A"/>
  </w:style>
  <w:style w:type="table" w:styleId="Tablaconcuadrcula">
    <w:name w:val="Table Grid"/>
    <w:basedOn w:val="Tablanormal"/>
    <w:uiPriority w:val="39"/>
    <w:rsid w:val="004203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67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7E8"/>
  </w:style>
  <w:style w:type="paragraph" w:styleId="Piedepgina">
    <w:name w:val="footer"/>
    <w:basedOn w:val="Normal"/>
    <w:link w:val="PiedepginaCar"/>
    <w:uiPriority w:val="99"/>
    <w:unhideWhenUsed/>
    <w:rsid w:val="00F467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7E8"/>
  </w:style>
  <w:style w:type="paragraph" w:styleId="Textodeglobo">
    <w:name w:val="Balloon Text"/>
    <w:basedOn w:val="Normal"/>
    <w:link w:val="TextodegloboCar"/>
    <w:uiPriority w:val="99"/>
    <w:semiHidden/>
    <w:unhideWhenUsed/>
    <w:rsid w:val="003E5E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5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12185">
      <w:bodyDiv w:val="1"/>
      <w:marLeft w:val="0"/>
      <w:marRight w:val="0"/>
      <w:marTop w:val="0"/>
      <w:marBottom w:val="0"/>
      <w:divBdr>
        <w:top w:val="none" w:sz="0" w:space="0" w:color="auto"/>
        <w:left w:val="none" w:sz="0" w:space="0" w:color="auto"/>
        <w:bottom w:val="none" w:sz="0" w:space="0" w:color="auto"/>
        <w:right w:val="none" w:sz="0" w:space="0" w:color="auto"/>
      </w:divBdr>
    </w:div>
    <w:div w:id="974260099">
      <w:bodyDiv w:val="1"/>
      <w:marLeft w:val="0"/>
      <w:marRight w:val="0"/>
      <w:marTop w:val="0"/>
      <w:marBottom w:val="0"/>
      <w:divBdr>
        <w:top w:val="none" w:sz="0" w:space="0" w:color="auto"/>
        <w:left w:val="none" w:sz="0" w:space="0" w:color="auto"/>
        <w:bottom w:val="none" w:sz="0" w:space="0" w:color="auto"/>
        <w:right w:val="none" w:sz="0" w:space="0" w:color="auto"/>
      </w:divBdr>
    </w:div>
    <w:div w:id="1061488072">
      <w:bodyDiv w:val="1"/>
      <w:marLeft w:val="0"/>
      <w:marRight w:val="0"/>
      <w:marTop w:val="0"/>
      <w:marBottom w:val="0"/>
      <w:divBdr>
        <w:top w:val="none" w:sz="0" w:space="0" w:color="auto"/>
        <w:left w:val="none" w:sz="0" w:space="0" w:color="auto"/>
        <w:bottom w:val="none" w:sz="0" w:space="0" w:color="auto"/>
        <w:right w:val="none" w:sz="0" w:space="0" w:color="auto"/>
      </w:divBdr>
    </w:div>
    <w:div w:id="1310355530">
      <w:bodyDiv w:val="1"/>
      <w:marLeft w:val="0"/>
      <w:marRight w:val="0"/>
      <w:marTop w:val="0"/>
      <w:marBottom w:val="0"/>
      <w:divBdr>
        <w:top w:val="none" w:sz="0" w:space="0" w:color="auto"/>
        <w:left w:val="none" w:sz="0" w:space="0" w:color="auto"/>
        <w:bottom w:val="none" w:sz="0" w:space="0" w:color="auto"/>
        <w:right w:val="none" w:sz="0" w:space="0" w:color="auto"/>
      </w:divBdr>
    </w:div>
    <w:div w:id="1371883908">
      <w:bodyDiv w:val="1"/>
      <w:marLeft w:val="0"/>
      <w:marRight w:val="0"/>
      <w:marTop w:val="0"/>
      <w:marBottom w:val="0"/>
      <w:divBdr>
        <w:top w:val="none" w:sz="0" w:space="0" w:color="auto"/>
        <w:left w:val="none" w:sz="0" w:space="0" w:color="auto"/>
        <w:bottom w:val="none" w:sz="0" w:space="0" w:color="auto"/>
        <w:right w:val="none" w:sz="0" w:space="0" w:color="auto"/>
      </w:divBdr>
    </w:div>
    <w:div w:id="1386492813">
      <w:bodyDiv w:val="1"/>
      <w:marLeft w:val="0"/>
      <w:marRight w:val="0"/>
      <w:marTop w:val="0"/>
      <w:marBottom w:val="0"/>
      <w:divBdr>
        <w:top w:val="none" w:sz="0" w:space="0" w:color="auto"/>
        <w:left w:val="none" w:sz="0" w:space="0" w:color="auto"/>
        <w:bottom w:val="none" w:sz="0" w:space="0" w:color="auto"/>
        <w:right w:val="none" w:sz="0" w:space="0" w:color="auto"/>
      </w:divBdr>
    </w:div>
    <w:div w:id="1462191499">
      <w:bodyDiv w:val="1"/>
      <w:marLeft w:val="0"/>
      <w:marRight w:val="0"/>
      <w:marTop w:val="0"/>
      <w:marBottom w:val="0"/>
      <w:divBdr>
        <w:top w:val="none" w:sz="0" w:space="0" w:color="auto"/>
        <w:left w:val="none" w:sz="0" w:space="0" w:color="auto"/>
        <w:bottom w:val="none" w:sz="0" w:space="0" w:color="auto"/>
        <w:right w:val="none" w:sz="0" w:space="0" w:color="auto"/>
      </w:divBdr>
    </w:div>
    <w:div w:id="1663850237">
      <w:bodyDiv w:val="1"/>
      <w:marLeft w:val="0"/>
      <w:marRight w:val="0"/>
      <w:marTop w:val="0"/>
      <w:marBottom w:val="0"/>
      <w:divBdr>
        <w:top w:val="none" w:sz="0" w:space="0" w:color="auto"/>
        <w:left w:val="none" w:sz="0" w:space="0" w:color="auto"/>
        <w:bottom w:val="none" w:sz="0" w:space="0" w:color="auto"/>
        <w:right w:val="none" w:sz="0" w:space="0" w:color="auto"/>
      </w:divBdr>
    </w:div>
    <w:div w:id="1811440263">
      <w:bodyDiv w:val="1"/>
      <w:marLeft w:val="0"/>
      <w:marRight w:val="0"/>
      <w:marTop w:val="0"/>
      <w:marBottom w:val="0"/>
      <w:divBdr>
        <w:top w:val="none" w:sz="0" w:space="0" w:color="auto"/>
        <w:left w:val="none" w:sz="0" w:space="0" w:color="auto"/>
        <w:bottom w:val="none" w:sz="0" w:space="0" w:color="auto"/>
        <w:right w:val="none" w:sz="0" w:space="0" w:color="auto"/>
      </w:divBdr>
    </w:div>
    <w:div w:id="1885602922">
      <w:bodyDiv w:val="1"/>
      <w:marLeft w:val="0"/>
      <w:marRight w:val="0"/>
      <w:marTop w:val="0"/>
      <w:marBottom w:val="0"/>
      <w:divBdr>
        <w:top w:val="none" w:sz="0" w:space="0" w:color="auto"/>
        <w:left w:val="none" w:sz="0" w:space="0" w:color="auto"/>
        <w:bottom w:val="none" w:sz="0" w:space="0" w:color="auto"/>
        <w:right w:val="none" w:sz="0" w:space="0" w:color="auto"/>
      </w:divBdr>
      <w:divsChild>
        <w:div w:id="804591810">
          <w:marLeft w:val="0"/>
          <w:marRight w:val="0"/>
          <w:marTop w:val="0"/>
          <w:marBottom w:val="0"/>
          <w:divBdr>
            <w:top w:val="none" w:sz="0" w:space="0" w:color="auto"/>
            <w:left w:val="none" w:sz="0" w:space="0" w:color="auto"/>
            <w:bottom w:val="none" w:sz="0" w:space="0" w:color="auto"/>
            <w:right w:val="none" w:sz="0" w:space="0" w:color="auto"/>
          </w:divBdr>
        </w:div>
        <w:div w:id="1274822324">
          <w:marLeft w:val="0"/>
          <w:marRight w:val="0"/>
          <w:marTop w:val="0"/>
          <w:marBottom w:val="0"/>
          <w:divBdr>
            <w:top w:val="none" w:sz="0" w:space="0" w:color="auto"/>
            <w:left w:val="none" w:sz="0" w:space="0" w:color="auto"/>
            <w:bottom w:val="none" w:sz="0" w:space="0" w:color="auto"/>
            <w:right w:val="none" w:sz="0" w:space="0" w:color="auto"/>
          </w:divBdr>
        </w:div>
        <w:div w:id="383607063">
          <w:marLeft w:val="0"/>
          <w:marRight w:val="0"/>
          <w:marTop w:val="0"/>
          <w:marBottom w:val="0"/>
          <w:divBdr>
            <w:top w:val="none" w:sz="0" w:space="0" w:color="auto"/>
            <w:left w:val="none" w:sz="0" w:space="0" w:color="auto"/>
            <w:bottom w:val="none" w:sz="0" w:space="0" w:color="auto"/>
            <w:right w:val="none" w:sz="0" w:space="0" w:color="auto"/>
          </w:divBdr>
        </w:div>
        <w:div w:id="124572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587B8-9B28-4F90-9CB3-811A6846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Andrea</cp:lastModifiedBy>
  <cp:revision>2</cp:revision>
  <cp:lastPrinted>2020-11-01T05:51:00Z</cp:lastPrinted>
  <dcterms:created xsi:type="dcterms:W3CDTF">2021-06-16T05:01:00Z</dcterms:created>
  <dcterms:modified xsi:type="dcterms:W3CDTF">2021-06-16T05:01:00Z</dcterms:modified>
</cp:coreProperties>
</file>