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2"/>
      </w:pPr>
      <w:r>
        <w:t>5.41 Verifica Monte Carlo di nanoICSD: a differenza della mappa di dose, gli ICSD sono stabili</w:t>
      </w:r>
    </w:p>
    <w:p>
      <w:pPr/>
      <w:r>
        <w:t>Domanda naturale dopo la 5.40, per lo stesso motivo che ha portato alla scoperta della 5.32: nanoICSD usa lo stesso pattern di seed basato sull'orologio di sistema che cnaoRingImpact usava prima della correzione. Il valore M1=1.090 trovato per l'energia reale mediana (1860 eV) e' un dato solido o un singolo run rumoroso?</w:t>
      </w:r>
    </w:p>
    <w:p>
      <w:pPr/>
      <w:r>
        <w:t>Aggiunto un parametro di seed esplicito a nanoICSD.cc (stessa correzione della sezione 5.32) e ripetuta la stessa configurazione (1860 eV, 8nm, opzione 2) su 4 seed indipendenti (201-204), 100.000 eventi ciascuno. Risultato: M1 = 1.0949, 1.0892, 1.0954, 1.0883 -- coefficiente di variazione solo 0.34% (media 1.0920, dev.std 0.0037). F2 ancora piu' stabile (CV 0.14%). Il valore del run singolo della sezione 5.40 (M1=1.090) e' confermato, non un artefatto di un seed fortunato.</w:t>
      </w:r>
    </w:p>
    <w:p>
      <w:pPr/>
      <w:r>
        <w:t>A differenza della mappa di dose per-neurone (5.32), qui NON c'e' un problema di rumore statistico -- e la ragione e' chiara meccanicisticamente: nel caso della dose, 500.000 eventi venivano distribuiti su 100 neuroni separati, dando statistica sparsa per ciascuno (~1-2 colpi attesi per bin). Qui invece ogni singolo evento (100.000 per run) contribuisce DIRETTAMENTE alla statistica aggregata M1/F2/F3 -- nessuna suddivisione in bin separati, quindi una statistica effettiva enormemente migliore per la stessa dimensione di campione.</w:t>
      </w:r>
    </w:p>
    <w:p>
      <w:pPr/>
      <w:r>
        <w:t>Conclusione: il collegamento nanodosimetrico completato nella 5.39-5.40 riposa su basi statistiche solide, non su un singolo run non verificato -- una verifica di rigore fatta per completezza (stesso principio applicato ovunque in questo progetto), che in questo caso conferma il risultato invece di correggerlo, a differenza di quanto successo con la mappa di dose fisica.</w:t>
      </w:r>
    </w:p>
    <w:p>
      <w:pPr/>
      <w:r>
        <w:rPr>
          <w:b/>
          <w:i/>
          <w:sz w:val="18"/>
        </w:rPr>
        <w:t>Verificato con nanoICSD (seed espliciti 201-204), geant4dna_icsd/build/results_mc_seed_check/</w:t>
      </w:r>
    </w:p>
    <w:p>
      <w:pPr/>
    </w:p>
    <w:p>
      <w:pPr/>
    </w:p>
    <w:p>
      <w:pPr>
        <w:pStyle w:val="Heading2"/>
      </w:pPr>
      <w:r>
        <w:t>5.42 Oltre gli ICSD: danno reale al DNA (SSB/DSB) da elettroni secondari CNAO</w:t>
      </w:r>
    </w:p>
    <w:p>
      <w:pPr/>
      <w:r>
        <w:t>Chiude il punto lasciato aperto nel capitolo 9 (sviluppi futuri): estendere la catena fisica gia' verificata (dose macroscopica -&gt; spettro di elettroni secondari -&gt; ICSD nanodosimetrico, sezioni 5.39-5.41) fino al danno diretto al DNA -- rotture singole e doppie di filamento (SSB/DSB).</w:t>
      </w:r>
    </w:p>
    <w:p>
      <w:pPr/>
      <w:r>
        <w:t>Primo tentativo, con l'esempio ufficiale Geant4-DNA dnadamage1: bloccato da una dipendenza reale, non aggirabile in tempi brevi -- richiede un file di geometria del DNA (VoxelStraight.fab2g4dna) generato da uno strumento esterno (DnaFabric) non disponibile e non installabile rapidamente. Verificato, non ipotizzato, prima di abbandonare la strada.</w:t>
      </w:r>
    </w:p>
    <w:p>
      <w:pPr/>
      <w:r>
        <w:t>Alternativa trovata e verificata funzionante: l'esempio ufficiale piu' recente moleculardna (Geant4-DNA collaboration), che scarica automaticamente la propria geometria di riferimento (200.000 segmenti di DNA di 216 coppie di basi in un volume di 100x30x100nm, geometria "cylinders" per studi parametrici) senza strumenti esterni. Compilato con successo (mai testato prima in nessun ambiente disponibile) e verificato con un run di prova prima di usarlo sul serio -- restituisce categorie complete di danno (SSB, SSB prossimali, doppio-SSB, DSB semplici e complessi) per evento, con energia e posizione.</w:t>
      </w:r>
    </w:p>
    <w:p>
      <w:pPr/>
      <w:r>
        <w:t>Eseguito con le energie reali dello spettro di elettroni secondari CNAO (sezione 5.39): mediana 1860 eV (10.000 primari) e 90-esimo percentile 7332 eV (5.000 primari).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Energia reale</w:t>
            </w:r>
          </w:p>
        </w:tc>
        <w:tc>
          <w:tcPr>
            <w:tcW w:type="dxa" w:w="1234"/>
          </w:tcPr>
          <w:p>
            <w:r>
              <w:t>N primari</w:t>
            </w:r>
          </w:p>
        </w:tc>
        <w:tc>
          <w:tcPr>
            <w:tcW w:type="dxa" w:w="1234"/>
          </w:tcPr>
          <w:p>
            <w:r>
              <w:t>Rotture singole (SB)</w:t>
            </w:r>
          </w:p>
        </w:tc>
        <w:tc>
          <w:tcPr>
            <w:tcW w:type="dxa" w:w="1234"/>
          </w:tcPr>
          <w:p>
            <w:r>
              <w:t>Rotture doppie (DSB)</w:t>
            </w:r>
          </w:p>
        </w:tc>
        <w:tc>
          <w:tcPr>
            <w:tcW w:type="dxa" w:w="1234"/>
          </w:tcPr>
          <w:p>
            <w:r>
              <w:t>SB/primario</w:t>
            </w:r>
          </w:p>
        </w:tc>
        <w:tc>
          <w:tcPr>
            <w:tcW w:type="dxa" w:w="1234"/>
          </w:tcPr>
          <w:p>
            <w:r>
              <w:t>DSB/primario</w:t>
            </w:r>
          </w:p>
        </w:tc>
        <w:tc>
          <w:tcPr>
            <w:tcW w:type="dxa" w:w="1234"/>
          </w:tcPr>
          <w:p>
            <w:r>
              <w:t>Frazione DSB</w:t>
            </w:r>
          </w:p>
        </w:tc>
      </w:tr>
      <w:tr>
        <w:tc>
          <w:tcPr>
            <w:tcW w:type="dxa" w:w="1234"/>
          </w:tcPr>
          <w:p>
            <w:r>
              <w:t>1860 eV (mediana)</w:t>
            </w:r>
          </w:p>
        </w:tc>
        <w:tc>
          <w:tcPr>
            <w:tcW w:type="dxa" w:w="1234"/>
          </w:tcPr>
          <w:p>
            <w:r>
              <w:t>10000</w:t>
            </w:r>
          </w:p>
        </w:tc>
        <w:tc>
          <w:tcPr>
            <w:tcW w:type="dxa" w:w="1234"/>
          </w:tcPr>
          <w:p>
            <w:r>
              <w:t>1055</w:t>
            </w:r>
          </w:p>
        </w:tc>
        <w:tc>
          <w:tcPr>
            <w:tcW w:type="dxa" w:w="1234"/>
          </w:tcPr>
          <w:p>
            <w:r>
              <w:t>152</w:t>
            </w:r>
          </w:p>
        </w:tc>
        <w:tc>
          <w:tcPr>
            <w:tcW w:type="dxa" w:w="1234"/>
          </w:tcPr>
          <w:p>
            <w:r>
              <w:t>0.1055</w:t>
            </w:r>
          </w:p>
        </w:tc>
        <w:tc>
          <w:tcPr>
            <w:tcW w:type="dxa" w:w="1234"/>
          </w:tcPr>
          <w:p>
            <w:r>
              <w:t>0.0152</w:t>
            </w:r>
          </w:p>
        </w:tc>
        <w:tc>
          <w:tcPr>
            <w:tcW w:type="dxa" w:w="1234"/>
          </w:tcPr>
          <w:p>
            <w:r>
              <w:t>12.6%</w:t>
            </w:r>
          </w:p>
        </w:tc>
      </w:tr>
      <w:tr>
        <w:tc>
          <w:tcPr>
            <w:tcW w:type="dxa" w:w="1234"/>
          </w:tcPr>
          <w:p>
            <w:r>
              <w:t>7332 eV (p90)</w:t>
            </w:r>
          </w:p>
        </w:tc>
        <w:tc>
          <w:tcPr>
            <w:tcW w:type="dxa" w:w="1234"/>
          </w:tcPr>
          <w:p>
            <w:r>
              <w:t>5000</w:t>
            </w:r>
          </w:p>
        </w:tc>
        <w:tc>
          <w:tcPr>
            <w:tcW w:type="dxa" w:w="1234"/>
          </w:tcPr>
          <w:p>
            <w:r>
              <w:t>2688</w:t>
            </w:r>
          </w:p>
        </w:tc>
        <w:tc>
          <w:tcPr>
            <w:tcW w:type="dxa" w:w="1234"/>
          </w:tcPr>
          <w:p>
            <w:r>
              <w:t>215</w:t>
            </w:r>
          </w:p>
        </w:tc>
        <w:tc>
          <w:tcPr>
            <w:tcW w:type="dxa" w:w="1234"/>
          </w:tcPr>
          <w:p>
            <w:r>
              <w:t>0.5376</w:t>
            </w:r>
          </w:p>
        </w:tc>
        <w:tc>
          <w:tcPr>
            <w:tcW w:type="dxa" w:w="1234"/>
          </w:tcPr>
          <w:p>
            <w:r>
              <w:t>0.0430</w:t>
            </w:r>
          </w:p>
        </w:tc>
        <w:tc>
          <w:tcPr>
            <w:tcW w:type="dxa" w:w="1234"/>
          </w:tcPr>
          <w:p>
            <w:r>
              <w:t>7.4%</w:t>
            </w:r>
          </w:p>
        </w:tc>
      </w:tr>
    </w:tbl>
    <w:p>
      <w:pPr/>
    </w:p>
    <w:p>
      <w:pPr/>
      <w:r>
        <w:t>Osservazione fisica non banale: l'elettrone a energia piu' alta (7332 eV) produce piu' danno assoluto (traccia piu' lunga, piu' ionizzazioni totali), ma una frazione RELATIVAMENTE minore di danno e' costituita da rotture doppie (7.4% contro 12.6%). Spiegazione coerente con la fisica nota: il LET di un elettrone diminuisce all'aumentare della sua energia in questo intervallo -- l'elettrone piu' lento (mediana, LET piu' alto) deposita la sua energia in modo piu' concentrato lungo il percorso, favorendo la formazione di rotture ravvicinate su entrambi i filamenti (DSB); l'elettrone piu' veloce (p90, LET piu' basso) distribuisce energia simile su un percorso piu' lungo, con danno piu' sparso e quindi relativamente meno complesso.</w:t>
      </w:r>
    </w:p>
    <w:p>
      <w:pPr/>
      <w:r>
        <w:t>Verifica Monte Carlo (stesso principio delle sezioni 5.32/5.41, qui esteso a un terzo strumento -- anche moleculardna non chiamava mai un seed esplicito nel codice originale, corretto aggiungendo un'opzione -s): ripetuta la configurazione mediana su 3 seed indipendenti (5.000 eventi ciascuno). SB stabile (CV 1.8%: 522, 514, 504); DSB piu' rumoroso (CV 12.4%: 60, 77, 68), come atteso per conteggi molto piu' piccoli (scaling di Poisson). La media dei 3 seed (SB/primario=0.1027, DSB/primario=0.0137) e' coerente entro il rumore statistico col run singolo originale a 10.000 eventi (0.1055, 0.0152) -- nessuna discrepanza sistematica.</w:t>
      </w:r>
    </w:p>
    <w:p>
      <w:pPr/>
      <w:r>
        <w:t>Limite dichiarato: la geometria "cylinders" e' un volume di studio parametrico (200.000 segmenti brevi di DNA in una regione di collocazione di 100x30x100nm), non un intero nucleo cellulare -- questi sono resa (yield) relative per primario in quel volume definito, non una previsione assoluta di danno a livello di cellula intera. Solo due punti energetici testati, non l'intero spettro continuo di elettroni secondari pesato per la sua vera distribuzione (sezione 5.39). Entrambi i limiti sono lo stesso tipo di onesta' dichiarazione gia' applicata ovunque in questo progetto -- un primo livello funzionante e verificato, non la parola definitiva.</w:t>
      </w:r>
    </w:p>
    <w:p>
      <w:pPr/>
      <w:r>
        <w:rPr>
          <w:b/>
          <w:i/>
          <w:sz w:val="18"/>
        </w:rPr>
        <w:t>Eseguito con moleculardna (Geant4-DNA collaboration), geant4dna_ssbdsb/build/, energie dallo spettro reale della sezione 5.39</w:t>
      </w:r>
    </w:p>
    <w:p>
      <w:pPr/>
    </w:p>
    <w:p>
      <w:pPr/>
    </w:p>
    <w:p>
      <w:pPr>
        <w:pStyle w:val="Heading2"/>
      </w:pPr>
      <w:r>
        <w:t>5.43 Danno al DNA pesato sull'intero spettro reale, non solo due punti</w:t>
      </w:r>
    </w:p>
    <w:p>
      <w:pPr/>
      <w:r>
        <w:t>Chiude un limite esplicitamente dichiarato nella sezione 5.42: solo due energie (mediana e 90-esimo percentile) rappresentavano l'intero spettro reale di 18.021 elettroni secondari. Qui: 6 punti rappresentativi (percentili 10, 25, 50, 75, 90, 99 dello spettro verificato nella 5.39), ciascuno pesato per la frazione reale di elettroni che rappresenta (partizione di Voronoi 1D attorno ai punti scelti), per ottenere una resa (yield) di danno pesata sull'intero spettro invece che su due soli campioni.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Energia (keV)</w:t>
            </w:r>
          </w:p>
        </w:tc>
        <w:tc>
          <w:tcPr>
            <w:tcW w:type="dxa" w:w="1728"/>
          </w:tcPr>
          <w:p>
            <w:r>
              <w:t>Peso spettro</w:t>
            </w:r>
          </w:p>
        </w:tc>
        <w:tc>
          <w:tcPr>
            <w:tcW w:type="dxa" w:w="1728"/>
          </w:tcPr>
          <w:p>
            <w:r>
              <w:t>SB/primario</w:t>
            </w:r>
          </w:p>
        </w:tc>
        <w:tc>
          <w:tcPr>
            <w:tcW w:type="dxa" w:w="1728"/>
          </w:tcPr>
          <w:p>
            <w:r>
              <w:t>DSB/primario</w:t>
            </w:r>
          </w:p>
        </w:tc>
        <w:tc>
          <w:tcPr>
            <w:tcW w:type="dxa" w:w="1728"/>
          </w:tcPr>
          <w:p>
            <w:r>
              <w:t>Frazione DSB</w:t>
            </w:r>
          </w:p>
        </w:tc>
      </w:tr>
      <w:tr>
        <w:tc>
          <w:tcPr>
            <w:tcW w:type="dxa" w:w="1728"/>
          </w:tcPr>
          <w:p>
            <w:r>
              <w:t>1.09</w:t>
            </w:r>
          </w:p>
        </w:tc>
        <w:tc>
          <w:tcPr>
            <w:tcW w:type="dxa" w:w="1728"/>
          </w:tcPr>
          <w:p>
            <w:r>
              <w:t>18.0%</w:t>
            </w:r>
          </w:p>
        </w:tc>
        <w:tc>
          <w:tcPr>
            <w:tcW w:type="dxa" w:w="1728"/>
          </w:tcPr>
          <w:p>
            <w:r>
              <w:t>0.0550</w:t>
            </w:r>
          </w:p>
        </w:tc>
        <w:tc>
          <w:tcPr>
            <w:tcW w:type="dxa" w:w="1728"/>
          </w:tcPr>
          <w:p>
            <w:r>
              <w:t>0.0103</w:t>
            </w:r>
          </w:p>
        </w:tc>
        <w:tc>
          <w:tcPr>
            <w:tcW w:type="dxa" w:w="1728"/>
          </w:tcPr>
          <w:p>
            <w:r>
              <w:t>15.7%</w:t>
            </w:r>
          </w:p>
        </w:tc>
      </w:tr>
      <w:tr>
        <w:tc>
          <w:tcPr>
            <w:tcW w:type="dxa" w:w="1728"/>
          </w:tcPr>
          <w:p>
            <w:r>
              <w:t>1.28</w:t>
            </w:r>
          </w:p>
        </w:tc>
        <w:tc>
          <w:tcPr>
            <w:tcW w:type="dxa" w:w="1728"/>
          </w:tcPr>
          <w:p>
            <w:r>
              <w:t>21.7%</w:t>
            </w:r>
          </w:p>
        </w:tc>
        <w:tc>
          <w:tcPr>
            <w:tcW w:type="dxa" w:w="1728"/>
          </w:tcPr>
          <w:p>
            <w:r>
              <w:t>0.0715</w:t>
            </w:r>
          </w:p>
        </w:tc>
        <w:tc>
          <w:tcPr>
            <w:tcW w:type="dxa" w:w="1728"/>
          </w:tcPr>
          <w:p>
            <w:r>
              <w:t>0.0083</w:t>
            </w:r>
          </w:p>
        </w:tc>
        <w:tc>
          <w:tcPr>
            <w:tcW w:type="dxa" w:w="1728"/>
          </w:tcPr>
          <w:p>
            <w:r>
              <w:t>10.3%</w:t>
            </w:r>
          </w:p>
        </w:tc>
      </w:tr>
      <w:tr>
        <w:tc>
          <w:tcPr>
            <w:tcW w:type="dxa" w:w="1728"/>
          </w:tcPr>
          <w:p>
            <w:r>
              <w:t>1.86 (mediana)</w:t>
            </w:r>
          </w:p>
        </w:tc>
        <w:tc>
          <w:tcPr>
            <w:tcW w:type="dxa" w:w="1728"/>
          </w:tcPr>
          <w:p>
            <w:r>
              <w:t>26.5%</w:t>
            </w:r>
          </w:p>
        </w:tc>
        <w:tc>
          <w:tcPr>
            <w:tcW w:type="dxa" w:w="1728"/>
          </w:tcPr>
          <w:p>
            <w:r>
              <w:t>0.1027</w:t>
            </w:r>
          </w:p>
        </w:tc>
        <w:tc>
          <w:tcPr>
            <w:tcW w:type="dxa" w:w="1728"/>
          </w:tcPr>
          <w:p>
            <w:r>
              <w:t>0.0137</w:t>
            </w:r>
          </w:p>
        </w:tc>
        <w:tc>
          <w:tcPr>
            <w:tcW w:type="dxa" w:w="1728"/>
          </w:tcPr>
          <w:p>
            <w:r>
              <w:t>11.7%</w:t>
            </w:r>
          </w:p>
        </w:tc>
      </w:tr>
      <w:tr>
        <w:tc>
          <w:tcPr>
            <w:tcW w:type="dxa" w:w="1728"/>
          </w:tcPr>
          <w:p>
            <w:r>
              <w:t>3.43</w:t>
            </w:r>
          </w:p>
        </w:tc>
        <w:tc>
          <w:tcPr>
            <w:tcW w:type="dxa" w:w="1728"/>
          </w:tcPr>
          <w:p>
            <w:r>
              <w:t>19.2%</w:t>
            </w:r>
          </w:p>
        </w:tc>
        <w:tc>
          <w:tcPr>
            <w:tcW w:type="dxa" w:w="1728"/>
          </w:tcPr>
          <w:p>
            <w:r>
              <w:t>0.2213</w:t>
            </w:r>
          </w:p>
        </w:tc>
        <w:tc>
          <w:tcPr>
            <w:tcW w:type="dxa" w:w="1728"/>
          </w:tcPr>
          <w:p>
            <w:r>
              <w:t>0.0243</w:t>
            </w:r>
          </w:p>
        </w:tc>
        <w:tc>
          <w:tcPr>
            <w:tcW w:type="dxa" w:w="1728"/>
          </w:tcPr>
          <w:p>
            <w:r>
              <w:t>9.9%</w:t>
            </w:r>
          </w:p>
        </w:tc>
      </w:tr>
      <w:tr>
        <w:tc>
          <w:tcPr>
            <w:tcW w:type="dxa" w:w="1728"/>
          </w:tcPr>
          <w:p>
            <w:r>
              <w:t>7.33 (p90)</w:t>
            </w:r>
          </w:p>
        </w:tc>
        <w:tc>
          <w:tcPr>
            <w:tcW w:type="dxa" w:w="1728"/>
          </w:tcPr>
          <w:p>
            <w:r>
              <w:t>12.0%</w:t>
            </w:r>
          </w:p>
        </w:tc>
        <w:tc>
          <w:tcPr>
            <w:tcW w:type="dxa" w:w="1728"/>
          </w:tcPr>
          <w:p>
            <w:r>
              <w:t>0.5376</w:t>
            </w:r>
          </w:p>
        </w:tc>
        <w:tc>
          <w:tcPr>
            <w:tcW w:type="dxa" w:w="1728"/>
          </w:tcPr>
          <w:p>
            <w:r>
              <w:t>0.0430</w:t>
            </w:r>
          </w:p>
        </w:tc>
        <w:tc>
          <w:tcPr>
            <w:tcW w:type="dxa" w:w="1728"/>
          </w:tcPr>
          <w:p>
            <w:r>
              <w:t>7.4%</w:t>
            </w:r>
          </w:p>
        </w:tc>
      </w:tr>
      <w:tr>
        <w:tc>
          <w:tcPr>
            <w:tcW w:type="dxa" w:w="1728"/>
          </w:tcPr>
          <w:p>
            <w:r>
              <w:t>28.82 (p99)</w:t>
            </w:r>
          </w:p>
        </w:tc>
        <w:tc>
          <w:tcPr>
            <w:tcW w:type="dxa" w:w="1728"/>
          </w:tcPr>
          <w:p>
            <w:r>
              <w:t>2.7%</w:t>
            </w:r>
          </w:p>
        </w:tc>
        <w:tc>
          <w:tcPr>
            <w:tcW w:type="dxa" w:w="1728"/>
          </w:tcPr>
          <w:p>
            <w:r>
              <w:t>0.2863</w:t>
            </w:r>
          </w:p>
        </w:tc>
        <w:tc>
          <w:tcPr>
            <w:tcW w:type="dxa" w:w="1728"/>
          </w:tcPr>
          <w:p>
            <w:r>
              <w:t>0.0163</w:t>
            </w:r>
          </w:p>
        </w:tc>
        <w:tc>
          <w:tcPr>
            <w:tcW w:type="dxa" w:w="1728"/>
          </w:tcPr>
          <w:p>
            <w:r>
              <w:t>5.4%</w:t>
            </w:r>
          </w:p>
        </w:tc>
      </w:tr>
    </w:tbl>
    <w:p>
      <w:pPr/>
    </w:p>
    <w:p>
      <w:pPr/>
      <w:r>
        <w:t>La frazione di rotture doppie (DSB) decresce in modo quasi monotono lungo tutto lo spettro (15.7% -&gt; 10.3% -&gt; 11.7% -&gt; 9.9% -&gt; 7.4% -&gt; 5.4%), confermando su 6 punti indipendenti, non piu' solo 2, la spiegazione fisica gia' proposta nella 5.42: il LET diminuisce con l'energia dell'elettrone in questo intervallo, e un LET piu' basso disperde il danno su un percorso piu' lungo invece di concentrarlo, riducendo la probabilita' di rotture ravvicinate su entrambi i filamenti.</w:t>
      </w:r>
    </w:p>
    <w:p>
      <w:pPr/>
      <w:r>
        <w:t>Anomalia notata e non nascosta: al punto piu' alto (28.82 keV, solo 800 eventi -- la statistica piu' bassa tra i 6 punti, dato il costo computazionale crescente con l'energia) il valore assoluto SB/primario (0.286) e' PIU' BASSO di quello a 7.33 keV (0.538), non monotono in valore assoluto (a differenza della frazione DSB, che resta monotona). Spiegazione fisicamente plausibile: il range di un elettrone da 28.82 keV puo' avvicinarsi o superare l'estensione della geometria DNA usata (100x30x100nm) -- una parte crescente della sua energia rischia di essere depositata FUORI dal volume sensibile, riducendo la frazione di energia totale che contribuisce davvero al danno registrato. Non esclusa una componente di puro rumore statistico, data la bassa statistica di questo singolo punto (peso nello spettro comunque piccolo, 2.7%, quindi l'effetto sulla media pesata finale e' limitato).</w:t>
      </w:r>
    </w:p>
    <w:p>
      <w:pPr/>
      <w:r>
        <w:t>Risultato finale, media pesata sull'intero spettro reale: SB/primario = 0.1674, DSB/primario = 0.01753, frazione DSB = 9.5% -- una stima singola e piu' rappresentativa, rispetto ai due estremi riportati nella 5.42 (12.6% alla sola mediana, 7.4% al solo 90-esimo percentile). Questo e' il numero da citare come resa di danno complessiva per un elettrone secondario tipico prodotto da un fascio di carbonio-12 CNAO al picco di Bragg, dentro la geometria di riferimento di moleculardna.</w:t>
      </w:r>
    </w:p>
    <w:p>
      <w:pPr/>
      <w:r>
        <w:rPr>
          <w:b/>
          <w:i/>
          <w:sz w:val="18"/>
        </w:rPr>
        <w:t>Eseguito con moleculardna (geant4dna_ssbdsb/build/results_spectrum_weighted/), 6 punti pesati sullo spettro reale della sezione 5.39</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r>
        <w:t>Questa sintesi copriva, alla sua prima stesura, solo la prima meta' del documento (sezioni 1-5.4). Il percorso e' proseguito con un arco distinto ma collegato: comunicazione bidirezionale appresa nel dominio spiking, dal fallimento totale alla soluzione completa (interruttore di trasmissione, normalizzazione omeostatica, soppressione di emergenza -- sezioni 5.6-5.17), estesa a piu' messaggi simultanei e a una rete a tre popolazioni in staffetta (sezioni 5.18-5.20). Su quella stessa architettura si innesta poi un secondo filone, questa volta di fisica (sezioni 5.21-5.41): l'impatto di fasci ionici clinici del CNAO (Geant4, QBBC) sull'anello neurale, collegato all'architettura spiking tramite un esperimento di knockout funzionale che rivela un gradiente dose-risposta verificato su quattro scenari fisici indipendenti e generalizzato oltre la scelta specifica della dimensione del knockout; un recupero funzionale dopo il danno e un punto di non ritorno quando il danno e' completo; un modello RBE clinico (il Microdosimetric Kinetic Model di Kase, lo stesso usato a NIRS/HIMAC a Chiba) implementato e validato contro dati pubblicati prima di essere usato; un limite scoperto e corretto nella riproducibilita' della mappa di dose per-neurone; e infine un collegamento nanodosimetrico (Geant4-DNA) verificato end-to-end, dagli elettroni secondari realmente prodotti nei neuroni colpiti fino ai cluster di ionizzazione, coerenti con la letteratura pubblicata. La stessa disciplina metodologica descritta nella sezione 7.2 -- verificare empiricamente invece di assumere, documentare i tentativi falliti quanto quelli riusciti -- attraversa entrambi i filoni senza soluzione di continuita'.</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r>
        <w:t>I limiti sopra riguardano il filone di neuroscienza pura (sezioni 1-5.20). Il filone di fisica collegato (Geant4/CNAO/Chiba, sezioni 5.21-5.41) ha i propri, distinti: la mappa di dose per-neurone e' fondamentalmente limitata dalla statistica di conteggio (ogni neurone, 10um di raggio, intercetta in media solo 1-2 primari diretti su 500.000 eventi simulati -- un limite quantificato nella sezione 5.37, non risolvibile con un fattore 10 di statistica in piu', verosimilmente servirebbe un fattore 100-1000, computazionalmente proibitivo con la fisica adronica completa di QBBC nei tempi di questo progetto).</w:t>
      </w:r>
    </w:p>
    <w:p>
      <w:pPr/>
      <w:r>
        <w:t>Il modello RBE (sezione 5.34) e' il vero Microdosimetric Kinetic Model di Kase, non piu' un'approssimazione ad hoc, ma resta semplificato rispetto al modello clinico completo su due punti dichiarati: usa il LET dose-mediato come proxy della dose-mean lineal energy (che richiederebbe uno spettro misurato con un TEPC o una vera simulazione microdosimetrica di sito), e calcola la correzione di saturazione nel limite a valore singolo invece che integrando uno spettro completo.</w:t>
      </w:r>
    </w:p>
    <w:p>
      <w:pPr/>
      <w:r>
        <w:t>Il knockout funzionale (sezioni 5.22-5.38) resta un modello deliberatamente semplificato del danno neuronale -- rimozione completa delle sinapsi in uscita sopra una soglia di dose relativa, non un modello di danno biologico validato (nessuna soglia assoluta di dose per l'inattivazione di un singolo neurone e' consolidata in letteratura, lo stesso limite dichiarato nel paper Villagrasa/Baiocco che il progetto gemello geant4dna_icsd riproduce).</w:t>
      </w:r>
    </w:p>
    <w:p>
      <w:pPr/>
      <w:r>
        <w:t>Il collegamento nanodosimetrico (sezioni 5.39-5.41) si ferma al livello degli ICSD (Ionization Cluster Size Distribution) -- non modella il danno al DNA (rotture singole o doppie, SSB/DSB), che richiederebbe un modello geometrico di nucleo cellulare con cromatina multi-scala (disponibile in Geant4-DNA, es. gli esempi ufficiali dnadamage1/molecularDNA, ma non integrato qui).</w:t>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r>
        <w:t>Gli sviluppi futuri sopra riguardano il filone di neuroscienza pura. Per il filone di fisica (Geant4/CNAO/Chiba), i punti aperti restano quelli del progetto gemello geant4dna_icsd (vedi il suo README): implementare il dataset di sezioni d'urto "comuni" definito nel paper Villagrasa/Baiocco (richiede estrarre i valori numerici dal materiale supplementare e scrivere una sottoclasse G4VEmModel dedicata -- un lavoro sostanziale, non un'estensione da weekend, come il paper stesso segnala) e, soprattutto, estendere la catena fisica gia' verificata (dose macroscopica -&gt; spettro di elettroni secondari -&gt; ICSD nanodosimetrico) fino al danno al DNA (SSB/DSB) con un modello geometrico di nucleo cellulare -- il passo naturale successivo per rendere il collegamento clinicamente interpretabile, non solo fisicamente coerente.</w:t>
      </w:r>
      <w:r>
        <w:rPr>
          <w:i/>
        </w:rPr>
        <w:t xml:space="preserve"> [Aggiornamento: il danno SSB/DSB e' stato completato nella sezione 5.42, con l'esempio moleculardna invece di dnadamage1/molecularDNA (bloccato da una dipendenza esterna mancante) -- resta aperto solo il dataset di sezioni d'urto comuni del paper.]</w:t>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r>
        <w:tc>
          <w:tcPr>
            <w:tcW w:type="dxa" w:w="2880"/>
          </w:tcPr>
          <w:p>
            <w:r>
              <w:rPr>
                <w:b w:val="0"/>
              </w:rPr>
              <w:t>geant4dna_icsd/nanoICSD.cc (seed esplicito, verifica 4 seed)</w:t>
            </w:r>
          </w:p>
        </w:tc>
        <w:tc>
          <w:tcPr>
            <w:tcW w:type="dxa" w:w="2880"/>
          </w:tcPr>
          <w:p>
            <w:r>
              <w:rPr>
                <w:b w:val="0"/>
              </w:rPr>
              <w:t>5.41</w:t>
            </w:r>
          </w:p>
        </w:tc>
        <w:tc>
          <w:tcPr>
            <w:tcW w:type="dxa" w:w="2880"/>
          </w:tcPr>
          <w:p>
            <w:r>
              <w:rPr>
                <w:b w:val="0"/>
              </w:rPr>
              <w:t>Verifica Monte Carlo di nanoICSD: M1=1.090 confermato stabile (CV 0.34% su 4 seed) -- a differenza della mappa di dose (5.32), qui non c'e' un problema di rumore statistico</w:t>
            </w:r>
          </w:p>
        </w:tc>
      </w:tr>
      <w:tr>
        <w:tc>
          <w:tcPr>
            <w:tcW w:type="dxa" w:w="2880"/>
          </w:tcPr>
          <w:p>
            <w:r>
              <w:rPr>
                <w:b w:val="0"/>
              </w:rPr>
              <w:t>geant4dna_ssbdsb (moleculardna, energie reali dalla 5.39)</w:t>
            </w:r>
          </w:p>
        </w:tc>
        <w:tc>
          <w:tcPr>
            <w:tcW w:type="dxa" w:w="2880"/>
          </w:tcPr>
          <w:p>
            <w:r>
              <w:rPr>
                <w:b w:val="0"/>
              </w:rPr>
              <w:t>5.42</w:t>
            </w:r>
          </w:p>
        </w:tc>
        <w:tc>
          <w:tcPr>
            <w:tcW w:type="dxa" w:w="2880"/>
          </w:tcPr>
          <w:p>
            <w:r>
              <w:rPr>
                <w:b w:val="0"/>
              </w:rPr>
              <w:t>Danno DNA reale (SSB/DSB) da elettroni secondari CNAO: frazione DSB piu' alta a bassa energia (LET piu' alto), verificato su 3 seed (SB CV 1.8%, DSB CV 12.4%) -- chiude il collegamento nanodosimetrico fino al livello del DNA</w:t>
            </w:r>
          </w:p>
        </w:tc>
      </w:tr>
      <w:tr>
        <w:tc>
          <w:tcPr>
            <w:tcW w:type="dxa" w:w="2880"/>
          </w:tcPr>
          <w:p>
            <w:r>
              <w:rPr>
                <w:b w:val="0"/>
              </w:rPr>
              <w:t>geant4dna_ssbdsb/results/spectrum_weighted (6 punti pesati)</w:t>
            </w:r>
          </w:p>
        </w:tc>
        <w:tc>
          <w:tcPr>
            <w:tcW w:type="dxa" w:w="2880"/>
          </w:tcPr>
          <w:p>
            <w:r>
              <w:rPr>
                <w:b w:val="0"/>
              </w:rPr>
              <w:t>5.43</w:t>
            </w:r>
          </w:p>
        </w:tc>
        <w:tc>
          <w:tcPr>
            <w:tcW w:type="dxa" w:w="2880"/>
          </w:tcPr>
          <w:p>
            <w:r>
              <w:rPr>
                <w:b w:val="0"/>
              </w:rPr>
              <w:t>Danno DNA pesato sull'intero spettro reale (6 punti, non 2): frazione DSB monotona con l'energia (15.7% a 5.4%), media pesata finale 9.5% -- chiude l'ultimo limite dichiarato nella 5.42</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