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spacing w:lineRule="auto" w:line="276"/>
        <w:jc w:val="both"/>
        <w:rPr>
          <w:b/>
          <w:b/>
          <w:bCs/>
          <w:sz w:val="32"/>
          <w:szCs w:val="32"/>
        </w:rPr>
      </w:pPr>
      <w:r>
        <w:rPr>
          <w:b/>
          <w:bCs/>
          <w:sz w:val="32"/>
          <w:szCs w:val="32"/>
        </w:rPr>
        <w:t>Chapter 1: What makes a great speciator?</w:t>
      </w:r>
    </w:p>
    <w:p>
      <w:pPr>
        <w:pStyle w:val="Normal"/>
        <w:bidi w:val="0"/>
        <w:spacing w:lineRule="auto" w:line="276"/>
        <w:jc w:val="both"/>
        <w:rPr/>
      </w:pPr>
      <w:r>
        <w:rPr/>
      </w:r>
    </w:p>
    <w:p>
      <w:pPr>
        <w:pStyle w:val="Normal"/>
        <w:bidi w:val="0"/>
        <w:spacing w:lineRule="auto" w:line="276"/>
        <w:jc w:val="both"/>
        <w:rPr/>
      </w:pPr>
      <w:r>
        <w:rPr/>
        <w:t xml:space="preserve">Diversification rates are known to vary across the tree of life (Grant and Grant 2002; Meyer 1993; Lovette 1993). Lineages that have diversified rapidly offer us the opportunity to study the drivers that influence the generation of biodiversity. </w:t>
      </w:r>
    </w:p>
    <w:p>
      <w:pPr>
        <w:pStyle w:val="Normal"/>
        <w:bidi w:val="0"/>
        <w:spacing w:lineRule="auto" w:line="276"/>
        <w:jc w:val="both"/>
        <w:rPr/>
      </w:pPr>
      <w:r>
        <w:rPr/>
      </w:r>
    </w:p>
    <w:p>
      <w:pPr>
        <w:pStyle w:val="Normal"/>
        <w:bidi w:val="0"/>
        <w:spacing w:lineRule="auto" w:line="276"/>
        <w:jc w:val="both"/>
        <w:rPr/>
      </w:pPr>
      <w:r>
        <w:rPr/>
        <w:t>Oceanic archipelagoes have been considered natural laboratories for studying evolutionary processes because they play a key role in diversification (Coyne 2004; Whittaker 1998; Grant 1998; Price 2008). Geographically isolated populations often diverge making archipelagoes perfect scenarios for the rapid accumulation of species (Filardi and Moyle 2005; Mayr 1942). However, archipelagoes do not only accommodate high-diversifying lineages, but instead we find all the range from island birds that show little differentiation to very diverse lineages (Mayr and Diamond 2001).</w:t>
      </w:r>
    </w:p>
    <w:p>
      <w:pPr>
        <w:pStyle w:val="Normal"/>
        <w:bidi w:val="0"/>
        <w:spacing w:lineRule="auto" w:line="276"/>
        <w:jc w:val="both"/>
        <w:rPr/>
      </w:pPr>
      <w:r>
        <w:rPr/>
      </w:r>
    </w:p>
    <w:p>
      <w:pPr>
        <w:pStyle w:val="Normal"/>
        <w:bidi w:val="0"/>
        <w:spacing w:lineRule="auto" w:line="276"/>
        <w:jc w:val="both"/>
        <w:rPr/>
      </w:pPr>
      <w:r>
        <w:rPr>
          <w:u w:val="none"/>
        </w:rPr>
        <w:t>Speciation on islands probably undergo different stages based on the range expansion and contractions (Wilson 1961). In the first stages, young and good dispersive species restrict their distribution to the lowlands (Stages I: no differentiation (‘supertramp’) and Stage II: very differentiated (‘great speciator’)). Stages III and IV refer to the distribution of older and well-differentiated species that move upwards and colonise the higher regions of larger, often mountainous islands (Ricklefs &amp; Bermingham 2002; Pepke et al. 2019; Gabrielli et al. 2020).</w:t>
      </w:r>
    </w:p>
    <w:p>
      <w:pPr>
        <w:pStyle w:val="Normal"/>
        <w:bidi w:val="0"/>
        <w:spacing w:lineRule="auto" w:line="276"/>
        <w:jc w:val="both"/>
        <w:rPr/>
      </w:pPr>
      <w:r>
        <w:rPr/>
      </w:r>
    </w:p>
    <w:p>
      <w:pPr>
        <w:pStyle w:val="Normal"/>
        <w:bidi w:val="0"/>
        <w:spacing w:lineRule="auto" w:line="276"/>
        <w:jc w:val="both"/>
        <w:rPr/>
      </w:pPr>
      <w:r>
        <w:rPr>
          <w:rFonts w:cs="Times New Roman" w:ascii="Times New Roman" w:hAnsi="Times New Roman"/>
          <w:sz w:val="24"/>
          <w:szCs w:val="24"/>
        </w:rPr>
        <w:t xml:space="preserve">Mayr and Diamond (2001) introduced the concept of “great speciator” which has been repeatedly used </w:t>
      </w:r>
      <w:r>
        <w:rPr>
          <w:rFonts w:cs="Times New Roman" w:ascii="Times New Roman" w:hAnsi="Times New Roman"/>
          <w:i w:val="false"/>
          <w:iCs w:val="false"/>
          <w:sz w:val="24"/>
          <w:szCs w:val="24"/>
        </w:rPr>
        <w:t xml:space="preserve">despite its rather arbitrary definition. Great speciators show a high degree of interisland geographic variation, defined by their number of subspecies and allospecies. It has been proposed that great speciators may </w:t>
      </w:r>
      <w:r>
        <w:rPr>
          <w:rFonts w:cs="Times New Roman" w:ascii="Times New Roman" w:hAnsi="Times New Roman"/>
          <w:i w:val="false"/>
          <w:iCs w:val="false"/>
          <w:strike w:val="false"/>
          <w:dstrike w:val="false"/>
          <w:sz w:val="24"/>
          <w:szCs w:val="24"/>
          <w:u w:val="none"/>
        </w:rPr>
        <w:t>be either abundant, lowland species of intermediate dispersal ability and as good short-distance colonisers (Stage II; Diamond et al. 1976), or very good colonisers that suffer strong selection against dispersal ability after colonisation leading to sedentariness in a matter of generations (Diamond et al. 1976; Moyle et al. 2009).</w:t>
      </w:r>
    </w:p>
    <w:p>
      <w:pPr>
        <w:pStyle w:val="Normal"/>
        <w:bidi w:val="0"/>
        <w:spacing w:lineRule="auto" w:line="276"/>
        <w:jc w:val="both"/>
        <w:rPr>
          <w:u w:val="none"/>
        </w:rPr>
      </w:pPr>
      <w:r>
        <w:rPr>
          <w:u w:val="none"/>
        </w:rPr>
      </w:r>
    </w:p>
    <w:p>
      <w:pPr>
        <w:pStyle w:val="Normal"/>
        <w:bidi w:val="0"/>
        <w:spacing w:lineRule="auto" w:line="276"/>
        <w:jc w:val="both"/>
        <w:rPr/>
      </w:pPr>
      <w:r>
        <w:rPr>
          <w:u w:val="none"/>
        </w:rPr>
        <w:t>31 groups of organisms were classified as great speciators in the northern Melanesian region (Mayr and Diamond 2001). However, this classification depends on the number of subspecies and allospecies and their distribution which brings subjectivity to the definition. Having a strict definition of what a great speciator is is unlikely to be possible, however understanding what factors shape great speciators may help us to understand how biodiversity arise and is maintained.</w:t>
      </w:r>
    </w:p>
    <w:p>
      <w:pPr>
        <w:pStyle w:val="Normal"/>
        <w:bidi w:val="0"/>
        <w:spacing w:lineRule="auto" w:line="276"/>
        <w:jc w:val="both"/>
        <w:rPr>
          <w:u w:val="none"/>
        </w:rPr>
      </w:pPr>
      <w:r>
        <w:rPr>
          <w:u w:val="none"/>
        </w:rPr>
      </w:r>
    </w:p>
    <w:p>
      <w:pPr>
        <w:pStyle w:val="Normal"/>
        <w:bidi w:val="0"/>
        <w:spacing w:lineRule="auto" w:line="276"/>
        <w:jc w:val="both"/>
        <w:rPr/>
      </w:pPr>
      <w:r>
        <w:rPr>
          <w:u w:val="none"/>
        </w:rPr>
        <w:t>I aim to revisit the great speciator concept by collating information on all bird lineages across Oceania expanding Mayr and Diamond’s (2001) original sampling. I hypothesise that (1) those species labelled great speciators are simply the extremes of some continuous distribution and that (2) great speciators are characterised by their high levels of dispersal ability, although (3) some lineages may be at later stages and the current diversity we see may be the product of past dispersive levels.</w:t>
      </w:r>
    </w:p>
    <w:p>
      <w:pPr>
        <w:pStyle w:val="Normal"/>
        <w:bidi w:val="0"/>
        <w:spacing w:lineRule="auto" w:line="276"/>
        <w:jc w:val="both"/>
        <w:rPr>
          <w:u w:val="none"/>
        </w:rPr>
      </w:pPr>
      <w:r>
        <w:rPr>
          <w:u w:val="none"/>
        </w:rPr>
      </w:r>
    </w:p>
    <w:p>
      <w:pPr>
        <w:pStyle w:val="Normal"/>
        <w:bidi w:val="0"/>
        <w:spacing w:lineRule="auto" w:line="276"/>
        <w:jc w:val="both"/>
        <w:rPr>
          <w:u w:val="none"/>
        </w:rPr>
      </w:pPr>
      <w:r>
        <w:rPr>
          <w:u w:val="none"/>
        </w:rPr>
      </w:r>
    </w:p>
    <w:p>
      <w:pPr>
        <w:pStyle w:val="Normal"/>
        <w:bidi w:val="0"/>
        <w:spacing w:lineRule="auto" w:line="276"/>
        <w:jc w:val="both"/>
        <w:rPr>
          <w:u w:val="none"/>
        </w:rPr>
      </w:pPr>
      <w:r>
        <w:rPr>
          <w:u w:val="none"/>
        </w:rPr>
      </w:r>
    </w:p>
    <w:p>
      <w:pPr>
        <w:pStyle w:val="Normal"/>
        <w:bidi w:val="0"/>
        <w:spacing w:lineRule="auto" w:line="276"/>
        <w:jc w:val="both"/>
        <w:rPr>
          <w:u w:val="none"/>
        </w:rPr>
      </w:pPr>
      <w:r>
        <w:rPr>
          <w:u w:val="none"/>
        </w:rPr>
      </w:r>
    </w:p>
    <w:p>
      <w:pPr>
        <w:pStyle w:val="Normal"/>
        <w:bidi w:val="0"/>
        <w:spacing w:lineRule="auto" w:line="276"/>
        <w:jc w:val="both"/>
        <w:rPr>
          <w:u w:val="none"/>
        </w:rPr>
      </w:pPr>
      <w:r>
        <w:rPr>
          <w:u w:val="none"/>
        </w:rPr>
      </w:r>
    </w:p>
    <w:p>
      <w:pPr>
        <w:pStyle w:val="Normal"/>
        <w:bidi w:val="0"/>
        <w:spacing w:lineRule="auto" w:line="276"/>
        <w:jc w:val="both"/>
        <w:rPr/>
      </w:pPr>
      <w:r>
        <w:rPr>
          <w:u w:val="none"/>
        </w:rPr>
        <w:t>Methods</w:t>
      </w:r>
    </w:p>
    <w:p>
      <w:pPr>
        <w:pStyle w:val="Normal"/>
        <w:bidi w:val="0"/>
        <w:spacing w:lineRule="auto" w:line="276"/>
        <w:jc w:val="both"/>
        <w:rPr>
          <w:u w:val="none"/>
        </w:rPr>
      </w:pPr>
      <w:r>
        <w:rPr>
          <w:u w:val="none"/>
        </w:rPr>
      </w:r>
    </w:p>
    <w:p>
      <w:pPr>
        <w:pStyle w:val="Normal"/>
        <w:bidi w:val="0"/>
        <w:spacing w:lineRule="auto" w:line="276"/>
        <w:jc w:val="both"/>
        <w:rPr/>
      </w:pPr>
      <w:r>
        <w:rPr>
          <w:u w:val="none"/>
        </w:rPr>
        <w:t>I will collect data on the number of species and subspecies, range and presence on island from Avibase (</w:t>
      </w:r>
      <w:hyperlink r:id="rId2">
        <w:r>
          <w:rPr>
            <w:rStyle w:val="InternetLink"/>
            <w:u w:val="none"/>
          </w:rPr>
          <w:t>https://avibase.bsc-eoc.org/</w:t>
        </w:r>
      </w:hyperlink>
      <w:r>
        <w:rPr>
          <w:u w:val="none"/>
        </w:rPr>
        <w:t xml:space="preserve">), which incorporates taxonomic data from the major taxonomic publishers (Clement’s checklist, HBW/Birdlife, IOC checklist and Howard and Moore). I will download data for the Oceania region which encompasses 2268 bird species and thousands of islands. </w:t>
      </w:r>
    </w:p>
    <w:p>
      <w:pPr>
        <w:pStyle w:val="Normal"/>
        <w:bidi w:val="0"/>
        <w:spacing w:lineRule="auto" w:line="276"/>
        <w:jc w:val="both"/>
        <w:rPr/>
      </w:pPr>
      <w:r>
        <w:rPr>
          <w:u w:val="none"/>
        </w:rPr>
        <w:t>Hand-wing Index will be collected from Sheard et al. (2020)</w:t>
      </w:r>
    </w:p>
    <w:p>
      <w:pPr>
        <w:pStyle w:val="Normal"/>
        <w:bidi w:val="0"/>
        <w:spacing w:lineRule="auto" w:line="276"/>
        <w:jc w:val="both"/>
        <w:rPr>
          <w:u w:val="none"/>
        </w:rPr>
      </w:pPr>
      <w:r>
        <w:rPr>
          <w:u w:val="none"/>
        </w:rPr>
        <w:t xml:space="preserve">Once I’ve obtained the diversification rate from major studies I will select those bird lineages that may be candidates of great speciators and I will thoroughly research whether records for their  altitude distribution and genetic divergence are available. </w:t>
      </w:r>
    </w:p>
    <w:p>
      <w:pPr>
        <w:pStyle w:val="Normal"/>
        <w:bidi w:val="0"/>
        <w:spacing w:lineRule="auto" w:line="276"/>
        <w:jc w:val="both"/>
        <w:rPr>
          <w:u w:val="none"/>
        </w:rPr>
      </w:pPr>
      <w:r>
        <w:rPr>
          <w:u w:val="none"/>
        </w:rPr>
        <w:t xml:space="preserve">I will create a subset of potential great speciators based on the number of species and subspecies and distribution range. Once I have a subset I explore number of islands where each subspecies is present, number of subspecies per island (if one or many), HWI for each subspecies (obtained by measuring it myself from museum collections: British Museum, Smithsonian with Helen James help, etc) to see whether older </w:t>
      </w:r>
      <w:r>
        <w:rPr>
          <w:rFonts w:eastAsia="Noto Serif CJK SC" w:cs="Lohit Devanagari"/>
          <w:color w:val="auto"/>
          <w:kern w:val="2"/>
          <w:sz w:val="24"/>
          <w:szCs w:val="24"/>
          <w:u w:val="none"/>
          <w:lang w:val="en-GB" w:eastAsia="zh-CN" w:bidi="hi-IN"/>
        </w:rPr>
        <w:t>populations/subspecies</w:t>
      </w:r>
      <w:r>
        <w:rPr>
          <w:u w:val="none"/>
        </w:rPr>
        <w:t xml:space="preserve"> have a lower HWI. I will collect morphological (e.g., weight, wing, bill or tarsus length), reproductive (e.g., clutch size, egg mass, incubation period or type of young) and behavioural traits (type of nest, mating system or type of parental care), dietary (e.g., folivore, granivore, insectivore or carnivore) and habitat preferences (e.g., deciduous/coniferous forest, reed or grassland). </w:t>
      </w:r>
      <w:r>
        <w:rPr>
          <w:u w:val="none"/>
        </w:rPr>
        <w:t xml:space="preserve">For those that live on islands I will collect also data of at which altitude they live to test the hypothesis that intra-island diversification can happen after the taxon cycles (Wilson 1969). </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2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Cs w:val="24"/>
        <w:lang w:val="en-GB"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Lohit Devanagari"/>
      <w:color w:val="auto"/>
      <w:kern w:val="2"/>
      <w:sz w:val="24"/>
      <w:szCs w:val="24"/>
      <w:lang w:val="en-GB" w:eastAsia="zh-CN" w:bidi="hi-IN"/>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avibase.bsc-eoc.org/" TargetMode="Externa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200</TotalTime>
  <Application>LibreOffice/6.4.3.2$Linux_X86_64 LibreOffice_project/40$Build-2</Application>
  <Pages>2</Pages>
  <Words>708</Words>
  <Characters>4073</Characters>
  <CharactersWithSpaces>4774</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2020-06-23T12:49:22Z</dcterms:created>
  <dc:creator/>
  <dc:description/>
  <dc:language>en-GB</dc:language>
  <cp:lastModifiedBy/>
  <dcterms:modified xsi:type="dcterms:W3CDTF">2020-06-25T16:59:55Z</dcterms:modified>
  <cp:revision>5</cp:revision>
  <dc:subject/>
  <dc:title/>
</cp:coreProperties>
</file>