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New Zealand, outlying oceanic islands of Australian and Aotearoa 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Tasmanian Melanesia (New Caledonia and Vanuatu) referred to henceforth as SM, and eastern Australia and Aotearoa New Zealand, including outlying islands, henceforth ANZO (Figure 1; Table S2). The sampling included putative Tasmanian winter migrant individuals captured in the Australian mainland states of Queensland and New South Wales. Individuals were assigned as </w:t>
      </w:r>
      <w:r>
        <w:rPr>
          <w:rFonts w:eastAsia="Liberation Serif" w:cs="Liberation Serif" w:ascii="Liberation Serif" w:hAnsi="Liberation Serif"/>
          <w:color w:val="000000"/>
          <w:sz w:val="24"/>
          <w:szCs w:val="24"/>
        </w:rPr>
        <w:t xml:space="preserve">Tasmanian </w:t>
      </w:r>
      <w:r>
        <w:rPr>
          <w:rFonts w:eastAsia="Liberation Serif" w:cs="Liberation Serif" w:ascii="Liberation Serif" w:hAnsi="Liberation Serif"/>
          <w:color w:val="000000"/>
          <w:sz w:val="24"/>
          <w:szCs w:val="24"/>
        </w:rPr>
        <w:t xml:space="preserve">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all candidate genes we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using the R package </w:t>
      </w:r>
      <w:r>
        <w:rPr>
          <w:rFonts w:eastAsia="Liberation Serif" w:cs="Liberation Serif" w:ascii="Liberation Serif" w:hAnsi="Liberation Serif"/>
          <w:i/>
          <w:iCs w:val="false"/>
          <w:color w:val="000000"/>
          <w:kern w:val="0"/>
          <w:sz w:val="24"/>
          <w:szCs w:val="24"/>
          <w:lang w:val="en-GB" w:eastAsia="zh-CN" w:bidi="hi-IN"/>
        </w:rPr>
        <w:t>brms</w:t>
      </w:r>
      <w:r>
        <w:rPr>
          <w:rFonts w:eastAsia="Liberation Serif" w:cs="Liberation Serif" w:ascii="Liberation Serif" w:hAnsi="Liberation Serif"/>
          <w:i w:val="false"/>
          <w:iCs w:val="false"/>
          <w:color w:val="6FA8DC"/>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(Bürkner, 2017)⁠. Mean microsatellite length was set as the response variable and population was set as a categorical explanatory variable.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tested whether </w:t>
      </w:r>
      <w:r>
        <w:rPr>
          <w:rFonts w:eastAsia="Liberation Serif" w:cs="Liberation Serif" w:ascii="Liberation Serif" w:hAnsi="Liberation Serif"/>
          <w:color w:val="000000"/>
          <w:kern w:val="0"/>
          <w:sz w:val="24"/>
          <w:szCs w:val="24"/>
          <w:lang w:val="en-GB" w:eastAsia="zh-CN" w:bidi="hi-IN"/>
        </w:rPr>
        <w:t>population age and dispersal propensity could explain this variation by running</w:t>
      </w:r>
      <w:r>
        <w:rPr>
          <w:rFonts w:eastAsia="Liberation Serif" w:cs="Liberation Serif" w:ascii="Liberation Serif" w:hAnsi="Liberation Serif"/>
          <w:color w:val="000000"/>
          <w:sz w:val="24"/>
          <w:szCs w:val="24"/>
        </w:rPr>
        <w:t xml:space="preserve"> Bayesian linear mixed models in </w:t>
      </w:r>
      <w:r>
        <w:rPr>
          <w:rFonts w:eastAsia="Liberation Serif" w:cs="Liberation Serif" w:ascii="Liberation Serif" w:hAnsi="Liberation Serif"/>
          <w:i/>
          <w:iCs/>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However,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i w:val="false"/>
          <w:iCs w:val="false"/>
          <w:color w:val="000000"/>
          <w:sz w:val="24"/>
          <w:szCs w:val="24"/>
        </w:rPr>
        <w:t xml:space="preserve">showed variation </w:t>
      </w:r>
      <w:r>
        <w:rPr>
          <w:rFonts w:eastAsia="Liberation Serif" w:cs="Liberation Serif" w:ascii="Liberation Serif" w:hAnsi="Liberation Serif"/>
          <w:i w:val="false"/>
          <w:iCs w:val="false"/>
          <w:color w:val="000000"/>
          <w:kern w:val="0"/>
          <w:sz w:val="24"/>
          <w:szCs w:val="24"/>
          <w:lang w:val="en-GB" w:eastAsia="zh-CN" w:bidi="hi-IN"/>
        </w:rPr>
        <w:t>within</w:t>
      </w:r>
      <w:r>
        <w:rPr>
          <w:rFonts w:eastAsia="Liberation Serif" w:cs="Liberation Serif" w:ascii="Liberation Serif" w:hAnsi="Liberation Serif"/>
          <w:i w:val="false"/>
          <w:iCs w:val="false"/>
          <w:color w:val="000000"/>
          <w:sz w:val="24"/>
          <w:szCs w:val="24"/>
        </w:rPr>
        <w:t xml:space="preserve"> the partial migrant population of Tasmania so we </w:t>
      </w:r>
      <w:r>
        <w:rPr>
          <w:rFonts w:eastAsia="Liberation Serif" w:cs="Liberation Serif" w:ascii="Liberation Serif" w:hAnsi="Liberation Serif"/>
          <w:i w:val="false"/>
          <w:iCs w:val="false"/>
          <w:color w:val="000000"/>
          <w:kern w:val="0"/>
          <w:sz w:val="24"/>
          <w:szCs w:val="24"/>
          <w:lang w:val="en-GB" w:eastAsia="zh-CN" w:bidi="hi-IN"/>
        </w:rPr>
        <w:t xml:space="preserve">explored whether individuals that migrated to the mainland had different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 xml:space="preserve">lengths than those that stayed over winter in Tasmania. The Tasmanian sample was restricted to 20 winter-caught birds (non-migrants) as the resident summer population includes a mix of migrants and non-migrants that cannot be phenotypically distinguished in Tasmania during the months where the migration is not occurring. The resident Australian mainland sample included only those individuals caught in summer at sites in states of Victoria, New South Wales and Queensland (20 individuals). The ‘migrant’ group consisted of those caught at Australian mainland sites in winter that were phenotypically identified as </w:t>
      </w:r>
      <w:r>
        <w:rPr>
          <w:rFonts w:eastAsia="Liberation Serif" w:cs="Liberation Serif" w:ascii="Liberation Serif" w:hAnsi="Liberation Serif"/>
          <w:i w:val="false"/>
          <w:iCs w:val="false"/>
          <w:color w:val="000000"/>
          <w:kern w:val="0"/>
          <w:sz w:val="24"/>
          <w:szCs w:val="24"/>
          <w:lang w:val="en-GB" w:eastAsia="zh-CN" w:bidi="hi-IN"/>
        </w:rPr>
        <w:t>Tasmanian</w:t>
      </w:r>
      <w:r>
        <w:rPr>
          <w:rFonts w:eastAsia="Liberation Serif" w:cs="Liberation Serif" w:ascii="Liberation Serif" w:hAnsi="Liberation Serif"/>
          <w:i w:val="false"/>
          <w:iCs w:val="false"/>
          <w:color w:val="000000"/>
          <w:kern w:val="0"/>
          <w:sz w:val="24"/>
          <w:szCs w:val="24"/>
          <w:lang w:val="en-GB" w:eastAsia="zh-CN" w:bidi="hi-IN"/>
        </w:rPr>
        <w:t xml:space="preserve"> migrants (64 individuals).</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For Bayesian linear mixed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and broken-stick regression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Aotearoa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 a) Bayesian linear mixed model: Differences in length among populations for each candidate </w:t>
      </w:r>
      <w:r>
        <w:rPr>
          <w:rFonts w:eastAsia="Liberation Serif" w:cs="Liberation Serif" w:ascii="Liberation Serif" w:hAnsi="Liberation Serif"/>
          <w:color w:val="000000"/>
          <w:kern w:val="0"/>
          <w:sz w:val="24"/>
          <w:szCs w:val="24"/>
          <w:lang w:val="en-GB" w:eastAsia="zh-CN" w:bidi="hi-IN"/>
        </w:rPr>
        <w:t>microsatellites</w:t>
      </w:r>
      <w:r>
        <w:rPr>
          <w:rFonts w:eastAsia="Liberation Serif" w:cs="Liberation Serif" w:ascii="Liberation Serif" w:hAnsi="Liberation Serif"/>
          <w:color w:val="000000"/>
          <w:sz w:val="24"/>
          <w:szCs w:val="24"/>
        </w:rPr>
        <w:t xml:space="preserve">; b) Bayesian linear mixed models: i) migration: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ii) population age and </w:t>
      </w:r>
      <w:r>
        <w:rPr>
          <w:rFonts w:eastAsia="Liberation Serif" w:cs="Liberation Serif" w:ascii="Liberation Serif" w:hAnsi="Liberation Serif"/>
          <w:i/>
          <w:iCs/>
          <w:color w:val="000000"/>
          <w:sz w:val="24"/>
          <w:szCs w:val="24"/>
        </w:rPr>
        <w:t>DI</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For </w:t>
      </w:r>
      <w:r>
        <w:rPr>
          <w:rFonts w:eastAsia="Liberation Serif" w:cs="Liberation Serif" w:ascii="Liberation Serif" w:hAnsi="Liberation Serif"/>
          <w:i/>
          <w:iCs/>
          <w:color w:val="000000"/>
          <w:sz w:val="24"/>
          <w:szCs w:val="24"/>
          <w:highlight w:val="white"/>
        </w:rPr>
        <w:t xml:space="preserve">DRD4 </w:t>
      </w:r>
      <w:r>
        <w:rPr>
          <w:rFonts w:eastAsia="Liberation Serif" w:cs="Liberation Serif" w:ascii="Liberation Serif" w:hAnsi="Liberation Serif"/>
          <w:i w:val="false"/>
          <w:iCs w:val="false"/>
          <w:color w:val="000000"/>
          <w:sz w:val="24"/>
          <w:szCs w:val="24"/>
          <w:highlight w:val="white"/>
        </w:rPr>
        <w:t xml:space="preserve">and </w:t>
      </w:r>
      <w:r>
        <w:rPr>
          <w:rFonts w:eastAsia="Liberation Serif" w:cs="Liberation Serif" w:ascii="Liberation Serif" w:hAnsi="Liberation Serif"/>
          <w:i/>
          <w:iCs/>
          <w:color w:val="000000"/>
          <w:sz w:val="24"/>
          <w:szCs w:val="24"/>
          <w:highlight w:val="white"/>
        </w:rPr>
        <w:t xml:space="preserve">SERT </w:t>
      </w:r>
      <w:r>
        <w:rPr>
          <w:rFonts w:eastAsia="Liberation Serif" w:cs="Liberation Serif" w:ascii="Liberation Serif" w:hAnsi="Liberation Serif"/>
          <w:i w:val="false"/>
          <w:iCs w:val="false"/>
          <w:color w:val="000000"/>
          <w:sz w:val="24"/>
          <w:szCs w:val="24"/>
          <w:highlight w:val="white"/>
        </w:rPr>
        <w:t xml:space="preserve">we used a bernoulli distribution to test for associations between presence/absence of the most common </w:t>
      </w:r>
      <w:r>
        <w:rPr>
          <w:rFonts w:eastAsia="Liberation Serif" w:cs="Liberation Serif" w:ascii="Liberation Serif" w:hAnsi="Liberation Serif"/>
          <w:i w:val="false"/>
          <w:iCs w:val="false"/>
          <w:color w:val="000000"/>
          <w:kern w:val="0"/>
          <w:sz w:val="24"/>
          <w:szCs w:val="24"/>
          <w:highlight w:val="white"/>
          <w:lang w:val="en-GB" w:eastAsia="zh-CN" w:bidi="hi-IN"/>
        </w:rPr>
        <w:t>variant</w:t>
      </w:r>
      <w:r>
        <w:rPr>
          <w:rFonts w:eastAsia="Liberation Serif" w:cs="Liberation Serif" w:ascii="Liberation Serif" w:hAnsi="Liberation Serif"/>
          <w:i w:val="false"/>
          <w:iCs w:val="false"/>
          <w:color w:val="000000"/>
          <w:sz w:val="24"/>
          <w:szCs w:val="24"/>
          <w:highlight w:val="white"/>
        </w:rPr>
        <w:t xml:space="preserve">.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and how much it varies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i w:val="false"/>
          <w:iCs w:val="false"/>
          <w:color w:val="000000"/>
          <w:sz w:val="24"/>
          <w:szCs w:val="24"/>
          <w:highlight w:val="white"/>
        </w:rPr>
        <w:t>mixed model</w:t>
      </w:r>
      <w:r>
        <w:rPr>
          <w:rFonts w:eastAsia="Liberation Serif" w:cs="Liberation Serif" w:ascii="Liberation Serif" w:hAnsi="Liberation Serif"/>
          <w:color w:val="000000"/>
          <w:sz w:val="24"/>
          <w:szCs w:val="24"/>
          <w:highlight w:val="white"/>
        </w:rPr>
        <w:t xml:space="preserve">, we set weakly informative priors with a normal distribution centred in 0 with a standard deviation of 20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does not assume either an increase or decrease in bp but incorporates the prior information that changes will not be greater than 20 bp.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1"/>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1"/>
      <w:r>
        <w:commentReference w:id="1"/>
      </w:r>
      <w:r>
        <w:rPr/>
        <w:commentReference w:id="2"/>
      </w:r>
      <w:r>
        <w:rPr>
          <w:rFonts w:eastAsia="Liberation Serif" w:cs="Liberation Serif" w:ascii="Liberation Serif" w:hAnsi="Liberation Serif"/>
          <w:color w:val="000000"/>
          <w:sz w:val="24"/>
          <w:szCs w:val="24"/>
          <w:highlight w:val="white"/>
        </w:rPr>
        <w:t>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 New Zealand and outlying island populations (ANZO), and Cluster 2 comprised Vanuatu and New Caledonia populations in Tasmanian Melanesia (SM) (</w:t>
      </w:r>
      <w:commentRangeStart w:id="3"/>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3"/>
      <w:r>
        <w:commentReference w:id="3"/>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Tasmanian Vanuatu island of Tanna showing some affiliation with New Caledonia (Fig. S1,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S5, Fig. S2). </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w:t>
      </w:r>
      <w:r>
        <w:rPr>
          <w:rFonts w:eastAsia="Liberation Serif" w:cs="Liberation Serif" w:ascii="Liberation Serif" w:hAnsi="Liberation Serif"/>
          <w:color w:val="auto"/>
          <w:kern w:val="0"/>
          <w:sz w:val="24"/>
          <w:szCs w:val="24"/>
          <w:lang w:val="en-GB" w:eastAsia="zh-CN" w:bidi="hi-IN"/>
        </w:rPr>
        <w:t>estimates for which the credibility intervals did not overlap with zero</w:t>
      </w:r>
      <w:r>
        <w:rPr>
          <w:rFonts w:eastAsia="Liberation Serif" w:cs="Liberation Serif" w:ascii="Liberation Serif" w:hAnsi="Liberation Serif"/>
          <w:sz w:val="24"/>
          <w:szCs w:val="24"/>
        </w:rPr>
        <w:t>. Within ANZO, this was primarily seen in relatively high outgoing gene flow estimates from Tasmania and Aotearoa New Zealand, and within SM, moderate outgoing levels from central islands of Pentecost and Malekula.</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in particular </w:t>
      </w:r>
      <w:r>
        <w:rPr>
          <w:rFonts w:eastAsia="Liberation Serif" w:cs="Liberation Serif" w:ascii="Liberation Serif" w:hAnsi="Liberation Serif"/>
          <w:color w:val="000000"/>
          <w:sz w:val="24"/>
          <w:szCs w:val="24"/>
        </w:rPr>
        <w:t xml:space="preserve">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w:t>
      </w:r>
      <w:r>
        <w:rPr>
          <w:rFonts w:eastAsia="Liberation Serif" w:cs="Liberation Serif" w:ascii="Liberation Serif" w:hAnsi="Liberation Serif"/>
          <w:color w:val="000000"/>
          <w:sz w:val="24"/>
          <w:szCs w:val="24"/>
        </w:rPr>
        <w:t xml:space="preserve">the </w:t>
      </w:r>
      <w:r>
        <w:rPr>
          <w:rFonts w:eastAsia="Liberation Serif" w:cs="Liberation Serif" w:ascii="Liberation Serif" w:hAnsi="Liberation Serif"/>
          <w:color w:val="000000"/>
          <w:sz w:val="24"/>
          <w:szCs w:val="24"/>
        </w:rPr>
        <w:t>Australia</w:t>
      </w:r>
      <w:r>
        <w:rPr>
          <w:rFonts w:eastAsia="Liberation Serif" w:cs="Liberation Serif" w:ascii="Liberation Serif" w:hAnsi="Liberation Serif"/>
          <w:color w:val="000000"/>
          <w:sz w:val="24"/>
          <w:szCs w:val="24"/>
        </w:rPr>
        <w:t>n mainland</w:t>
      </w:r>
      <w:r>
        <w:rPr>
          <w:rFonts w:eastAsia="Liberation Serif" w:cs="Liberation Serif" w:ascii="Liberation Serif" w:hAnsi="Liberation Serif"/>
          <w:color w:val="000000"/>
          <w:sz w:val="24"/>
          <w:szCs w:val="24"/>
        </w:rPr>
        <w:t xml:space="preserve">, Tasmania </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migrants and non-migrants</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and the recently colonised populations of Aotearoa New Zealand, Chatham Island, and Norfolk Island. Heron Island, Lord Howe Island and all Tasmanian Melanesian populations displayed shorter allele lengths on average. </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Australian and Tasmanian sedentary silvereyes, </w:t>
      </w:r>
      <w:r>
        <w:rPr>
          <w:rFonts w:eastAsia="Liberation Serif" w:cs="Liberation Serif" w:ascii="Liberation Serif" w:hAnsi="Liberation Serif"/>
          <w:color w:val="000000"/>
          <w:kern w:val="0"/>
          <w:sz w:val="24"/>
          <w:szCs w:val="24"/>
          <w:lang w:val="en-GB" w:eastAsia="zh-CN" w:bidi="hi-IN"/>
        </w:rPr>
        <w:t>Tasmanian</w:t>
      </w:r>
      <w:r>
        <w:rPr>
          <w:rFonts w:eastAsia="Liberation Serif" w:cs="Liberation Serif" w:ascii="Liberation Serif" w:hAnsi="Liberation Serif"/>
          <w:color w:val="000000"/>
          <w:sz w:val="24"/>
          <w:szCs w:val="24"/>
        </w:rPr>
        <w:t xml:space="preserve"> migrants showed longer allele lengths (Fig. 4; Fig SX).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and </w:t>
      </w:r>
      <w:commentRangeStart w:id="4"/>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5"/>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w:t>
      </w:r>
      <w:commentRangeStart w:id="6"/>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7"/>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 xml:space="preserve">lysines while those from Aotearoa New Zealand and Chatham Island only guanines which translated into argines. Tasmanian residents and </w:t>
      </w:r>
      <w:commentRangeStart w:id="8"/>
      <w:r>
        <w:rPr>
          <w:rFonts w:eastAsia="Liberation Serif" w:cs="Liberation Serif" w:ascii="Liberation Serif" w:hAnsi="Liberation Serif"/>
          <w:color w:val="000000"/>
          <w:sz w:val="24"/>
          <w:szCs w:val="24"/>
        </w:rPr>
        <w:t xml:space="preserve">Tasmanian migrants </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had both nucleotides represented (</w:t>
      </w:r>
      <w:commentRangeStart w:id="9"/>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r>
        <w:rPr>
          <w:rFonts w:eastAsia="Liberation Serif" w:cs="Liberation Serif" w:ascii="Liberation Serif" w:hAnsi="Liberation Serif"/>
          <w:i/>
          <w:color w:val="000000"/>
          <w:sz w:val="24"/>
          <w:szCs w:val="24"/>
        </w:rPr>
        <w:t>Candidate gene association tests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10"/>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Tasmanian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Tasmanian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11"/>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11"/>
      <w:r>
        <w:commentReference w:id="11"/>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12"/>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13"/>
      <w:commentRangeStart w:id="14"/>
      <w:r>
        <w:rPr>
          <w:rFonts w:eastAsia="Liberation Serif" w:cs="Liberation Serif" w:ascii="Liberation Serif" w:hAnsi="Liberation Serif"/>
          <w:color w:val="000000"/>
          <w:sz w:val="24"/>
          <w:szCs w:val="24"/>
        </w:rPr>
        <w:t>Tasmanian migrants</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 </w:t>
      </w:r>
      <w:commentRangeStart w:id="15"/>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16"/>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17"/>
      <w:r>
        <w:rPr>
          <w:rFonts w:eastAsia="Liberation Serif" w:cs="Liberation Serif" w:ascii="Liberation Serif" w:hAnsi="Liberation Serif"/>
          <w:i/>
          <w:color w:val="000000"/>
          <w:sz w:val="24"/>
          <w:szCs w:val="24"/>
        </w:rPr>
        <w:t>Candidate genes with dispersal associations</w:t>
      </w:r>
      <w:commentRangeEnd w:id="17"/>
      <w:r>
        <w:commentReference w:id="17"/>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18"/>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18"/>
      <w:r>
        <w:commentReference w:id="18"/>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19"/>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19"/>
      <w:r>
        <w:commentReference w:id="19"/>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20"/>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20"/>
      <w:r>
        <w:commentReference w:id="20"/>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21"/>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22"/>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23"/>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24"/>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24"/>
      <w:r>
        <w:commentReference w:id="24"/>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21"/>
      <w:r>
        <w:commentReference w:id="21"/>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Tasmanian Melanesian populations. </w:t>
      </w:r>
      <w:commentRangeStart w:id="25"/>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Tasmanian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26"/>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27"/>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Aotearoa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28"/>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29"/>
      <w:commentRangeStart w:id="30"/>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30"/>
      <w:r>
        <w:commentReference w:id="30"/>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31"/>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31"/>
      <w:r>
        <w:commentReference w:id="31"/>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Tasmanian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32"/>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33"/>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33"/>
      <w:r>
        <w:commentReference w:id="33"/>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34"/>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32"/>
      <w:r>
        <w:commentReference w:id="32"/>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35"/>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36"/>
      <w:r>
        <w:rPr>
          <w:rFonts w:ascii="Liberation Serif" w:hAnsi="Liberation Serif"/>
          <w:i/>
          <w:iCs/>
          <w:color w:val="000000"/>
        </w:rPr>
        <w:t>Additional  findings in candidate genes</w:t>
      </w:r>
      <w:commentRangeEnd w:id="36"/>
      <w:r>
        <w:commentReference w:id="36"/>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Tasmanian migrants caught on mainland Australia were polymorphic (G and A represented), the recently established populations of Chatham Island and South Island Aotearoa New Zealand were fixed for A, and Tasmanian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37"/>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Aotearoa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38"/>
      <w:r>
        <w:rPr>
          <w:rFonts w:eastAsia="Liberation Serif" w:cs="Liberation Serif" w:ascii="Liberation Serif" w:hAnsi="Liberation Serif"/>
          <w:i/>
          <w:iCs/>
          <w:color w:val="000000"/>
          <w:sz w:val="24"/>
          <w:szCs w:val="24"/>
        </w:rPr>
        <w:t>Insights into silvereye population genetic structure and subspecies designation</w:t>
      </w:r>
      <w:commentRangeEnd w:id="38"/>
      <w:r>
        <w:commentReference w:id="38"/>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Aotearoa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Tasmanian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39"/>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39"/>
      <w:r>
        <w:commentReference w:id="39"/>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40"/>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40"/>
      <w:r>
        <w:commentReference w:id="40"/>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Tasmanian Melanesia, the population structure in Vanuatu was generally consistent with the study of Clegg and Phillimore (2010) that used a set of 11 </w:t>
      </w:r>
      <w:commentRangeStart w:id="41"/>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Tasmanian Vanuatu islands, like Efate and Tanna, having a </w:t>
      </w:r>
      <w:commentRangeStart w:id="42"/>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43"/>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43"/>
      <w:r>
        <w:commentReference w:id="43"/>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Tasmanian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44"/>
      <w:commentRangeStart w:id="45"/>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45"/>
      <w:r>
        <w:commentReference w:id="45"/>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46"/>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t xml:space="preserve">This approach has led to the identification of genes involved in the </w:t>
      </w:r>
      <w:commentRangeStart w:id="47"/>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48"/>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49"/>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Tasmanian Melanesia. [delete the </w:t>
      </w:r>
      <w:commentRangeStart w:id="50"/>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Tasmanian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51"/>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51"/>
      <w:r>
        <w:commentReference w:id="51"/>
      </w:r>
      <w:r>
        <w:rPr>
          <w:rFonts w:eastAsia="Liberation Serif" w:cs="Liberation Serif" w:ascii="Liberation Serif" w:hAnsi="Liberation Serif"/>
          <w:color w:val="000000"/>
          <w:sz w:val="24"/>
          <w:szCs w:val="24"/>
        </w:rPr>
        <w:t xml:space="preserve"> </w:t>
      </w:r>
      <w:commentRangeStart w:id="52"/>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52"/>
      <w:r>
        <w:commentReference w:id="52"/>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Aotearoa New Zealand and outlying island (ANZO) cluster, showing location of inset (B) New Caledonia and Vanuatu (Tasmanian Melanesia – SM) populations. [deleteIn blue, populations that belong to the </w:t>
      </w:r>
      <w:commentRangeStart w:id="53"/>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53"/>
      <w:r>
        <w:commentReference w:id="53"/>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54"/>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54"/>
      <w:r>
        <w:commentReference w:id="54"/>
      </w:r>
      <w:r>
        <w:rPr>
          <w:rFonts w:eastAsia="Liberation Serif" w:cs="Liberation Serif" w:ascii="Liberation Serif" w:hAnsi="Liberation Serif"/>
          <w:color w:val="000000"/>
          <w:sz w:val="24"/>
          <w:szCs w:val="24"/>
        </w:rPr>
        <w:t xml:space="preserve">2.  </w:t>
      </w:r>
      <w:commentRangeStart w:id="55"/>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56"/>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 xml:space="preserve">. Mean allele lengths </w:t>
      </w:r>
      <w:commentRangeStart w:id="57"/>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 xml:space="preserve">) for the four microsatellite candidate genes. </w:t>
      </w:r>
      <w:commentRangeStart w:id="58"/>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58"/>
      <w:r>
        <w:commentReference w:id="58"/>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(Aotearoa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Aotearoa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59"/>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59"/>
      <w:r>
        <w:commentReference w:id="59"/>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60"/>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60"/>
      <w:r>
        <w:commentReference w:id="60"/>
      </w:r>
      <w:r>
        <w:rPr>
          <w:rFonts w:eastAsia="Liberation Serif" w:cs="Liberation Serif" w:ascii="Liberation Serif" w:hAnsi="Liberation Serif"/>
          <w:color w:val="000000"/>
          <w:sz w:val="24"/>
          <w:szCs w:val="24"/>
        </w:rPr>
        <w:t xml:space="preserve">ength for Australia, Tasmania and putative </w:t>
      </w:r>
      <w:r>
        <w:rPr>
          <w:rFonts w:eastAsia="Liberation Serif" w:cs="Liberation Serif" w:ascii="Liberation Serif" w:hAnsi="Liberation Serif"/>
          <w:color w:val="000000"/>
          <w:sz w:val="24"/>
          <w:szCs w:val="24"/>
        </w:rPr>
        <w:t xml:space="preserve">Tasmanian </w:t>
      </w:r>
      <w:r>
        <w:rPr>
          <w:rFonts w:eastAsia="Liberation Serif" w:cs="Liberation Serif" w:ascii="Liberation Serif" w:hAnsi="Liberation Serif"/>
          <w:color w:val="000000"/>
          <w:sz w:val="24"/>
          <w:szCs w:val="24"/>
        </w:rPr>
        <w:t xml:space="preserve">migrants (Tasmanian silvereyes caught in winter on the Australian mainland). </w:t>
      </w:r>
      <w:commentRangeStart w:id="61"/>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 xml:space="preserve">are included in this plot. Putative </w:t>
      </w:r>
      <w:r>
        <w:rPr>
          <w:rFonts w:eastAsia="Liberation Serif" w:cs="Liberation Serif" w:ascii="Liberation Serif" w:hAnsi="Liberation Serif"/>
          <w:color w:val="000000"/>
          <w:sz w:val="24"/>
          <w:szCs w:val="24"/>
        </w:rPr>
        <w:t xml:space="preserve">Tasmanian </w:t>
      </w:r>
      <w:r>
        <w:rPr>
          <w:rFonts w:eastAsia="Liberation Serif" w:cs="Liberation Serif" w:ascii="Liberation Serif" w:hAnsi="Liberation Serif"/>
          <w:color w:val="000000"/>
          <w:sz w:val="24"/>
          <w:szCs w:val="24"/>
        </w:rPr>
        <w:t>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62"/>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 100 posterior draws (grey lines); change point posterior distributions (</w:t>
      </w:r>
      <w:commentRangeStart w:id="63"/>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Aotearoa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64"/>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64"/>
      <w:r>
        <w:commentReference w:id="64"/>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2"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3"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4"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5"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6"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7"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8"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9" w:author="Ashley Sendell-Price" w:date="2021-09-07T11:30:00Z" w:initials="AS">
    <w:p>
      <w:r>
        <w:rPr>
          <w:rFonts w:ascii="Liberation Serif" w:hAnsi="Liberation Serif" w:eastAsia="DejaVu Sans" w:cs="DejaVu Sans"/>
          <w:sz w:val="24"/>
          <w:szCs w:val="24"/>
          <w:lang w:val="en-US" w:eastAsia="en-US" w:bidi="en-US"/>
        </w:rPr>
        <w:t>Add axis titles</w:t>
      </w:r>
    </w:p>
  </w:comment>
  <w:comment w:id="10"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11"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12" w:author="Sonya Clegg" w:date="2021-11-08T15:49:00Z" w:initials="SMC">
    <w:p>
      <w:r>
        <w:rPr>
          <w:rFonts w:ascii="Liberation Serif" w:hAnsi="Liberation Serif" w:eastAsia="DejaVu Sans" w:cs="DejaVu Sans"/>
          <w:sz w:val="24"/>
          <w:szCs w:val="24"/>
          <w:lang w:val="en-US" w:eastAsia="en-US" w:bidi="en-US"/>
        </w:rPr>
        <w:t>Three?</w:t>
      </w:r>
    </w:p>
  </w:comment>
  <w:comment w:id="14"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13"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15"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16"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17"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18"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19"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20"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2"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3"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24"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21"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25"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27"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26" w:author="Sonya Clegg" w:date="2021-11-09T13:48:00Z" w:initials="SMC">
    <w:p>
      <w:r>
        <w:rPr>
          <w:rFonts w:ascii="Liberation Serif" w:hAnsi="Liberation Serif" w:eastAsia="DejaVu Sans" w:cs="DejaVu Sans"/>
          <w:sz w:val="24"/>
          <w:szCs w:val="24"/>
          <w:lang w:val="en-US" w:eastAsia="en-US" w:bidi="en-US"/>
        </w:rPr>
        <w:t>? it’s on the graph!</w:t>
      </w:r>
    </w:p>
  </w:comment>
  <w:comment w:id="28"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30"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29"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31"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33"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34"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32"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35"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36"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37"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38"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39" w:author="Sonya Clegg" w:date="2021-11-10T12:08:00Z" w:initials="SMC">
    <w:p>
      <w:r>
        <w:rPr>
          <w:rFonts w:ascii="Liberation Serif" w:hAnsi="Liberation Serif" w:eastAsia="DejaVu Sans" w:cs="DejaVu Sans"/>
          <w:sz w:val="24"/>
          <w:szCs w:val="24"/>
          <w:lang w:val="en-US" w:eastAsia="en-US" w:bidi="en-US"/>
        </w:rPr>
        <w:t>Mol Ecol paper</w:t>
      </w:r>
    </w:p>
  </w:comment>
  <w:comment w:id="40"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41" w:author="Ashley Sendell-Price" w:date="2021-09-07T11:11:00Z" w:initials="AS">
    <w:p>
      <w:r>
        <w:rPr>
          <w:rFonts w:ascii="Liberation Serif" w:hAnsi="Liberation Serif" w:eastAsia="DejaVu Sans" w:cs="DejaVu Sans"/>
          <w:sz w:val="24"/>
          <w:szCs w:val="24"/>
          <w:lang w:val="en-US" w:eastAsia="en-US" w:bidi="en-US"/>
        </w:rPr>
        <w:t>How many?</w:t>
      </w:r>
    </w:p>
  </w:comment>
  <w:comment w:id="42"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43"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45"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44"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46"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47"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48"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49"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50"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51"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52"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53"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54"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55"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56" w:author="Ashley Sendell-Price" w:date="2021-09-07T11:19:00Z" w:initials="AS">
    <w:p>
      <w:r>
        <w:rPr>
          <w:rFonts w:ascii="Liberation Serif" w:hAnsi="Liberation Serif" w:eastAsia="DejaVu Sans" w:cs="DejaVu Sans"/>
          <w:sz w:val="24"/>
          <w:szCs w:val="24"/>
          <w:lang w:val="en-US" w:eastAsia="en-US" w:bidi="en-US"/>
        </w:rPr>
        <w:t>Add A B C D</w:t>
      </w:r>
    </w:p>
  </w:comment>
  <w:comment w:id="57"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58"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59"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60"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61" w:author="Sonya Clegg" w:date="2021-11-08T13:55:00Z" w:initials="SMC">
    <w:p>
      <w:r>
        <w:rPr>
          <w:rFonts w:ascii="Liberation Serif" w:hAnsi="Liberation Serif" w:eastAsia="DejaVu Sans" w:cs="DejaVu Sans"/>
          <w:sz w:val="24"/>
          <w:szCs w:val="24"/>
          <w:lang w:val="en-US" w:eastAsia="en-US" w:bidi="en-US"/>
        </w:rPr>
        <w:t>From all the sites?</w:t>
      </w:r>
    </w:p>
  </w:comment>
  <w:comment w:id="62"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63"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64"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1218</TotalTime>
  <Application>LibreOffice/6.4.7.2$Linux_X86_64 LibreOffice_project/40$Build-2</Application>
  <Pages>34</Pages>
  <Words>10601</Words>
  <Characters>62247</Characters>
  <CharactersWithSpaces>72635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2022-09-08T11:32:38Z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