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Supplementary figures captions</w:t>
      </w:r>
    </w:p>
    <w:p>
      <w:pPr>
        <w:pStyle w:val="Normal"/>
        <w:bidi w:val="0"/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</w:r>
    </w:p>
    <w:p>
      <w:pPr>
        <w:pStyle w:val="Normal"/>
        <w:bidi w:val="0"/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Figure S1. A) </w:t>
      </w:r>
      <w:r>
        <w:rPr>
          <w:i/>
          <w:iCs/>
          <w:sz w:val="22"/>
          <w:szCs w:val="22"/>
          <w:lang w:val="en-GB"/>
        </w:rPr>
        <w:t>Zosterops lateralis cornwalli</w:t>
      </w:r>
      <w:r>
        <w:rPr>
          <w:i w:val="false"/>
          <w:iCs w:val="false"/>
          <w:sz w:val="22"/>
          <w:szCs w:val="22"/>
          <w:lang w:val="en-GB"/>
        </w:rPr>
        <w:t xml:space="preserve"> characterised by a bright solid yellow throat and grey flanks. This subspecies is resident on the Australian mainland, east coast. Picture by Andrea Estandía on Broughton Island, New South Wales B) </w:t>
      </w:r>
      <w:r>
        <w:rPr>
          <w:i/>
          <w:iCs/>
          <w:sz w:val="22"/>
          <w:szCs w:val="22"/>
          <w:lang w:val="en-GB"/>
        </w:rPr>
        <w:t xml:space="preserve">Zosterops lateralis lateralis, </w:t>
      </w:r>
      <w:r>
        <w:rPr>
          <w:i w:val="false"/>
          <w:iCs w:val="false"/>
          <w:sz w:val="22"/>
          <w:szCs w:val="22"/>
          <w:lang w:val="en-GB"/>
        </w:rPr>
        <w:t>characterised by a grey throat and red flanks. This subspecies is found in Tasmania but some individuals migrate to the Australian mainland during winter. Picture by Andrea Estandía in Eagleby Wetlands, Queensland.</w:t>
      </w:r>
    </w:p>
    <w:p>
      <w:pPr>
        <w:pStyle w:val="Normal"/>
        <w:bidi w:val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both"/>
        <w:rPr/>
      </w:pPr>
      <w:r>
        <w:rPr>
          <w:i w:val="false"/>
          <w:iCs w:val="false"/>
          <w:sz w:val="22"/>
          <w:szCs w:val="22"/>
          <w:lang w:val="en-GB"/>
        </w:rPr>
        <w:t xml:space="preserve">Figure S2. NGSadmix results of WGS data for </w:t>
      </w:r>
      <w:r>
        <w:rPr>
          <w:i/>
          <w:iCs/>
          <w:sz w:val="22"/>
          <w:szCs w:val="22"/>
          <w:lang w:val="en-GB"/>
        </w:rPr>
        <w:t xml:space="preserve">k=2 </w:t>
      </w:r>
      <w:r>
        <w:rPr>
          <w:i w:val="false"/>
          <w:iCs w:val="false"/>
          <w:sz w:val="22"/>
          <w:szCs w:val="22"/>
          <w:lang w:val="en-GB"/>
        </w:rPr>
        <w:t>(left)</w:t>
      </w:r>
      <w:r>
        <w:rPr>
          <w:i/>
          <w:iCs/>
          <w:sz w:val="22"/>
          <w:szCs w:val="22"/>
          <w:lang w:val="en-GB"/>
        </w:rPr>
        <w:t xml:space="preserve">, k=3 </w:t>
      </w:r>
      <w:r>
        <w:rPr>
          <w:i w:val="false"/>
          <w:iCs w:val="false"/>
          <w:sz w:val="22"/>
          <w:szCs w:val="22"/>
          <w:lang w:val="en-GB"/>
        </w:rPr>
        <w:t>(centre)</w:t>
      </w:r>
      <w:r>
        <w:rPr>
          <w:i/>
          <w:iCs/>
          <w:sz w:val="22"/>
          <w:szCs w:val="22"/>
          <w:lang w:val="en-GB"/>
        </w:rPr>
        <w:t xml:space="preserve">, </w:t>
      </w:r>
      <w:r>
        <w:rPr>
          <w:i w:val="false"/>
          <w:iCs w:val="false"/>
          <w:sz w:val="22"/>
          <w:szCs w:val="22"/>
          <w:lang w:val="en-GB"/>
        </w:rPr>
        <w:t xml:space="preserve">and </w:t>
      </w:r>
      <w:r>
        <w:rPr>
          <w:i/>
          <w:iCs/>
          <w:sz w:val="22"/>
          <w:szCs w:val="22"/>
          <w:lang w:val="en-GB"/>
        </w:rPr>
        <w:t xml:space="preserve">k=4 </w:t>
      </w:r>
      <w:r>
        <w:rPr>
          <w:i w:val="false"/>
          <w:iCs w:val="false"/>
          <w:sz w:val="22"/>
          <w:szCs w:val="22"/>
          <w:lang w:val="en-GB"/>
        </w:rPr>
        <w:t>(right)</w:t>
      </w:r>
      <w:r>
        <w:rPr>
          <w:i/>
          <w:iCs/>
          <w:sz w:val="22"/>
          <w:szCs w:val="22"/>
          <w:lang w:val="en-GB"/>
        </w:rPr>
        <w:t>. k=2</w:t>
      </w:r>
      <w:r>
        <w:rPr>
          <w:i/>
          <w:iCs/>
          <w:sz w:val="22"/>
          <w:szCs w:val="22"/>
          <w:lang w:val="en-GB"/>
        </w:rPr>
        <w:t xml:space="preserve"> </w:t>
      </w:r>
      <w:r>
        <w:rPr>
          <w:i w:val="false"/>
          <w:iCs w:val="false"/>
          <w:sz w:val="22"/>
          <w:szCs w:val="22"/>
          <w:lang w:val="en-GB"/>
        </w:rPr>
        <w:t xml:space="preserve">represents the split between the ANZO and SM clusters, </w:t>
      </w:r>
      <w:r>
        <w:rPr>
          <w:i/>
          <w:iCs/>
          <w:sz w:val="22"/>
          <w:szCs w:val="22"/>
          <w:lang w:val="en-GB"/>
        </w:rPr>
        <w:t xml:space="preserve">k=3 </w:t>
      </w:r>
      <w:r>
        <w:rPr>
          <w:i w:val="false"/>
          <w:iCs w:val="false"/>
          <w:sz w:val="22"/>
          <w:szCs w:val="22"/>
          <w:lang w:val="en-GB"/>
        </w:rPr>
        <w:t xml:space="preserve">the split within SM: New Caledonia and Vanuatu, although the southern island of Tanna, which is close to New Caledonia, </w:t>
      </w:r>
      <w:r>
        <w:rPr>
          <w:rFonts w:eastAsia="Noto Serif CJK SC" w:cs="Lohit Devanagari"/>
          <w:i w:val="false"/>
          <w:iCs w:val="false"/>
          <w:color w:val="auto"/>
          <w:kern w:val="2"/>
          <w:sz w:val="22"/>
          <w:szCs w:val="22"/>
          <w:lang w:val="en-GB" w:eastAsia="zh-CN" w:bidi="hi-IN"/>
        </w:rPr>
        <w:t>emerges</w:t>
      </w:r>
      <w:r>
        <w:rPr>
          <w:i w:val="false"/>
          <w:iCs w:val="false"/>
          <w:sz w:val="22"/>
          <w:szCs w:val="22"/>
          <w:lang w:val="en-GB"/>
        </w:rPr>
        <w:t xml:space="preserve"> as being genetically similar to both archipelagos. </w:t>
      </w:r>
    </w:p>
    <w:p>
      <w:pPr>
        <w:pStyle w:val="Normal"/>
        <w:bidi w:val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</w:t>
      </w:r>
    </w:p>
    <w:p>
      <w:pPr>
        <w:pStyle w:val="Normal"/>
        <w:bidi w:val="0"/>
        <w:jc w:val="both"/>
        <w:rPr>
          <w:sz w:val="22"/>
          <w:szCs w:val="22"/>
          <w:lang w:val="en-GB"/>
        </w:rPr>
      </w:pPr>
      <w:r>
        <w:rPr>
          <w:i w:val="false"/>
          <w:iCs w:val="false"/>
          <w:sz w:val="22"/>
          <w:szCs w:val="22"/>
          <w:lang w:val="en-GB"/>
        </w:rPr>
        <w:t xml:space="preserve">Figure S3. Heatmap produced with the population-level covariance matrix generated with PCAngsd using WGS data. </w:t>
      </w:r>
      <w:r>
        <w:rPr>
          <w:i w:val="false"/>
          <w:iCs w:val="false"/>
          <w:sz w:val="22"/>
          <w:szCs w:val="22"/>
          <w:lang w:val="en-GB"/>
        </w:rPr>
        <w:t>The divergence patterns coincide with those from NGSadmix.</w:t>
      </w:r>
    </w:p>
    <w:p>
      <w:pPr>
        <w:pStyle w:val="Normal"/>
        <w:bidi w:val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both"/>
        <w:rPr>
          <w:sz w:val="22"/>
          <w:szCs w:val="22"/>
          <w:lang w:val="en-GB"/>
        </w:rPr>
      </w:pPr>
      <w:r>
        <w:rPr>
          <w:i w:val="false"/>
          <w:iCs w:val="false"/>
          <w:sz w:val="22"/>
          <w:szCs w:val="22"/>
          <w:lang w:val="en-GB"/>
        </w:rPr>
        <w:t xml:space="preserve">Figure S4. Posterior group estimates for each candidate microsatellite. Posteriors were obtained from the </w:t>
      </w:r>
      <w:r>
        <w:rPr>
          <w:i/>
          <w:iCs/>
          <w:sz w:val="22"/>
          <w:szCs w:val="22"/>
          <w:lang w:val="en-GB"/>
        </w:rPr>
        <w:t xml:space="preserve">brms </w:t>
      </w:r>
      <w:r>
        <w:rPr>
          <w:i w:val="false"/>
          <w:iCs w:val="false"/>
          <w:sz w:val="22"/>
          <w:szCs w:val="22"/>
          <w:lang w:val="en-GB"/>
        </w:rPr>
        <w:t xml:space="preserve">models.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264</TotalTime>
  <Application>LibreOffice/6.4.7.2$Linux_X86_64 LibreOffice_project/40$Build-2</Application>
  <Pages>1</Pages>
  <Words>168</Words>
  <Characters>969</Characters>
  <CharactersWithSpaces>1134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2022-10-08T11:41:59Z</dcterms:created>
  <dc:creator>Reviewer </dc:creator>
  <dc:description/>
  <dc:language>en-GB</dc:language>
  <cp:lastModifiedBy>Reviewer </cp:lastModifiedBy>
  <dcterms:modified xsi:type="dcterms:W3CDTF">2022-10-08T17:26:03Z</dcterms:modified>
  <cp:revision>4</cp:revision>
  <dc:subject/>
  <dc:title/>
</cp:coreProperties>
</file>