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png" ContentType="image/png"/>
  <Override PartName="/word/media/image4.png" ContentType="image/png"/>
  <Override PartName="/word/media/image5.png" ContentType="image/png"/>
  <Override PartName="/word/media/image6.png" ContentType="image/png"/>
  <Override PartName="/word/media/image7.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64" w:after="0"/>
        <w:ind w:hanging="0"/>
        <w:rPr>
          <w:sz w:val="32"/>
          <w:szCs w:val="32"/>
        </w:rPr>
      </w:pPr>
      <w:r>
        <w:rPr>
          <w:color w:val="000000"/>
          <w:sz w:val="32"/>
          <w:szCs w:val="32"/>
        </w:rPr>
        <w:t>Supplementary Information</w:t>
      </w:r>
    </w:p>
    <w:p>
      <w:pPr>
        <w:pStyle w:val="Heading1"/>
        <w:ind w:left="0" w:right="454" w:hanging="0"/>
        <w:rPr>
          <w:rFonts w:ascii="Times New Roman" w:hAnsi="Times New Roman" w:eastAsia="Times New Roman" w:cs="Times New Roman"/>
          <w:b w:val="false"/>
          <w:b w:val="false"/>
          <w:color w:val="000000"/>
          <w:sz w:val="30"/>
          <w:szCs w:val="30"/>
        </w:rPr>
      </w:pPr>
      <w:r>
        <w:rPr>
          <w:rFonts w:eastAsia="Times New Roman" w:cs="Times New Roman" w:ascii="Times New Roman" w:hAnsi="Times New Roman"/>
          <w:b w:val="false"/>
          <w:color w:val="000000"/>
          <w:sz w:val="30"/>
          <w:szCs w:val="30"/>
        </w:rPr>
      </w:r>
    </w:p>
    <w:p>
      <w:pPr>
        <w:pStyle w:val="Heading1"/>
        <w:ind w:right="454" w:hanging="0"/>
        <w:rPr>
          <w:rFonts w:ascii="Times New Roman" w:hAnsi="Times New Roman" w:eastAsia="Times New Roman" w:cs="Times New Roman"/>
          <w:color w:val="000000"/>
          <w:sz w:val="30"/>
          <w:szCs w:val="30"/>
        </w:rPr>
      </w:pPr>
      <w:r>
        <w:rPr>
          <w:rFonts w:eastAsia="Times New Roman" w:cs="Times New Roman" w:ascii="Times New Roman" w:hAnsi="Times New Roman"/>
          <w:b w:val="false"/>
          <w:color w:val="000000"/>
          <w:sz w:val="30"/>
          <w:szCs w:val="30"/>
        </w:rPr>
        <w:t>Correlates of Substitution Rate Variation in a Robust Procellariiform Seabird Phylogeny</w:t>
      </w:r>
    </w:p>
    <w:p>
      <w:pPr>
        <w:pStyle w:val="LOnormal"/>
        <w:spacing w:lineRule="auto" w:line="48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before="0" w:after="10"/>
        <w:ind w:right="737"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Andrea Estandía, R. Terry Chesser, Helen F. James, Max A. Levy, Joan Ferrer Obiol, Vincent Bretagnolle, Jacob González-Solís, Andreanna J. Welch</w:t>
      </w:r>
    </w:p>
    <w:p>
      <w:pPr>
        <w:pStyle w:val="LOnormal"/>
        <w:spacing w:before="0" w:after="10"/>
        <w:ind w:left="737" w:right="737"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LOnormal"/>
        <w:spacing w:lineRule="auto" w:line="480" w:before="0" w:after="10"/>
        <w:ind w:right="283"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LOnormal"/>
        <w:spacing w:lineRule="auto" w:line="480" w:before="0" w:after="10"/>
        <w:ind w:right="283"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This pdf file includes:</w:t>
      </w:r>
    </w:p>
    <w:p>
      <w:pPr>
        <w:pStyle w:val="LOnormal"/>
        <w:spacing w:lineRule="auto" w:line="480" w:before="0" w:after="10"/>
        <w:ind w:left="850" w:right="283" w:hanging="0"/>
        <w:rPr/>
      </w:pPr>
      <w:r>
        <w:rPr>
          <w:rFonts w:eastAsia="Times New Roman" w:cs="Times New Roman" w:ascii="Times New Roman" w:hAnsi="Times New Roman"/>
          <w:b/>
          <w:color w:val="000000"/>
          <w:sz w:val="24"/>
          <w:szCs w:val="24"/>
        </w:rPr>
        <w:tab/>
      </w:r>
      <w:r>
        <w:rPr>
          <w:rFonts w:eastAsia="Times New Roman" w:cs="Times New Roman" w:ascii="Times New Roman" w:hAnsi="Times New Roman"/>
          <w:color w:val="000000"/>
          <w:sz w:val="24"/>
          <w:szCs w:val="24"/>
        </w:rPr>
        <w:t>Supplementary Information Text</w:t>
      </w:r>
    </w:p>
    <w:p>
      <w:pPr>
        <w:pStyle w:val="LOnormal"/>
        <w:spacing w:lineRule="auto" w:line="480" w:before="0" w:after="10"/>
        <w:ind w:left="850" w:right="283"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b/>
        <w:t>Figures S1-S</w:t>
      </w:r>
      <w:r>
        <w:rPr>
          <w:rFonts w:eastAsia="Times New Roman" w:cs="Times New Roman" w:ascii="Times New Roman" w:hAnsi="Times New Roman"/>
          <w:color w:val="000000"/>
          <w:sz w:val="24"/>
          <w:szCs w:val="24"/>
        </w:rPr>
        <w:t>7</w:t>
      </w:r>
    </w:p>
    <w:p>
      <w:pPr>
        <w:pStyle w:val="LOnormal"/>
        <w:spacing w:lineRule="auto" w:line="480" w:before="0" w:after="10"/>
        <w:ind w:right="282" w:hanging="0"/>
        <w:rPr>
          <w:color w:val="000000"/>
          <w:sz w:val="24"/>
          <w:szCs w:val="24"/>
        </w:rPr>
      </w:pPr>
      <w:r>
        <w:rPr>
          <w:color w:val="000000"/>
          <w:sz w:val="24"/>
          <w:szCs w:val="24"/>
        </w:rPr>
      </w:r>
    </w:p>
    <w:p>
      <w:pPr>
        <w:pStyle w:val="LOnormal"/>
        <w:spacing w:lineRule="auto" w:line="480" w:before="0" w:after="10"/>
        <w:ind w:right="282" w:hanging="0"/>
        <w:rPr>
          <w:color w:val="000000"/>
          <w:sz w:val="24"/>
          <w:szCs w:val="24"/>
        </w:rPr>
      </w:pPr>
      <w:r>
        <w:rPr>
          <w:color w:val="000000"/>
          <w:sz w:val="24"/>
          <w:szCs w:val="24"/>
        </w:rPr>
      </w:r>
    </w:p>
    <w:p>
      <w:pPr>
        <w:pStyle w:val="LOnormal"/>
        <w:spacing w:lineRule="auto" w:line="480" w:before="0" w:after="10"/>
        <w:ind w:right="282" w:hanging="0"/>
        <w:rPr>
          <w:color w:val="000000"/>
          <w:sz w:val="24"/>
          <w:szCs w:val="24"/>
        </w:rPr>
      </w:pPr>
      <w:r>
        <w:rPr>
          <w:color w:val="000000"/>
          <w:sz w:val="24"/>
          <w:szCs w:val="24"/>
        </w:rPr>
      </w:r>
    </w:p>
    <w:p>
      <w:pPr>
        <w:pStyle w:val="LOnormal"/>
        <w:spacing w:lineRule="auto" w:line="480" w:before="0" w:after="10"/>
        <w:ind w:right="282" w:hanging="0"/>
        <w:rPr>
          <w:color w:val="000000"/>
          <w:sz w:val="24"/>
          <w:szCs w:val="24"/>
        </w:rPr>
      </w:pPr>
      <w:r>
        <w:rPr>
          <w:color w:val="000000"/>
          <w:sz w:val="24"/>
          <w:szCs w:val="24"/>
        </w:rPr>
      </w:r>
    </w:p>
    <w:p>
      <w:pPr>
        <w:pStyle w:val="LOnormal"/>
        <w:spacing w:lineRule="auto" w:line="480" w:before="0" w:after="10"/>
        <w:ind w:right="282" w:hanging="0"/>
        <w:rPr>
          <w:color w:val="000000"/>
          <w:sz w:val="24"/>
          <w:szCs w:val="24"/>
        </w:rPr>
      </w:pPr>
      <w:r>
        <w:rPr>
          <w:color w:val="000000"/>
          <w:sz w:val="24"/>
          <w:szCs w:val="24"/>
        </w:rPr>
      </w:r>
    </w:p>
    <w:p>
      <w:pPr>
        <w:pStyle w:val="LOnormal"/>
        <w:spacing w:lineRule="auto" w:line="480" w:before="0" w:after="10"/>
        <w:ind w:right="282" w:hanging="0"/>
        <w:rPr>
          <w:color w:val="000000"/>
          <w:sz w:val="24"/>
          <w:szCs w:val="24"/>
        </w:rPr>
      </w:pPr>
      <w:r>
        <w:rPr>
          <w:color w:val="000000"/>
          <w:sz w:val="24"/>
          <w:szCs w:val="24"/>
        </w:rPr>
      </w:r>
    </w:p>
    <w:p>
      <w:pPr>
        <w:pStyle w:val="LOnormal"/>
        <w:spacing w:lineRule="auto" w:line="480" w:before="0" w:after="10"/>
        <w:ind w:right="282" w:hanging="0"/>
        <w:rPr>
          <w:color w:val="000000"/>
          <w:sz w:val="24"/>
          <w:szCs w:val="24"/>
        </w:rPr>
      </w:pPr>
      <w:r>
        <w:rPr>
          <w:color w:val="000000"/>
          <w:sz w:val="24"/>
          <w:szCs w:val="24"/>
        </w:rPr>
      </w:r>
    </w:p>
    <w:p>
      <w:pPr>
        <w:pStyle w:val="LOnormal"/>
        <w:spacing w:lineRule="auto" w:line="480" w:before="0" w:after="10"/>
        <w:ind w:right="282" w:hanging="0"/>
        <w:rPr>
          <w:color w:val="000000"/>
          <w:sz w:val="24"/>
          <w:szCs w:val="24"/>
        </w:rPr>
      </w:pPr>
      <w:r>
        <w:rPr>
          <w:color w:val="000000"/>
          <w:sz w:val="24"/>
          <w:szCs w:val="24"/>
        </w:rPr>
      </w:r>
    </w:p>
    <w:p>
      <w:pPr>
        <w:pStyle w:val="LOnormal"/>
        <w:spacing w:lineRule="auto" w:line="480" w:before="0" w:after="10"/>
        <w:ind w:right="282" w:hanging="0"/>
        <w:rPr>
          <w:color w:val="000000"/>
          <w:sz w:val="24"/>
          <w:szCs w:val="24"/>
        </w:rPr>
      </w:pPr>
      <w:r>
        <w:rPr>
          <w:color w:val="000000"/>
          <w:sz w:val="24"/>
          <w:szCs w:val="24"/>
        </w:rPr>
      </w:r>
    </w:p>
    <w:p>
      <w:pPr>
        <w:pStyle w:val="LOnormal"/>
        <w:spacing w:lineRule="auto" w:line="480" w:before="0" w:after="10"/>
        <w:ind w:right="282" w:hanging="0"/>
        <w:rPr>
          <w:color w:val="000000"/>
          <w:sz w:val="24"/>
          <w:szCs w:val="24"/>
        </w:rPr>
      </w:pPr>
      <w:r>
        <w:rPr>
          <w:color w:val="000000"/>
          <w:sz w:val="24"/>
          <w:szCs w:val="24"/>
        </w:rPr>
      </w:r>
    </w:p>
    <w:p>
      <w:pPr>
        <w:pStyle w:val="LOnormal"/>
        <w:spacing w:lineRule="auto" w:line="480" w:before="0" w:after="10"/>
        <w:ind w:right="282" w:hanging="0"/>
        <w:rPr>
          <w:color w:val="000000"/>
          <w:sz w:val="24"/>
          <w:szCs w:val="24"/>
        </w:rPr>
      </w:pPr>
      <w:r>
        <w:rPr>
          <w:color w:val="000000"/>
          <w:sz w:val="24"/>
          <w:szCs w:val="24"/>
        </w:rPr>
      </w:r>
    </w:p>
    <w:p>
      <w:pPr>
        <w:pStyle w:val="LOnormal"/>
        <w:spacing w:lineRule="auto" w:line="480" w:before="0" w:after="10"/>
        <w:ind w:right="282" w:hanging="0"/>
        <w:rPr>
          <w:color w:val="000000"/>
          <w:sz w:val="24"/>
          <w:szCs w:val="24"/>
        </w:rPr>
      </w:pPr>
      <w:r>
        <w:rPr>
          <w:color w:val="000000"/>
          <w:sz w:val="24"/>
          <w:szCs w:val="24"/>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rFonts w:ascii="Arial" w:hAnsi="Arial" w:eastAsia="Arial" w:cs="Arial"/>
          <w:color w:val="000000"/>
          <w:kern w:val="0"/>
        </w:rPr>
      </w:pPr>
      <w:r>
        <w:rPr>
          <w:rFonts w:eastAsia="Times New Roman" w:cs="Times New Roman" w:ascii="Times New Roman" w:hAnsi="Times New Roman"/>
          <w:b/>
          <w:color w:val="000000"/>
          <w:sz w:val="26"/>
          <w:szCs w:val="26"/>
        </w:rPr>
        <w:t>SUPPLEMENTARY INFORMATION TEXT</w:t>
      </w:r>
    </w:p>
    <w:p>
      <w:pPr>
        <w:pStyle w:val="Normal"/>
        <w:rPr>
          <w:b/>
          <w:b/>
        </w:rPr>
      </w:pPr>
      <w:r>
        <w:rPr>
          <w:b/>
        </w:rPr>
      </w:r>
    </w:p>
    <w:p>
      <w:pPr>
        <w:pStyle w:val="Normal"/>
        <w:rPr>
          <w:sz w:val="28"/>
          <w:szCs w:val="28"/>
        </w:rPr>
      </w:pPr>
      <w:r>
        <w:rPr>
          <w:b/>
          <w:sz w:val="28"/>
          <w:szCs w:val="28"/>
        </w:rPr>
        <w:t>Fossil calibration</w:t>
      </w:r>
    </w:p>
    <w:p>
      <w:pPr>
        <w:pStyle w:val="Normal"/>
        <w:jc w:val="both"/>
        <w:rPr/>
      </w:pPr>
      <w:r>
        <w:rPr/>
      </w:r>
    </w:p>
    <w:p>
      <w:pPr>
        <w:pStyle w:val="Normal"/>
        <w:jc w:val="both"/>
        <w:rPr>
          <w:b/>
          <w:b/>
        </w:rPr>
      </w:pPr>
      <w:r>
        <w:rPr>
          <w:b/>
        </w:rPr>
        <w:t>Node between Sphenisciformes/Procellariiformes</w:t>
      </w:r>
    </w:p>
    <w:p>
      <w:pPr>
        <w:pStyle w:val="Normal"/>
        <w:jc w:val="both"/>
        <w:rPr>
          <w:b/>
          <w:b/>
        </w:rPr>
      </w:pPr>
      <w:r>
        <w:rPr>
          <w:b/>
        </w:rPr>
      </w:r>
    </w:p>
    <w:p>
      <w:pPr>
        <w:pStyle w:val="Normal"/>
        <w:jc w:val="both"/>
        <w:rPr/>
      </w:pPr>
      <w:r>
        <w:rPr>
          <w:b/>
        </w:rPr>
        <w:t xml:space="preserve">Minimum age: </w:t>
      </w:r>
      <w:r>
        <w:rPr/>
        <w:t>60.5 Ma</w:t>
      </w:r>
    </w:p>
    <w:p>
      <w:pPr>
        <w:pStyle w:val="Normal"/>
        <w:jc w:val="both"/>
        <w:rPr>
          <w:b/>
          <w:b/>
          <w:bCs/>
        </w:rPr>
      </w:pPr>
      <w:r>
        <w:rPr>
          <w:b/>
          <w:bCs/>
        </w:rPr>
        <w:t xml:space="preserve">Calibration: </w:t>
      </w:r>
      <w:r>
        <w:rPr>
          <w:b w:val="false"/>
          <w:bCs w:val="false"/>
        </w:rPr>
        <w:t>Lognormal distribution, offset 60.5 Ma, mean 2, S 1.5</w:t>
      </w:r>
      <w:r>
        <w:rPr>
          <w:b/>
          <w:bCs/>
        </w:rPr>
        <w:t xml:space="preserve"> </w:t>
      </w:r>
      <w:r>
        <w:rPr>
          <w:b w:val="false"/>
          <w:bCs w:val="false"/>
        </w:rPr>
        <w:t>(see supplementary_material/xml/random.xml)</w:t>
      </w:r>
    </w:p>
    <w:p>
      <w:pPr>
        <w:pStyle w:val="Normal"/>
        <w:jc w:val="both"/>
        <w:rPr/>
      </w:pPr>
      <w:r>
        <w:rPr>
          <w:b/>
        </w:rPr>
        <w:t xml:space="preserve">Taxon and specimen: </w:t>
      </w:r>
      <w:r>
        <w:rPr>
          <w:i/>
        </w:rPr>
        <w:t>Waimanu manneringi</w:t>
      </w:r>
      <w:r>
        <w:rPr/>
        <w:t xml:space="preserve"> (Slack et al. 2006); CM zfa35 (Canterbury Museum, Christchurch, New Zealand), holotype comprising thoracic vertebrae, caudal vertebrae, pelvis, femur, tibiotarsus, and tarsometatarsus. </w:t>
      </w:r>
    </w:p>
    <w:p>
      <w:pPr>
        <w:pStyle w:val="Normal"/>
        <w:jc w:val="both"/>
        <w:rPr>
          <w:b/>
          <w:b/>
        </w:rPr>
      </w:pPr>
      <w:r>
        <w:rPr>
          <w:b/>
        </w:rPr>
        <w:t>Locality:</w:t>
      </w:r>
      <w:r>
        <w:rPr>
          <w:rFonts w:eastAsia="Times New Roman" w:ascii="Times" w:hAnsi="Times"/>
          <w:color w:val="2A2A2A"/>
          <w:sz w:val="23"/>
          <w:szCs w:val="23"/>
          <w:shd w:fill="FFFFFF" w:val="clear"/>
        </w:rPr>
        <w:t xml:space="preserve"> </w:t>
      </w:r>
      <w:r>
        <w:rPr/>
        <w:t>Basal Waipara Greensand, Waipara River, New Zealand.</w:t>
      </w:r>
    </w:p>
    <w:p>
      <w:pPr>
        <w:pStyle w:val="Normal"/>
        <w:jc w:val="both"/>
        <w:rPr>
          <w:b/>
          <w:b/>
        </w:rPr>
      </w:pPr>
      <w:r>
        <w:rPr>
          <w:b/>
        </w:rPr>
        <w:t xml:space="preserve">Phylogenetic justification: </w:t>
      </w:r>
      <w:r>
        <w:rPr>
          <w:i/>
        </w:rPr>
        <w:t>Waimanu</w:t>
      </w:r>
      <w:r>
        <w:rPr/>
        <w:t xml:space="preserve"> has been resolved as the basal penguin taxon using morphological data (Slack et al. 2006), as well as combined morphological and molecular datasets (Ksepka et al. 2006, Clarke et al. 2007).</w:t>
      </w:r>
      <w:r>
        <w:rPr>
          <w:b/>
        </w:rPr>
        <w:t xml:space="preserve"> </w:t>
      </w:r>
      <w:r>
        <w:rPr/>
        <w:t xml:space="preserve">Morphological and molecular phylogenies agree on the monophyly of Sphenisciformes and Procellariiformes (Livezey &amp; Zusi 2007, Prum et al. 2015). </w:t>
      </w:r>
      <w:r>
        <w:rPr>
          <w:i/>
        </w:rPr>
        <w:t>Waimanu manneringi</w:t>
      </w:r>
      <w:r>
        <w:rPr>
          <w:b/>
        </w:rPr>
        <w:t xml:space="preserve"> </w:t>
      </w:r>
      <w:r>
        <w:rPr/>
        <w:t>was</w:t>
      </w:r>
      <w:r>
        <w:rPr>
          <w:b/>
        </w:rPr>
        <w:t xml:space="preserve"> </w:t>
      </w:r>
      <w:r>
        <w:rPr/>
        <w:t xml:space="preserve">previously used by Prum et al. (2015) to calibrate Sphenisiciformes, and see Ksepka &amp; Clarke (2015) for a review of the utility of this fossil as a robust calibration point. </w:t>
      </w:r>
    </w:p>
    <w:p>
      <w:pPr>
        <w:pStyle w:val="Normal"/>
        <w:jc w:val="both"/>
        <w:rPr/>
      </w:pPr>
      <w:r>
        <w:rPr>
          <w:b/>
        </w:rPr>
        <w:t>Age justification:</w:t>
      </w:r>
      <w:r>
        <w:rPr/>
        <w:t xml:space="preserve"> The top of the Waipara Greensand marks the Paleocene-Eocene boundary, and calcareous nanofossils further constrain age of this fossil to 60.5-61.6 Ma (Cooper 2004, Slack et al. 2006, Ksepka &amp; Clarke 2015). The younger species </w:t>
      </w:r>
      <w:r>
        <w:rPr>
          <w:i/>
        </w:rPr>
        <w:t>Waimanu tuatahi</w:t>
      </w:r>
      <w:r>
        <w:rPr/>
        <w:t xml:space="preserve"> dated to ~58-60 Ma is represented by multiple specimens that overall comprise almost a complete skeleton (Slack et al. 2006), providing further evidence of the presence of Sphenisciformes in the Paleocene after this time. </w:t>
      </w:r>
    </w:p>
    <w:p>
      <w:pPr>
        <w:pStyle w:val="Normal"/>
        <w:jc w:val="both"/>
        <w:rPr>
          <w:rFonts w:eastAsia="Times New Roman"/>
          <w:b/>
          <w:b/>
          <w:bCs/>
        </w:rPr>
      </w:pPr>
      <w:r>
        <w:rPr>
          <w:rFonts w:eastAsia="Times New Roman"/>
          <w:b/>
          <w:bCs/>
        </w:rPr>
      </w:r>
    </w:p>
    <w:p>
      <w:pPr>
        <w:pStyle w:val="Normal"/>
        <w:jc w:val="both"/>
        <w:rPr>
          <w:rFonts w:eastAsia="Times New Roman"/>
          <w:b/>
          <w:b/>
          <w:bCs/>
          <w:lang w:val="nl-NL"/>
        </w:rPr>
      </w:pPr>
      <w:r>
        <w:rPr>
          <w:rFonts w:eastAsia="Times New Roman"/>
          <w:b/>
          <w:bCs/>
          <w:lang w:val="nl-NL"/>
        </w:rPr>
        <w:t>References</w:t>
      </w:r>
    </w:p>
    <w:p>
      <w:pPr>
        <w:pStyle w:val="Normal"/>
        <w:jc w:val="both"/>
        <w:rPr>
          <w:rFonts w:eastAsia="Times New Roman"/>
          <w:lang w:val="nl-NL"/>
        </w:rPr>
      </w:pPr>
      <w:r>
        <w:rPr>
          <w:rFonts w:eastAsia="Times New Roman"/>
          <w:lang w:val="nl-NL"/>
        </w:rPr>
      </w:r>
    </w:p>
    <w:p>
      <w:pPr>
        <w:pStyle w:val="Normal"/>
        <w:jc w:val="both"/>
        <w:rPr>
          <w:rFonts w:eastAsia="Times New Roman"/>
          <w:i/>
          <w:i/>
        </w:rPr>
      </w:pPr>
      <w:r>
        <w:rPr>
          <w:rFonts w:eastAsia="Times New Roman"/>
        </w:rPr>
        <w:t>Clarke, J. A. et al. Paleogene equatorial penguins challenge the proposed relationship between biogeography, diversity, and Cenozoic climate change. Proceedings of the National Academy of Sciences 104, 11545 (2007).</w:t>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t xml:space="preserve">Cooper, R.A. 2004. </w:t>
      </w:r>
      <w:r>
        <w:rPr>
          <w:rFonts w:eastAsia="Times New Roman"/>
          <w:i/>
          <w:iCs/>
        </w:rPr>
        <w:t>The New Zealand Geological Timescale</w:t>
      </w:r>
      <w:r>
        <w:rPr>
          <w:rFonts w:eastAsia="Times New Roman"/>
        </w:rPr>
        <w:t xml:space="preserve">. Institute of Geological and Nuclear Sciences, Lower Hutt. </w:t>
      </w:r>
    </w:p>
    <w:p>
      <w:pPr>
        <w:pStyle w:val="NoSpacing"/>
        <w:rPr/>
      </w:pPr>
      <w:r>
        <w:rPr/>
      </w:r>
    </w:p>
    <w:p>
      <w:pPr>
        <w:pStyle w:val="NoSpacing"/>
        <w:rPr>
          <w:rFonts w:ascii="Times" w:hAnsi="Times" w:cs="Times"/>
        </w:rPr>
      </w:pPr>
      <w:r>
        <w:rPr/>
        <w:t xml:space="preserve">Ksepka, D.T. and Clarke, J.A. The basal penguin (Aves: Sphenisciformes) </w:t>
      </w:r>
      <w:r>
        <w:rPr>
          <w:i/>
          <w:iCs/>
        </w:rPr>
        <w:t xml:space="preserve">Perudyptes devriesi </w:t>
      </w:r>
      <w:r>
        <w:rPr/>
        <w:t xml:space="preserve">and a phylogenetic evaluation of the penguin fossil record. </w:t>
      </w:r>
      <w:r>
        <w:rPr>
          <w:i w:val="false"/>
          <w:iCs w:val="false"/>
        </w:rPr>
        <w:t>Bulletin of the American Museum of Natural History,</w:t>
      </w:r>
      <w:r>
        <w:rPr/>
        <w:t xml:space="preserve"> 337:1-77 (2010)</w:t>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t>Ksepka, D. T. &amp; Clarke, J. Phylogenetically vetted and stratigraphically constrained fossil calibrations within Aves. Palaeontologia Electronica 18.1.3FC, 1-25 (2015).</w:t>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t>Ksepka, D. T., Bertelli, S. &amp; Giannini, N. P. The phylogeny of the living and fossil Sphenisciformes (penguins). Cladistics 22, 412-441 (2006).</w:t>
      </w:r>
    </w:p>
    <w:p>
      <w:pPr>
        <w:pStyle w:val="NoSpacing"/>
        <w:rPr/>
      </w:pPr>
      <w:r>
        <w:rPr/>
      </w:r>
    </w:p>
    <w:p>
      <w:pPr>
        <w:pStyle w:val="NoSpacing"/>
        <w:jc w:val="both"/>
        <w:rPr/>
      </w:pPr>
      <w:r>
        <w:rPr/>
        <w:t xml:space="preserve">Kuroda, N. (1954). </w:t>
      </w:r>
      <w:r>
        <w:rPr>
          <w:i/>
          <w:iCs/>
        </w:rPr>
        <w:t xml:space="preserve">On the classification and phylogeny of the order tubinares, particularly the shearwaters </w:t>
      </w:r>
      <w:r>
        <w:rPr/>
        <w:t>(</w:t>
      </w:r>
      <w:r>
        <w:rPr>
          <w:i/>
          <w:iCs/>
        </w:rPr>
        <w:t>Puffinus</w:t>
      </w:r>
      <w:r>
        <w:rPr/>
        <w:t xml:space="preserve">). Tokyo: N. Kuroda. 179 pp. </w:t>
      </w:r>
    </w:p>
    <w:p>
      <w:pPr>
        <w:pStyle w:val="NoSpacing"/>
        <w:jc w:val="both"/>
        <w:rPr/>
      </w:pPr>
      <w:r>
        <w:rPr/>
      </w:r>
    </w:p>
    <w:p>
      <w:pPr>
        <w:pStyle w:val="Normal"/>
        <w:jc w:val="both"/>
        <w:rPr/>
      </w:pPr>
      <w:r>
        <w:rPr/>
        <w:t xml:space="preserve">Livezey, B.C. and Zusi, R.L. 2007. Higher-order phylogeny of modern birds (Theropoda, Aves: Neornithes) based on comparative anatomy: II. Analysis and discussion. </w:t>
      </w:r>
      <w:r>
        <w:rPr>
          <w:i/>
          <w:iCs/>
        </w:rPr>
        <w:t>Zoological Journal of the Linnean Society</w:t>
      </w:r>
      <w:r>
        <w:rPr/>
        <w:t xml:space="preserve">, 149:1-95. </w:t>
      </w:r>
    </w:p>
    <w:p>
      <w:pPr>
        <w:pStyle w:val="NoSpacing"/>
        <w:jc w:val="both"/>
        <w:rPr>
          <w:bCs/>
        </w:rPr>
      </w:pPr>
      <w:r>
        <w:rPr>
          <w:bCs/>
        </w:rPr>
      </w:r>
    </w:p>
    <w:p>
      <w:pPr>
        <w:pStyle w:val="NoSpacing"/>
        <w:rPr>
          <w:lang w:val="it-IT"/>
        </w:rPr>
      </w:pPr>
      <w:r>
        <w:rPr>
          <w:bCs/>
        </w:rPr>
        <w:t>Olson SL.</w:t>
      </w:r>
      <w:r>
        <w:rPr/>
        <w:t xml:space="preserve">The fossil record of birds. In: Farner DS, King JR, Parkes KC, eds. </w:t>
      </w:r>
      <w:r>
        <w:rPr>
          <w:i/>
          <w:iCs/>
        </w:rPr>
        <w:t>Avian biology</w:t>
      </w:r>
      <w:r>
        <w:rPr/>
        <w:t>, Vol. 8. New York: Academic Press, 79–238 (1985)</w:t>
      </w:r>
      <w:r>
        <w:rPr>
          <w:rFonts w:eastAsia="MS Mincho" w:cs="MS Mincho" w:ascii="MS Mincho" w:hAnsi="MS Mincho"/>
        </w:rPr>
        <w:t> </w:t>
      </w:r>
    </w:p>
    <w:p>
      <w:pPr>
        <w:pStyle w:val="NoSpacing"/>
        <w:jc w:val="both"/>
        <w:rPr>
          <w:lang w:val="it-IT"/>
        </w:rPr>
      </w:pPr>
      <w:r>
        <w:rPr>
          <w:lang w:val="it-IT"/>
        </w:rPr>
      </w:r>
    </w:p>
    <w:p>
      <w:pPr>
        <w:pStyle w:val="Normal"/>
        <w:rPr>
          <w:rFonts w:eastAsia="Times New Roman"/>
        </w:rPr>
      </w:pPr>
      <w:r>
        <w:rPr>
          <w:rFonts w:eastAsia="Times New Roman"/>
          <w:lang w:val="it-IT"/>
        </w:rPr>
        <w:t xml:space="preserve">Parham, J. F. et al. </w:t>
      </w:r>
      <w:r>
        <w:rPr>
          <w:rFonts w:eastAsia="Times New Roman"/>
        </w:rPr>
        <w:t xml:space="preserve">(2012) Best Practices for Justifying Fossil Calibrations. Systematic Biology. 61:346-359. </w:t>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t xml:space="preserve">Prum, R.O. et al. (2015) A comprehensive phylogeny of birds (Aves) using targeted next-generation DNA sequencing. </w:t>
      </w:r>
      <w:r>
        <w:rPr>
          <w:rFonts w:eastAsia="Times New Roman"/>
          <w:i/>
          <w:iCs/>
        </w:rPr>
        <w:t>Nature</w:t>
      </w:r>
      <w:r>
        <w:rPr>
          <w:rFonts w:eastAsia="Times New Roman"/>
        </w:rPr>
        <w:t xml:space="preserve">. </w:t>
      </w:r>
      <w:r>
        <w:rPr>
          <w:rFonts w:eastAsia="Times New Roman"/>
          <w:b/>
          <w:bCs/>
        </w:rPr>
        <w:t>526</w:t>
      </w:r>
      <w:r>
        <w:rPr>
          <w:rFonts w:eastAsia="Times New Roman"/>
        </w:rPr>
        <w:t xml:space="preserve">: 569–73. </w:t>
      </w:r>
    </w:p>
    <w:p>
      <w:pPr>
        <w:pStyle w:val="Normal"/>
        <w:jc w:val="both"/>
        <w:rPr>
          <w:rFonts w:eastAsia="Times New Roman"/>
        </w:rPr>
      </w:pPr>
      <w:r>
        <w:rPr>
          <w:rFonts w:eastAsia="Times New Roman"/>
        </w:rPr>
      </w:r>
    </w:p>
    <w:p>
      <w:pPr>
        <w:pStyle w:val="Normal"/>
        <w:jc w:val="both"/>
        <w:rPr>
          <w:rFonts w:eastAsia="Times New Roman"/>
        </w:rPr>
      </w:pPr>
      <w:r>
        <w:rPr>
          <w:rFonts w:eastAsia="Times New Roman"/>
        </w:rPr>
        <w:t>Slack, K. E. et al. Early penguin fossils, plus mitochondrial genomes, calibrate avian evolution. Molecular Biolology and Evolution 23, 1144-1155 (2006).</w:t>
      </w:r>
    </w:p>
    <w:p>
      <w:pPr>
        <w:pStyle w:val="NoSpacing"/>
        <w:rPr/>
      </w:pPr>
      <w:r>
        <w:rPr/>
      </w:r>
    </w:p>
    <w:p>
      <w:pPr>
        <w:pStyle w:val="TextBody"/>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TextBody"/>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TextBody"/>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TextBody"/>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TextBody"/>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TextBody"/>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TextBody"/>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TextBody"/>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LOnormal"/>
        <w:spacing w:lineRule="auto" w:line="480"/>
        <w:rPr/>
      </w:pPr>
      <w:r>
        <w:rPr/>
        <w:drawing>
          <wp:inline distT="0" distB="0" distL="0" distR="0">
            <wp:extent cx="6716395" cy="6727825"/>
            <wp:effectExtent l="0" t="0" r="0" b="0"/>
            <wp:docPr id="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png" descr=""/>
                    <pic:cNvPicPr>
                      <a:picLocks noChangeAspect="1" noChangeArrowheads="1"/>
                    </pic:cNvPicPr>
                  </pic:nvPicPr>
                  <pic:blipFill>
                    <a:blip r:embed="rId2"/>
                    <a:stretch>
                      <a:fillRect/>
                    </a:stretch>
                  </pic:blipFill>
                  <pic:spPr bwMode="auto">
                    <a:xfrm>
                      <a:off x="0" y="0"/>
                      <a:ext cx="6716395" cy="6727825"/>
                    </a:xfrm>
                    <a:prstGeom prst="rect">
                      <a:avLst/>
                    </a:prstGeom>
                  </pic:spPr>
                </pic:pic>
              </a:graphicData>
            </a:graphic>
          </wp:inline>
        </w:drawing>
      </w:r>
    </w:p>
    <w:p>
      <w:pPr>
        <w:pStyle w:val="LOnormal"/>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LOnormal"/>
        <w:spacing w:lineRule="auto" w:line="48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sectPr>
          <w:footerReference w:type="default" r:id="rId3"/>
          <w:type w:val="nextPage"/>
          <w:pgSz w:w="11906" w:h="16838"/>
          <w:pgMar w:left="1417" w:right="1417" w:header="0" w:top="1417" w:footer="1417" w:bottom="1692" w:gutter="0"/>
          <w:pgNumType w:fmt="decimal"/>
          <w:formProt w:val="false"/>
          <w:textDirection w:val="lrTb"/>
          <w:docGrid w:type="default" w:linePitch="100" w:charSpace="0"/>
        </w:sectPr>
        <w:pStyle w:val="LOnormal"/>
        <w:spacing w:lineRule="auto" w:line="240" w:before="0" w:after="10"/>
        <w:rPr>
          <w:rFonts w:ascii="Times New Roman" w:hAnsi="Times New Roman" w:eastAsia="Times New Roman" w:cs="Times New Roman"/>
          <w:color w:val="000000"/>
          <w:sz w:val="24"/>
          <w:szCs w:val="24"/>
        </w:rPr>
      </w:pPr>
      <w:r>
        <w:rPr>
          <w:rFonts w:eastAsia="Times New Roman" w:cs="Times New Roman" w:ascii="Times New Roman" w:hAnsi="Times New Roman"/>
          <w:b/>
          <w:bCs/>
          <w:color w:val="000000"/>
          <w:sz w:val="24"/>
          <w:szCs w:val="24"/>
        </w:rPr>
        <w:t xml:space="preserve">Figure S1. </w:t>
      </w:r>
      <w:r>
        <w:rPr>
          <w:rFonts w:eastAsia="Times New Roman" w:cs="Times New Roman" w:ascii="Times New Roman" w:hAnsi="Times New Roman"/>
          <w:color w:val="000000"/>
          <w:sz w:val="24"/>
          <w:szCs w:val="24"/>
        </w:rPr>
        <w:t>Most relevant previously published phylogenetic relationships among the main procellariiform lineages according to (a) Nunn and Stanley 1998, (b) Kennedy and Page 2002 (c) Hackett et al. 2008 and (d) Prum et al. 2015 and Reddy et al. 2017.</w:t>
      </w:r>
    </w:p>
    <w:p>
      <w:pPr>
        <w:pStyle w:val="TextBody"/>
        <w:spacing w:before="61" w:after="0"/>
        <w:ind w:left="780" w:right="799" w:firstLine="720"/>
        <w:rPr>
          <w:b/>
          <w:b/>
          <w:bCs/>
          <w:color w:val="000000"/>
        </w:rPr>
      </w:pPr>
      <w:r>
        <w:rPr>
          <w:b/>
          <w:bCs/>
          <w:color w:val="000000"/>
        </w:rPr>
        <w:drawing>
          <wp:anchor behindDoc="1" distT="0" distB="0" distL="0" distR="0" simplePos="0" locked="0" layoutInCell="1" allowOverlap="1" relativeHeight="2">
            <wp:simplePos x="0" y="0"/>
            <wp:positionH relativeFrom="column">
              <wp:posOffset>457200</wp:posOffset>
            </wp:positionH>
            <wp:positionV relativeFrom="paragraph">
              <wp:posOffset>-114300</wp:posOffset>
            </wp:positionV>
            <wp:extent cx="5720080" cy="6609080"/>
            <wp:effectExtent l="0" t="0" r="0" b="0"/>
            <wp:wrapTopAndBottom/>
            <wp:docPr id="2"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7.png" descr=""/>
                    <pic:cNvPicPr>
                      <a:picLocks noChangeAspect="1" noChangeArrowheads="1"/>
                    </pic:cNvPicPr>
                  </pic:nvPicPr>
                  <pic:blipFill>
                    <a:blip r:embed="rId4"/>
                    <a:stretch>
                      <a:fillRect/>
                    </a:stretch>
                  </pic:blipFill>
                  <pic:spPr bwMode="auto">
                    <a:xfrm>
                      <a:off x="0" y="0"/>
                      <a:ext cx="5720080" cy="6609080"/>
                    </a:xfrm>
                    <a:prstGeom prst="rect">
                      <a:avLst/>
                    </a:prstGeom>
                  </pic:spPr>
                </pic:pic>
              </a:graphicData>
            </a:graphic>
          </wp:anchor>
        </w:drawing>
      </w:r>
    </w:p>
    <w:p>
      <w:pPr>
        <w:sectPr>
          <w:footerReference w:type="default" r:id="rId5"/>
          <w:type w:val="nextPage"/>
          <w:pgSz w:w="11906" w:h="16838"/>
          <w:pgMar w:left="660" w:right="680" w:header="0" w:top="1360" w:footer="745" w:bottom="1020" w:gutter="0"/>
          <w:pgNumType w:fmt="decimal"/>
          <w:formProt w:val="false"/>
          <w:textDirection w:val="lrTb"/>
          <w:docGrid w:type="default" w:linePitch="100" w:charSpace="0"/>
        </w:sectPr>
        <w:pStyle w:val="TextBody"/>
        <w:spacing w:lineRule="auto" w:line="240" w:before="61" w:after="0"/>
        <w:ind w:left="778" w:right="792" w:hanging="0"/>
        <w:rPr>
          <w:rFonts w:ascii="Times New Roman" w:hAnsi="Times New Roman" w:eastAsia="Times New Roman" w:cs="Times New Roman"/>
          <w:color w:val="000000"/>
        </w:rPr>
      </w:pPr>
      <w:r>
        <w:rPr>
          <w:b/>
          <w:bCs/>
          <w:color w:val="000000"/>
        </w:rPr>
        <w:t xml:space="preserve">Figure S2. </w:t>
      </w:r>
      <w:r>
        <w:rPr>
          <w:bCs/>
          <w:color w:val="000000"/>
        </w:rPr>
        <w:t>Topology resulting from</w:t>
      </w:r>
      <w:r>
        <w:rPr>
          <w:b/>
          <w:bCs/>
          <w:color w:val="000000"/>
        </w:rPr>
        <w:t xml:space="preserve"> </w:t>
      </w:r>
      <w:r>
        <w:rPr>
          <w:color w:val="000000"/>
        </w:rPr>
        <w:t>IQ-tree. All nodes are supported by values of 100, except where indicated.</w:t>
      </w:r>
    </w:p>
    <w:p>
      <w:pPr>
        <w:pStyle w:val="TextBody"/>
        <w:ind w:left="820" w:hanging="0"/>
        <w:rPr>
          <w:rFonts w:ascii="Times New Roman" w:hAnsi="Times New Roman" w:eastAsia="Times New Roman" w:cs="Times New Roman"/>
          <w:color w:val="000000"/>
        </w:rPr>
      </w:pPr>
      <w:r>
        <w:rPr/>
        <w:drawing>
          <wp:inline distT="0" distB="0" distL="0" distR="0">
            <wp:extent cx="5358765" cy="6496050"/>
            <wp:effectExtent l="0" t="0" r="0" b="0"/>
            <wp:docPr id="3" name="image1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8.jpeg" descr=""/>
                    <pic:cNvPicPr>
                      <a:picLocks noChangeAspect="1" noChangeArrowheads="1"/>
                    </pic:cNvPicPr>
                  </pic:nvPicPr>
                  <pic:blipFill>
                    <a:blip r:embed="rId6"/>
                    <a:stretch>
                      <a:fillRect/>
                    </a:stretch>
                  </pic:blipFill>
                  <pic:spPr bwMode="auto">
                    <a:xfrm>
                      <a:off x="0" y="0"/>
                      <a:ext cx="5358765" cy="6496050"/>
                    </a:xfrm>
                    <a:prstGeom prst="rect">
                      <a:avLst/>
                    </a:prstGeom>
                  </pic:spPr>
                </pic:pic>
              </a:graphicData>
            </a:graphic>
          </wp:inline>
        </w:drawing>
      </w:r>
    </w:p>
    <w:p>
      <w:pPr>
        <w:pStyle w:val="TextBody"/>
        <w:spacing w:lineRule="auto" w:line="240"/>
        <w:ind w:left="778" w:hanging="0"/>
        <w:rPr>
          <w:color w:val="000000"/>
        </w:rPr>
      </w:pPr>
      <w:r>
        <w:rPr>
          <w:b/>
          <w:bCs/>
          <w:color w:val="000000"/>
        </w:rPr>
        <w:t xml:space="preserve">Figure S3. </w:t>
      </w:r>
      <w:r>
        <w:rPr>
          <w:color w:val="000000"/>
        </w:rPr>
        <w:t>Species tree (ASTRAL-III). All nodes supported by values of 1 except for those indicated in the figure.</w:t>
      </w:r>
    </w:p>
    <w:p>
      <w:pPr>
        <w:pStyle w:val="TextBody"/>
        <w:ind w:left="780" w:hanging="0"/>
        <w:rPr>
          <w:color w:val="000000"/>
        </w:rPr>
      </w:pPr>
      <w:r>
        <w:rPr>
          <w:color w:val="000000"/>
        </w:rPr>
      </w:r>
    </w:p>
    <w:p>
      <w:pPr>
        <w:pStyle w:val="TextBody"/>
        <w:ind w:left="780" w:hanging="0"/>
        <w:rPr>
          <w:color w:val="000000"/>
        </w:rPr>
      </w:pPr>
      <w:r>
        <w:rPr>
          <w:color w:val="000000"/>
        </w:rPr>
      </w:r>
    </w:p>
    <w:p>
      <w:pPr>
        <w:pStyle w:val="TextBody"/>
        <w:ind w:left="780" w:hanging="0"/>
        <w:rPr>
          <w:color w:val="000000"/>
        </w:rPr>
      </w:pPr>
      <w:r>
        <w:rPr>
          <w:color w:val="000000"/>
        </w:rPr>
      </w:r>
    </w:p>
    <w:p>
      <w:pPr>
        <w:pStyle w:val="TextBody"/>
        <w:ind w:left="780" w:hanging="0"/>
        <w:rPr>
          <w:color w:val="000000"/>
        </w:rPr>
      </w:pPr>
      <w:r>
        <w:rPr>
          <w:color w:val="000000"/>
        </w:rPr>
      </w:r>
    </w:p>
    <w:p>
      <w:pPr>
        <w:pStyle w:val="TextBody"/>
        <w:ind w:left="780" w:hanging="0"/>
        <w:rPr>
          <w:color w:val="000000"/>
        </w:rPr>
      </w:pPr>
      <w:r>
        <w:rPr>
          <w:color w:val="000000"/>
        </w:rPr>
      </w:r>
    </w:p>
    <w:p>
      <w:pPr>
        <w:pStyle w:val="TextBody"/>
        <w:ind w:left="780" w:hanging="0"/>
        <w:rPr>
          <w:color w:val="000000"/>
        </w:rPr>
      </w:pPr>
      <w:r>
        <w:rPr>
          <w:color w:val="000000"/>
        </w:rPr>
      </w:r>
    </w:p>
    <w:p>
      <w:pPr>
        <w:pStyle w:val="TextBody"/>
        <w:ind w:left="780" w:hanging="0"/>
        <w:rPr>
          <w:color w:val="000000"/>
        </w:rPr>
      </w:pPr>
      <w:r>
        <w:rPr>
          <w:color w:val="000000"/>
        </w:rPr>
      </w:r>
    </w:p>
    <w:p>
      <w:pPr>
        <w:pStyle w:val="TextBody"/>
        <w:ind w:left="780" w:hanging="0"/>
        <w:rPr>
          <w:color w:val="000000"/>
        </w:rPr>
      </w:pPr>
      <w:r>
        <w:rPr>
          <w:color w:val="000000"/>
        </w:rPr>
        <w:drawing>
          <wp:anchor behindDoc="0" distT="0" distB="0" distL="114300" distR="114300" simplePos="0" locked="0" layoutInCell="1" allowOverlap="1" relativeHeight="3">
            <wp:simplePos x="0" y="0"/>
            <wp:positionH relativeFrom="margin">
              <wp:posOffset>-423545</wp:posOffset>
            </wp:positionH>
            <wp:positionV relativeFrom="page">
              <wp:posOffset>-13335</wp:posOffset>
            </wp:positionV>
            <wp:extent cx="7455535" cy="8627110"/>
            <wp:effectExtent l="0" t="0" r="0" b="0"/>
            <wp:wrapTopAndBottom/>
            <wp:docPr id="4" name="image1.png" descr="https://lh3.googleusercontent.com/KJ463KHRCZWHhPE8wAGiYJVb0acciJcss0IM8sNjsp6YK9Xxvu1AmyC8RSJGhT7zIRU05NaYwD7_ltGdXOakbfMfQxTHgIh2-MnCV6jrbmqfs2N85dugGu3LDg3wWKmptfr6MFy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descr="https://lh3.googleusercontent.com/KJ463KHRCZWHhPE8wAGiYJVb0acciJcss0IM8sNjsp6YK9Xxvu1AmyC8RSJGhT7zIRU05NaYwD7_ltGdXOakbfMfQxTHgIh2-MnCV6jrbmqfs2N85dugGu3LDg3wWKmptfr6MFyM"/>
                    <pic:cNvPicPr>
                      <a:picLocks noChangeAspect="1" noChangeArrowheads="1"/>
                    </pic:cNvPicPr>
                  </pic:nvPicPr>
                  <pic:blipFill>
                    <a:blip r:embed="rId7"/>
                    <a:srcRect l="0" t="0" r="0" b="5284"/>
                    <a:stretch>
                      <a:fillRect/>
                    </a:stretch>
                  </pic:blipFill>
                  <pic:spPr bwMode="auto">
                    <a:xfrm>
                      <a:off x="0" y="0"/>
                      <a:ext cx="7455535" cy="8627110"/>
                    </a:xfrm>
                    <a:prstGeom prst="rect">
                      <a:avLst/>
                    </a:prstGeom>
                  </pic:spPr>
                </pic:pic>
              </a:graphicData>
            </a:graphic>
          </wp:anchor>
        </w:drawing>
      </w:r>
    </w:p>
    <w:p>
      <w:pPr>
        <w:pStyle w:val="LOnormal"/>
        <w:spacing w:lineRule="auto" w:line="240" w:before="0" w:after="10"/>
        <w:ind w:left="778" w:hanging="0"/>
        <w:jc w:val="both"/>
        <w:rPr>
          <w:rFonts w:ascii="FreeSerif" w:hAnsi="FreeSerif" w:eastAsia="Times New Roman" w:cs="FreeSerif"/>
          <w:sz w:val="24"/>
          <w:szCs w:val="24"/>
        </w:rPr>
      </w:pPr>
      <w:r>
        <w:rPr>
          <w:rFonts w:eastAsia="Times New Roman" w:cs="FreeSerif" w:ascii="FreeSerif" w:hAnsi="FreeSerif"/>
          <w:b/>
          <w:bCs/>
          <w:sz w:val="24"/>
          <w:szCs w:val="24"/>
        </w:rPr>
        <w:t>Figure S4.</w:t>
      </w:r>
      <w:r>
        <w:rPr>
          <w:rFonts w:eastAsia="Times New Roman" w:cs="FreeSerif" w:ascii="FreeSerif" w:hAnsi="FreeSerif"/>
          <w:sz w:val="24"/>
          <w:szCs w:val="24"/>
        </w:rPr>
        <w:t xml:space="preserve"> Comparison between the BEAST phylogeny under a relaxed clock model (left) and a strict clock model (right). The topology remains the same, but note the differences in branch lengths, particularly the short branches within the Diomedeidae (</w:t>
      </w:r>
      <w:r>
        <w:rPr>
          <w:rFonts w:eastAsia="Times New Roman" w:cs="FreeSerif" w:ascii="FreeSerif" w:hAnsi="FreeSerif"/>
          <w:i/>
          <w:iCs/>
          <w:sz w:val="24"/>
          <w:szCs w:val="24"/>
        </w:rPr>
        <w:t>Thalassarche</w:t>
      </w:r>
      <w:r>
        <w:rPr>
          <w:rFonts w:eastAsia="Times New Roman" w:cs="FreeSerif" w:ascii="FreeSerif" w:hAnsi="FreeSerif"/>
          <w:sz w:val="24"/>
          <w:szCs w:val="24"/>
        </w:rPr>
        <w:t xml:space="preserve">, </w:t>
      </w:r>
      <w:r>
        <w:rPr>
          <w:rFonts w:eastAsia="Times New Roman" w:cs="FreeSerif" w:ascii="FreeSerif" w:hAnsi="FreeSerif"/>
          <w:i/>
          <w:iCs/>
          <w:sz w:val="24"/>
          <w:szCs w:val="24"/>
        </w:rPr>
        <w:t>Phoebetria</w:t>
      </w:r>
      <w:r>
        <w:rPr>
          <w:rFonts w:eastAsia="Times New Roman" w:cs="FreeSerif" w:ascii="FreeSerif" w:hAnsi="FreeSerif"/>
          <w:sz w:val="24"/>
          <w:szCs w:val="24"/>
        </w:rPr>
        <w:t xml:space="preserve">, </w:t>
      </w:r>
      <w:r>
        <w:rPr>
          <w:rFonts w:eastAsia="Times New Roman" w:cs="FreeSerif" w:ascii="FreeSerif" w:hAnsi="FreeSerif"/>
          <w:i/>
          <w:iCs/>
          <w:sz w:val="24"/>
          <w:szCs w:val="24"/>
        </w:rPr>
        <w:t>Phoebastria</w:t>
      </w:r>
      <w:r>
        <w:rPr>
          <w:rFonts w:eastAsia="Times New Roman" w:cs="FreeSerif" w:ascii="FreeSerif" w:hAnsi="FreeSerif"/>
          <w:sz w:val="24"/>
          <w:szCs w:val="24"/>
        </w:rPr>
        <w:t xml:space="preserve">, and </w:t>
      </w:r>
      <w:r>
        <w:rPr>
          <w:rFonts w:eastAsia="Times New Roman" w:cs="FreeSerif" w:ascii="FreeSerif" w:hAnsi="FreeSerif"/>
          <w:i/>
          <w:iCs/>
          <w:sz w:val="24"/>
          <w:szCs w:val="24"/>
        </w:rPr>
        <w:t>Diomedea</w:t>
      </w:r>
      <w:r>
        <w:rPr>
          <w:rFonts w:eastAsia="Times New Roman" w:cs="FreeSerif" w:ascii="FreeSerif" w:hAnsi="FreeSerif"/>
          <w:sz w:val="24"/>
          <w:szCs w:val="24"/>
        </w:rPr>
        <w:t xml:space="preserve">) and the long branch leading to </w:t>
      </w:r>
      <w:r>
        <w:rPr>
          <w:rFonts w:eastAsia="Times New Roman" w:cs="FreeSerif" w:ascii="FreeSerif" w:hAnsi="FreeSerif"/>
          <w:i/>
          <w:iCs/>
          <w:sz w:val="24"/>
          <w:szCs w:val="24"/>
        </w:rPr>
        <w:t>Pelecanoides</w:t>
      </w:r>
      <w:r>
        <w:rPr>
          <w:rFonts w:eastAsia="Times New Roman" w:cs="FreeSerif" w:ascii="FreeSerif" w:hAnsi="FreeSerif"/>
          <w:sz w:val="24"/>
          <w:szCs w:val="24"/>
        </w:rPr>
        <w:t>. All nodes are supported by at least a posterior probability of 0.7 unless otherwise indicated.</w:t>
      </w:r>
    </w:p>
    <w:p>
      <w:pPr>
        <w:pStyle w:val="LOnormal"/>
        <w:spacing w:lineRule="auto" w:line="480" w:before="0" w:after="10"/>
        <w:ind w:left="780" w:hanging="0"/>
        <w:jc w:val="both"/>
        <w:rPr>
          <w:rFonts w:ascii="FreeSerif" w:hAnsi="FreeSerif" w:eastAsia="Times New Roman" w:cs="FreeSerif"/>
          <w:sz w:val="24"/>
          <w:szCs w:val="24"/>
        </w:rPr>
      </w:pPr>
      <w:r>
        <w:rPr>
          <w:rFonts w:eastAsia="Times New Roman" w:cs="FreeSerif" w:ascii="FreeSerif" w:hAnsi="FreeSerif"/>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drawing>
          <wp:anchor behindDoc="0" distT="0" distB="0" distL="0" distR="0" simplePos="0" locked="0" layoutInCell="1" allowOverlap="1" relativeHeight="5">
            <wp:simplePos x="0" y="0"/>
            <wp:positionH relativeFrom="column">
              <wp:posOffset>-59055</wp:posOffset>
            </wp:positionH>
            <wp:positionV relativeFrom="paragraph">
              <wp:posOffset>-238125</wp:posOffset>
            </wp:positionV>
            <wp:extent cx="6840220" cy="4104005"/>
            <wp:effectExtent l="0" t="0" r="0" b="0"/>
            <wp:wrapNone/>
            <wp:docPr id="5" name="Shap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hape1" descr=""/>
                    <pic:cNvPicPr>
                      <a:picLocks noChangeAspect="1" noChangeArrowheads="1"/>
                    </pic:cNvPicPr>
                  </pic:nvPicPr>
                  <pic:blipFill>
                    <a:blip r:embed="rId8"/>
                    <a:stretch>
                      <a:fillRect/>
                    </a:stretch>
                  </pic:blipFill>
                  <pic:spPr bwMode="auto">
                    <a:xfrm>
                      <a:off x="0" y="0"/>
                      <a:ext cx="6840220" cy="4104005"/>
                    </a:xfrm>
                    <a:prstGeom prst="rect">
                      <a:avLst/>
                    </a:prstGeom>
                  </pic:spPr>
                </pic:pic>
              </a:graphicData>
            </a:graphic>
          </wp:anchor>
        </w:drawing>
      </w:r>
    </w:p>
    <w:p>
      <w:pPr>
        <w:pStyle w:val="LOnormal"/>
        <w:spacing w:lineRule="auto" w:line="480" w:before="0" w:after="10"/>
        <w:ind w:left="780" w:hanging="0"/>
        <w:jc w:val="both"/>
        <w:rPr>
          <w:rFonts w:ascii="FreeSerif" w:hAnsi="FreeSerif" w:eastAsia="Times New Roman" w:cs="FreeSerif"/>
          <w:sz w:val="24"/>
          <w:szCs w:val="24"/>
        </w:rPr>
      </w:pPr>
      <w:r>
        <w:rPr>
          <w:rFonts w:eastAsia="Times New Roman" w:cs="FreeSerif" w:ascii="FreeSerif" w:hAnsi="FreeSerif"/>
          <w:b/>
          <w:bCs/>
          <w:sz w:val="24"/>
          <w:szCs w:val="24"/>
        </w:rPr>
        <w:t>Figure S5.</w:t>
      </w:r>
      <w:r>
        <w:rPr>
          <w:rFonts w:eastAsia="Times New Roman" w:cs="FreeSerif" w:ascii="FreeSerif" w:hAnsi="FreeSerif"/>
          <w:sz w:val="24"/>
          <w:szCs w:val="24"/>
        </w:rPr>
        <w:t xml:space="preserve"> Best-fitting phylogenetic path model.</w:t>
      </w:r>
    </w:p>
    <w:p>
      <w:pPr>
        <w:pStyle w:val="LOnormal"/>
        <w:spacing w:lineRule="auto" w:line="480" w:before="0" w:after="10"/>
        <w:ind w:left="780" w:hanging="0"/>
        <w:jc w:val="both"/>
        <w:rPr>
          <w:rFonts w:ascii="FreeSerif" w:hAnsi="FreeSerif" w:eastAsia="Times New Roman" w:cs="FreeSerif"/>
          <w:sz w:val="24"/>
          <w:szCs w:val="24"/>
        </w:rPr>
      </w:pPr>
      <w:r>
        <w:rPr>
          <w:rFonts w:eastAsia="Times New Roman" w:cs="FreeSerif" w:ascii="FreeSerif" w:hAnsi="FreeSerif"/>
          <w:sz w:val="24"/>
          <w:szCs w:val="24"/>
        </w:rPr>
      </w:r>
    </w:p>
    <w:p>
      <w:pPr>
        <w:pStyle w:val="LOnormal"/>
        <w:spacing w:lineRule="auto" w:line="480" w:before="0" w:after="10"/>
        <w:jc w:val="both"/>
        <w:rPr>
          <w:b/>
          <w:b/>
          <w:bCs/>
        </w:rPr>
      </w:pPr>
      <w:r>
        <w:rPr>
          <w:b/>
          <w:bCs/>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t xml:space="preserve">Figure S5. </w:t>
      </w:r>
      <w:r>
        <w:rPr>
          <w:rFonts w:eastAsia="Times New Roman" w:cs="FreeSerif" w:ascii="FreeSerif" w:hAnsi="FreeSerif"/>
          <w:b w:val="false"/>
          <w:bCs w:val="false"/>
          <w:sz w:val="24"/>
          <w:szCs w:val="24"/>
        </w:rPr>
        <w:t>Phylogenetic path results showing the correlations between the different variables tested in Coevol 1.4b.</w:t>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drawing>
          <wp:anchor behindDoc="0" distT="0" distB="0" distL="0" distR="0" simplePos="0" locked="0" layoutInCell="1" allowOverlap="1" relativeHeight="4">
            <wp:simplePos x="0" y="0"/>
            <wp:positionH relativeFrom="column">
              <wp:posOffset>285115</wp:posOffset>
            </wp:positionH>
            <wp:positionV relativeFrom="paragraph">
              <wp:posOffset>53975</wp:posOffset>
            </wp:positionV>
            <wp:extent cx="5663565" cy="457200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9"/>
                    <a:stretch>
                      <a:fillRect/>
                    </a:stretch>
                  </pic:blipFill>
                  <pic:spPr bwMode="auto">
                    <a:xfrm>
                      <a:off x="0" y="0"/>
                      <a:ext cx="5663565" cy="4572000"/>
                    </a:xfrm>
                    <a:prstGeom prst="rect">
                      <a:avLst/>
                    </a:prstGeom>
                  </pic:spPr>
                </pic:pic>
              </a:graphicData>
            </a:graphic>
          </wp:anchor>
        </w:drawing>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48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24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24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240" w:before="0" w:after="10"/>
        <w:jc w:val="both"/>
        <w:rPr>
          <w:rFonts w:ascii="FreeSerif" w:hAnsi="FreeSerif" w:eastAsia="Times New Roman" w:cs="FreeSerif"/>
          <w:b/>
          <w:b/>
          <w:bCs/>
          <w:sz w:val="24"/>
          <w:szCs w:val="24"/>
        </w:rPr>
      </w:pPr>
      <w:r>
        <w:rPr>
          <w:rFonts w:eastAsia="Times New Roman" w:cs="FreeSerif" w:ascii="FreeSerif" w:hAnsi="FreeSerif"/>
          <w:b/>
          <w:bCs/>
          <w:sz w:val="24"/>
          <w:szCs w:val="24"/>
        </w:rPr>
      </w:r>
    </w:p>
    <w:p>
      <w:pPr>
        <w:pStyle w:val="LOnormal"/>
        <w:spacing w:lineRule="auto" w:line="240" w:before="0" w:after="10"/>
        <w:jc w:val="both"/>
        <w:rPr>
          <w:b/>
          <w:b/>
          <w:bCs/>
        </w:rPr>
      </w:pPr>
      <w:r>
        <w:rPr>
          <w:b/>
          <w:bCs/>
        </w:rPr>
      </w:r>
    </w:p>
    <w:p>
      <w:pPr>
        <w:pStyle w:val="LOnormal"/>
        <w:spacing w:lineRule="auto" w:line="240" w:before="0" w:after="10"/>
        <w:jc w:val="both"/>
        <w:rPr>
          <w:b/>
          <w:b/>
          <w:bCs/>
        </w:rPr>
      </w:pPr>
      <w:r>
        <w:rPr>
          <w:b/>
          <w:bCs/>
        </w:rPr>
      </w:r>
    </w:p>
    <w:p>
      <w:pPr>
        <w:pStyle w:val="LOnormal"/>
        <w:spacing w:lineRule="auto" w:line="240" w:before="0" w:after="10"/>
        <w:jc w:val="both"/>
        <w:rPr>
          <w:b/>
          <w:b/>
          <w:bCs/>
        </w:rPr>
      </w:pPr>
      <w:r>
        <w:rPr>
          <w:b/>
          <w:bCs/>
        </w:rPr>
      </w:r>
    </w:p>
    <w:p>
      <w:pPr>
        <w:pStyle w:val="LOnormal"/>
        <w:spacing w:lineRule="auto" w:line="240" w:before="0" w:after="10"/>
        <w:jc w:val="both"/>
        <w:rPr>
          <w:b/>
          <w:b/>
          <w:bCs/>
        </w:rPr>
      </w:pPr>
      <w:r>
        <w:rPr>
          <w:b/>
          <w:bCs/>
        </w:rPr>
      </w:r>
    </w:p>
    <w:p>
      <w:pPr>
        <w:pStyle w:val="LOnormal"/>
        <w:spacing w:lineRule="auto" w:line="240" w:before="0" w:after="10"/>
        <w:jc w:val="both"/>
        <w:rPr>
          <w:b/>
          <w:b/>
          <w:bCs/>
        </w:rPr>
      </w:pPr>
      <w:r>
        <w:rPr>
          <w:b/>
          <w:bCs/>
        </w:rPr>
      </w:r>
    </w:p>
    <w:p>
      <w:pPr>
        <w:pStyle w:val="LOnormal"/>
        <w:spacing w:lineRule="auto" w:line="240" w:before="0" w:after="10"/>
        <w:jc w:val="both"/>
        <w:rPr>
          <w:b/>
          <w:b/>
          <w:bCs/>
        </w:rPr>
      </w:pPr>
      <w:r>
        <w:rPr>
          <w:b/>
          <w:bCs/>
        </w:rPr>
      </w:r>
    </w:p>
    <w:p>
      <w:pPr>
        <w:pStyle w:val="LOnormal"/>
        <w:spacing w:lineRule="auto" w:line="240" w:before="0" w:after="10"/>
        <w:jc w:val="both"/>
        <w:rPr>
          <w:b/>
          <w:b/>
          <w:bCs/>
        </w:rPr>
      </w:pPr>
      <w:r>
        <w:rPr>
          <w:b/>
          <w:bCs/>
        </w:rPr>
      </w:r>
    </w:p>
    <w:p>
      <w:pPr>
        <w:pStyle w:val="LOnormal"/>
        <w:spacing w:lineRule="auto" w:line="240" w:before="0" w:after="10"/>
        <w:jc w:val="both"/>
        <w:rPr>
          <w:b/>
          <w:b/>
          <w:bCs/>
        </w:rPr>
      </w:pPr>
      <w:r>
        <w:rPr>
          <w:rFonts w:eastAsia="Times New Roman" w:cs="FreeSerif" w:ascii="FreeSerif" w:hAnsi="FreeSerif"/>
          <w:b/>
          <w:bCs/>
          <w:sz w:val="24"/>
          <w:szCs w:val="24"/>
        </w:rPr>
        <w:t xml:space="preserve">Figure S6. </w:t>
      </w:r>
      <w:r>
        <w:rPr>
          <w:rFonts w:eastAsia="Times New Roman" w:cs="FreeSerif" w:ascii="FreeSerif" w:hAnsi="FreeSerif"/>
          <w:sz w:val="24"/>
          <w:szCs w:val="24"/>
        </w:rPr>
        <w:t>Phylogenetic path analysis results. The only significant correlations are between AFB and body mass, and HWI and body mass as the confidence interval does not overlap zero.</w:t>
      </w:r>
    </w:p>
    <w:p>
      <w:pPr>
        <w:pStyle w:val="LOnormal"/>
        <w:spacing w:lineRule="auto" w:line="480" w:before="0" w:after="10"/>
        <w:jc w:val="both"/>
        <w:rPr>
          <w:b/>
          <w:b/>
          <w:bCs/>
        </w:rPr>
      </w:pPr>
      <w:r>
        <w:rPr>
          <w:b/>
          <w:bCs/>
        </w:rPr>
      </w:r>
    </w:p>
    <w:p>
      <w:pPr>
        <w:pStyle w:val="LOnormal"/>
        <w:spacing w:lineRule="auto" w:line="480" w:before="0" w:after="10"/>
        <w:jc w:val="both"/>
        <w:rPr>
          <w:b/>
          <w:b/>
          <w:bCs/>
        </w:rPr>
      </w:pPr>
      <w:r>
        <w:rPr>
          <w:b/>
          <w:bCs/>
        </w:rPr>
      </w:r>
    </w:p>
    <w:p>
      <w:pPr>
        <w:pStyle w:val="LOnormal"/>
        <w:spacing w:lineRule="auto" w:line="480" w:before="0" w:after="10"/>
        <w:jc w:val="both"/>
        <w:rPr>
          <w:b/>
          <w:b/>
          <w:bCs/>
        </w:rPr>
      </w:pPr>
      <w:r>
        <w:rPr>
          <w:b/>
          <w:bCs/>
        </w:rPr>
      </w:r>
    </w:p>
    <w:p>
      <w:pPr>
        <w:pStyle w:val="LOnormal"/>
        <w:spacing w:lineRule="auto" w:line="480" w:before="0" w:after="10"/>
        <w:ind w:left="780" w:hanging="0"/>
        <w:jc w:val="both"/>
        <w:rPr>
          <w:b/>
          <w:b/>
          <w:bCs/>
        </w:rPr>
      </w:pPr>
      <w:r>
        <w:rPr>
          <w:b/>
          <w:bCs/>
        </w:rPr>
      </w:r>
    </w:p>
    <w:p>
      <w:pPr>
        <w:pStyle w:val="LOnormal"/>
        <w:spacing w:lineRule="auto" w:line="480" w:before="0" w:after="10"/>
        <w:ind w:left="780" w:hanging="0"/>
        <w:jc w:val="both"/>
        <w:rPr>
          <w:rFonts w:ascii="FreeSerif" w:hAnsi="FreeSerif"/>
          <w:b/>
          <w:b/>
          <w:bCs/>
          <w:sz w:val="24"/>
          <w:szCs w:val="24"/>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214110" cy="405574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0"/>
                    <a:stretch>
                      <a:fillRect/>
                    </a:stretch>
                  </pic:blipFill>
                  <pic:spPr bwMode="auto">
                    <a:xfrm>
                      <a:off x="0" y="0"/>
                      <a:ext cx="6214110" cy="4055745"/>
                    </a:xfrm>
                    <a:prstGeom prst="rect">
                      <a:avLst/>
                    </a:prstGeom>
                  </pic:spPr>
                </pic:pic>
              </a:graphicData>
            </a:graphic>
          </wp:anchor>
        </w:drawing>
      </w:r>
      <w:r>
        <w:rPr>
          <w:rFonts w:ascii="FreeSerif" w:hAnsi="FreeSerif"/>
          <w:b/>
          <w:bCs/>
          <w:sz w:val="24"/>
          <w:szCs w:val="24"/>
        </w:rPr>
        <w:t>F</w:t>
      </w:r>
      <w:r>
        <w:rPr>
          <w:rFonts w:ascii="FreeSerif" w:hAnsi="FreeSerif"/>
          <w:b/>
          <w:bCs/>
          <w:sz w:val="24"/>
          <w:szCs w:val="24"/>
        </w:rPr>
        <w:t xml:space="preserve">ig S7. </w:t>
      </w:r>
      <w:r>
        <w:rPr>
          <w:rFonts w:ascii="FreeSerif" w:hAnsi="FreeSerif"/>
          <w:b w:val="false"/>
          <w:bCs w:val="false"/>
          <w:sz w:val="24"/>
          <w:szCs w:val="24"/>
        </w:rPr>
        <w:t>Correlations between substitution rate and log-transformed variables. Each point represents a tip (in colour) or a reconstructed node by Coevol 1.4b.</w:t>
      </w:r>
    </w:p>
    <w:p>
      <w:pPr>
        <w:pStyle w:val="LOnormal"/>
        <w:spacing w:lineRule="auto" w:line="480" w:before="0" w:after="10"/>
        <w:ind w:left="780" w:hanging="0"/>
        <w:jc w:val="both"/>
        <w:rPr>
          <w:b/>
          <w:b/>
          <w:bCs/>
        </w:rPr>
      </w:pPr>
      <w:r>
        <w:rPr>
          <w:b/>
          <w:bCs/>
        </w:rPr>
      </w:r>
    </w:p>
    <w:p>
      <w:pPr>
        <w:pStyle w:val="LOnormal"/>
        <w:spacing w:lineRule="auto" w:line="480" w:before="0" w:after="1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LOnormal"/>
        <w:spacing w:lineRule="auto" w:line="480" w:before="0" w:after="10"/>
        <w:ind w:left="78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LOnormal"/>
        <w:spacing w:lineRule="auto" w:line="480" w:before="0" w:after="10"/>
        <w:ind w:left="78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LOnormal"/>
        <w:spacing w:lineRule="auto" w:line="480" w:before="0" w:after="10"/>
        <w:ind w:left="78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LOnormal"/>
        <w:spacing w:lineRule="auto" w:line="480" w:before="0" w:after="10"/>
        <w:ind w:left="780" w:hanging="0"/>
        <w:jc w:val="both"/>
        <w:rPr>
          <w:rFonts w:ascii="Times New Roman" w:hAnsi="Times New Roman" w:eastAsia="Times New Roman" w:cs="Times New Roman"/>
          <w:color w:val="000000"/>
          <w:sz w:val="24"/>
          <w:szCs w:val="24"/>
        </w:rPr>
      </w:pPr>
      <w:r>
        <w:rPr/>
      </w:r>
    </w:p>
    <w:sectPr>
      <w:footerReference w:type="default" r:id="rId11"/>
      <w:type w:val="nextPage"/>
      <w:pgSz w:w="11906" w:h="16838"/>
      <w:pgMar w:left="660" w:right="680" w:header="0" w:top="1500" w:footer="745" w:bottom="102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ucida Grande">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Times">
    <w:altName w:val="Times New Roman"/>
    <w:charset w:val="01"/>
    <w:family w:val="roman"/>
    <w:pitch w:val="variable"/>
  </w:font>
  <w:font w:name="MS Mincho">
    <w:charset w:val="01"/>
    <w:family w:val="roman"/>
    <w:pitch w:val="variable"/>
  </w:font>
  <w:font w:name="Fre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settings.xml><?xml version="1.0" encoding="utf-8"?>
<w:settings xmlns:w="http://schemas.openxmlformats.org/wordprocessingml/2006/main">
  <w:zoom w:percent="80"/>
  <w:defaultTabStop w:val="408"/>
  <w:autoHyphenation w:val="true"/>
  <w:compat>
    <w:compatSetting w:name="compatibilityMode" w:uri="http://schemas.microsoft.com/office/word" w:val="12"/>
    <w:compatSetting w:name="useWord2013TrackBottomHyphenation"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Cs w:val="24"/>
        <w:lang w:val="en-GB"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en-GB" w:eastAsia="zh-CN" w:bidi="hi-IN"/>
    </w:rPr>
  </w:style>
  <w:style w:type="paragraph" w:styleId="Heading1">
    <w:name w:val="Heading 1"/>
    <w:basedOn w:val="Normal"/>
    <w:qFormat/>
    <w:pPr>
      <w:spacing w:before="64" w:after="0"/>
      <w:ind w:left="780" w:hanging="0"/>
      <w:outlineLvl w:val="0"/>
    </w:pPr>
    <w:rPr>
      <w:b/>
      <w:bCs/>
      <w:sz w:val="28"/>
      <w:szCs w:val="28"/>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Annotationreference">
    <w:name w:val="annotation reference"/>
    <w:basedOn w:val="DefaultParagraphFont"/>
    <w:qFormat/>
    <w:rPr>
      <w:sz w:val="16"/>
      <w:szCs w:val="16"/>
    </w:rPr>
  </w:style>
  <w:style w:type="character" w:styleId="CommentTextChar" w:customStyle="1">
    <w:name w:val="Comment Text Char"/>
    <w:basedOn w:val="DefaultParagraphFont"/>
    <w:qFormat/>
    <w:rPr>
      <w:rFonts w:cs="Mangal"/>
      <w:szCs w:val="18"/>
    </w:rPr>
  </w:style>
  <w:style w:type="character" w:styleId="CommentSubjectChar" w:customStyle="1">
    <w:name w:val="Comment Subject Char"/>
    <w:basedOn w:val="CommentTextChar"/>
    <w:qFormat/>
    <w:rPr>
      <w:rFonts w:cs="Mangal"/>
      <w:b/>
      <w:bCs/>
      <w:szCs w:val="18"/>
    </w:rPr>
  </w:style>
  <w:style w:type="character" w:styleId="BalloonTextChar" w:customStyle="1">
    <w:name w:val="Balloon Text Char"/>
    <w:basedOn w:val="DefaultParagraphFont"/>
    <w:link w:val="BalloonText"/>
    <w:uiPriority w:val="99"/>
    <w:semiHidden/>
    <w:qFormat/>
    <w:rsid w:val="00015ed5"/>
    <w:rPr>
      <w:rFonts w:ascii="Lucida Grande" w:hAnsi="Lucida Grande" w:cs="Lucida Grande"/>
      <w:sz w:val="18"/>
      <w:szCs w:val="18"/>
    </w:rPr>
  </w:style>
  <w:style w:type="paragraph" w:styleId="Heading" w:customStyle="1">
    <w:name w:val="Heading"/>
    <w:basedOn w:val="Normal"/>
    <w:next w:val="TextBody"/>
    <w:qFormat/>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HeaderandFooter" w:customStyle="1">
    <w:name w:val="Header and Footer"/>
    <w:basedOn w:val="Normal"/>
    <w:qFormat/>
    <w:pPr>
      <w:suppressLineNumbers/>
      <w:tabs>
        <w:tab w:val="clear" w:pos="408"/>
        <w:tab w:val="center" w:pos="4819" w:leader="none"/>
        <w:tab w:val="right" w:pos="9638" w:leader="none"/>
      </w:tabs>
    </w:pPr>
    <w:rPr/>
  </w:style>
  <w:style w:type="paragraph" w:styleId="Footer">
    <w:name w:val="Footer"/>
    <w:basedOn w:val="Normal"/>
    <w:pPr/>
    <w:rPr/>
  </w:style>
  <w:style w:type="paragraph" w:styleId="TableParagraph" w:customStyle="1">
    <w:name w:val="Table Paragraph"/>
    <w:basedOn w:val="Normal"/>
    <w:qFormat/>
    <w:pPr>
      <w:spacing w:before="70" w:after="0"/>
      <w:ind w:left="40" w:hanging="0"/>
    </w:pPr>
    <w:rPr/>
  </w:style>
  <w:style w:type="paragraph" w:styleId="ListParagraph">
    <w:name w:val="List Paragraph"/>
    <w:basedOn w:val="Normal"/>
    <w:qFormat/>
    <w:pPr>
      <w:ind w:left="1140" w:hanging="360"/>
    </w:pPr>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LOnormal" w:customStyle="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GB" w:eastAsia="zh-CN" w:bidi="hi-IN"/>
    </w:rPr>
  </w:style>
  <w:style w:type="paragraph" w:styleId="Annotationtext">
    <w:name w:val="annotation text"/>
    <w:basedOn w:val="Normal"/>
    <w:qFormat/>
    <w:pPr/>
    <w:rPr>
      <w:rFonts w:cs="Mangal"/>
      <w:sz w:val="20"/>
      <w:szCs w:val="18"/>
    </w:rPr>
  </w:style>
  <w:style w:type="paragraph" w:styleId="Annotationsubject">
    <w:name w:val="annotation subject"/>
    <w:basedOn w:val="Annotationtext"/>
    <w:next w:val="Annotationtext"/>
    <w:qFormat/>
    <w:pPr/>
    <w:rPr>
      <w:b/>
      <w:bCs/>
    </w:rPr>
  </w:style>
  <w:style w:type="paragraph" w:styleId="NoSpacing">
    <w:name w:val="No Spacing"/>
    <w:qFormat/>
    <w:pPr>
      <w:widowControl/>
      <w:suppressAutoHyphens w:val="true"/>
      <w:bidi w:val="0"/>
      <w:spacing w:before="0" w:after="0"/>
      <w:jc w:val="left"/>
    </w:pPr>
    <w:rPr>
      <w:rFonts w:ascii="Times New Roman" w:hAnsi="Times New Roman" w:eastAsia="Noto Serif CJK SC" w:cs="Times New Roman"/>
      <w:color w:val="auto"/>
      <w:kern w:val="2"/>
      <w:sz w:val="24"/>
      <w:szCs w:val="24"/>
      <w:lang w:val="en-GB" w:eastAsia="zh-CN" w:bidi="hi-IN"/>
    </w:rPr>
  </w:style>
  <w:style w:type="paragraph" w:styleId="BalloonText">
    <w:name w:val="Balloon Text"/>
    <w:basedOn w:val="Normal"/>
    <w:link w:val="BalloonTextChar"/>
    <w:uiPriority w:val="99"/>
    <w:semiHidden/>
    <w:unhideWhenUsed/>
    <w:qFormat/>
    <w:rsid w:val="00015ed5"/>
    <w:pPr/>
    <w:rPr>
      <w:rFonts w:ascii="Lucida Grande" w:hAnsi="Lucida Grande" w:cs="Lucida Grande"/>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image" Target="media/image2.png"/><Relationship Id="rId5" Type="http://schemas.openxmlformats.org/officeDocument/2006/relationships/footer" Target="footer2.xml"/><Relationship Id="rId6" Type="http://schemas.openxmlformats.org/officeDocument/2006/relationships/image" Target="media/image3.jpe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footer" Target="footer3.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02D48-9BCD-9440-AC38-5126DEC57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Application>LibreOffice/6.4.7.2$Linux_X86_64 LibreOffice_project/40$Build-2</Application>
  <Pages>10</Pages>
  <Words>728</Words>
  <Characters>4372</Characters>
  <CharactersWithSpaces>5074</CharactersWithSpaces>
  <Paragraphs>37</Paragraphs>
  <Company>University at Buffalo</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2021-07-23T11:12:00Z</dcterms:created>
  <dc:creator>Andrea Estandia</dc:creator>
  <dc:description/>
  <dc:language>en-GB</dc:language>
  <cp:lastModifiedBy>Andrea Estandia</cp:lastModifiedBy>
  <dcterms:modified xsi:type="dcterms:W3CDTF">2022-01-03T11:24:20Z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University at Buffalo</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endeley Recent Style Id 0_1">
    <vt:lpwstr>http://www.zotero.org/styles/american-political-science-association</vt:lpwstr>
  </property>
  <property fmtid="{D5CDD505-2E9C-101B-9397-08002B2CF9AE}" pid="8" name="Mendeley Recent Style Id 1_1">
    <vt:lpwstr>http://www.zotero.org/styles/apa</vt:lpwstr>
  </property>
  <property fmtid="{D5CDD505-2E9C-101B-9397-08002B2CF9AE}" pid="9" name="Mendeley Recent Style Id 2_1">
    <vt:lpwstr>http://www.zotero.org/styles/american-sociological-association</vt:lpwstr>
  </property>
  <property fmtid="{D5CDD505-2E9C-101B-9397-08002B2CF9AE}" pid="10" name="Mendeley Recent Style Id 3_1">
    <vt:lpwstr>http://www.zotero.org/styles/chicago-author-date</vt:lpwstr>
  </property>
  <property fmtid="{D5CDD505-2E9C-101B-9397-08002B2CF9AE}" pid="11" name="Mendeley Recent Style Id 4_1">
    <vt:lpwstr>http://www.zotero.org/styles/harvard-cite-them-right</vt:lpwstr>
  </property>
  <property fmtid="{D5CDD505-2E9C-101B-9397-08002B2CF9AE}" pid="12" name="Mendeley Recent Style Id 5_1">
    <vt:lpwstr>http://www.zotero.org/styles/ieee</vt:lpwstr>
  </property>
  <property fmtid="{D5CDD505-2E9C-101B-9397-08002B2CF9AE}" pid="13" name="Mendeley Recent Style Id 6_1">
    <vt:lpwstr>http://www.zotero.org/styles/modern-humanities-research-association</vt:lpwstr>
  </property>
  <property fmtid="{D5CDD505-2E9C-101B-9397-08002B2CF9AE}" pid="14" name="Mendeley Recent Style Id 7_1">
    <vt:lpwstr>http://www.zotero.org/styles/modern-language-association</vt:lpwstr>
  </property>
  <property fmtid="{D5CDD505-2E9C-101B-9397-08002B2CF9AE}" pid="15" name="Mendeley Recent Style Id 8_1">
    <vt:lpwstr>http://www.zotero.org/styles/nature</vt:lpwstr>
  </property>
  <property fmtid="{D5CDD505-2E9C-101B-9397-08002B2CF9AE}" pid="16" name="Mendeley Recent Style Id 9_1">
    <vt:lpwstr>http://www.zotero.org/styles/systematic-biology</vt:lpwstr>
  </property>
  <property fmtid="{D5CDD505-2E9C-101B-9397-08002B2CF9AE}" pid="17" name="Mendeley Recent Style Name 0_1">
    <vt:lpwstr>American Political Science Association</vt:lpwstr>
  </property>
  <property fmtid="{D5CDD505-2E9C-101B-9397-08002B2CF9AE}" pid="18" name="Mendeley Recent Style Name 1_1">
    <vt:lpwstr>American Psychological Association 7th edition</vt:lpwstr>
  </property>
  <property fmtid="{D5CDD505-2E9C-101B-9397-08002B2CF9AE}" pid="19" name="Mendeley Recent Style Name 2_1">
    <vt:lpwstr>American Sociological Association 6th edition</vt:lpwstr>
  </property>
  <property fmtid="{D5CDD505-2E9C-101B-9397-08002B2CF9AE}" pid="20" name="Mendeley Recent Style Name 3_1">
    <vt:lpwstr>Chicago Manual of Style 17th edition (author-date)</vt:lpwstr>
  </property>
  <property fmtid="{D5CDD505-2E9C-101B-9397-08002B2CF9AE}" pid="21" name="Mendeley Recent Style Name 4_1">
    <vt:lpwstr>Cite Them Right 10th edition - Harvard</vt:lpwstr>
  </property>
  <property fmtid="{D5CDD505-2E9C-101B-9397-08002B2CF9AE}" pid="22" name="Mendeley Recent Style Name 5_1">
    <vt:lpwstr>IEEE</vt:lpwstr>
  </property>
  <property fmtid="{D5CDD505-2E9C-101B-9397-08002B2CF9AE}" pid="23" name="Mendeley Recent Style Name 6_1">
    <vt:lpwstr>Modern Humanities Research Association 3rd edition (note with bibliography)</vt:lpwstr>
  </property>
  <property fmtid="{D5CDD505-2E9C-101B-9397-08002B2CF9AE}" pid="24" name="Mendeley Recent Style Name 7_1">
    <vt:lpwstr>Modern Language Association 8th edition</vt:lpwstr>
  </property>
  <property fmtid="{D5CDD505-2E9C-101B-9397-08002B2CF9AE}" pid="25" name="Mendeley Recent Style Name 8_1">
    <vt:lpwstr>Nature</vt:lpwstr>
  </property>
  <property fmtid="{D5CDD505-2E9C-101B-9397-08002B2CF9AE}" pid="26" name="Mendeley Recent Style Name 9_1">
    <vt:lpwstr>Systematic Biology</vt:lpwstr>
  </property>
  <property fmtid="{D5CDD505-2E9C-101B-9397-08002B2CF9AE}" pid="27" name="ScaleCrop">
    <vt:bool>0</vt:bool>
  </property>
  <property fmtid="{D5CDD505-2E9C-101B-9397-08002B2CF9AE}" pid="28" name="ShareDoc">
    <vt:bool>0</vt:bool>
  </property>
</Properties>
</file>