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492172" w:rsidP="00492172">
      <w:pPr>
        <w:keepNext/>
        <w:widowControl w:val="0"/>
        <w:tabs>
          <w:tab w:val="left" w:pos="5700"/>
        </w:tabs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ab/>
      </w:r>
      <w:bookmarkStart w:id="0" w:name="_GoBack"/>
      <w:bookmarkEnd w:id="0"/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>/programa/proyecto de 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>: fecha desde y hasta del período que corresponde a esa función y 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lastRenderedPageBreak/>
        <w:t>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PENDIENTE DE VALIDACIÓN 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lastRenderedPageBreak/>
        <w:t>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</w:t>
      </w:r>
      <w:r w:rsidRPr="00672AD2">
        <w:rPr>
          <w:rFonts w:ascii="Arial" w:hAnsi="Arial" w:cs="Arial"/>
        </w:rPr>
        <w:lastRenderedPageBreak/>
        <w:t xml:space="preserve">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proofErr w:type="gramStart"/>
      <w:r w:rsidRPr="00E3067E">
        <w:rPr>
          <w:rFonts w:ascii="Arial" w:hAnsi="Arial" w:cs="Arial"/>
          <w:b/>
        </w:rPr>
        <w:t>OBSERVACIONES</w:t>
      </w:r>
      <w:r w:rsidR="00115CA0" w:rsidRPr="00672AD2">
        <w:rPr>
          <w:rFonts w:ascii="Arial" w:hAnsi="Arial" w:cs="Arial"/>
        </w:rPr>
        <w:t>(</w:t>
      </w:r>
      <w:proofErr w:type="gramEnd"/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30j0zll" w:colFirst="0" w:colLast="0"/>
      <w:bookmarkEnd w:id="2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lastRenderedPageBreak/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M (Moroso): 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A6B" w:rsidRDefault="008A6A6B">
      <w:pPr>
        <w:spacing w:after="0" w:line="240" w:lineRule="auto"/>
      </w:pPr>
      <w:r>
        <w:separator/>
      </w:r>
    </w:p>
  </w:endnote>
  <w:endnote w:type="continuationSeparator" w:id="0">
    <w:p w:rsidR="008A6A6B" w:rsidRDefault="008A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492172" w:rsidP="00492172">
            <w:pPr>
              <w:pStyle w:val="Piedepgina"/>
              <w:tabs>
                <w:tab w:val="clear" w:pos="8838"/>
                <w:tab w:val="left" w:pos="1890"/>
                <w:tab w:val="right" w:pos="8845"/>
              </w:tabs>
            </w:pPr>
            <w:r w:rsidRPr="00492172">
              <w:rPr>
                <w:rFonts w:asciiTheme="minorHAnsi" w:hAnsiTheme="minorHAnsi"/>
                <w:color w:val="999999"/>
                <w:sz w:val="18"/>
                <w:szCs w:val="18"/>
              </w:rPr>
              <w:t>Desarrollado por </w:t>
            </w:r>
            <w:r w:rsidRPr="00492172">
              <w:rPr>
                <w:rFonts w:asciiTheme="minorHAnsi" w:hAnsiTheme="minorHAnsi"/>
                <w:noProof/>
                <w:sz w:val="18"/>
                <w:szCs w:val="18"/>
              </w:rPr>
              <w:drawing>
                <wp:inline distT="0" distB="0" distL="0" distR="0" wp14:anchorId="1346C6CE" wp14:editId="1D45845C">
                  <wp:extent cx="200025" cy="190500"/>
                  <wp:effectExtent l="0" t="0" r="9525" b="0"/>
                  <wp:docPr id="62" name="Imagen 62" descr="http://170.210.81.69/mocovi_dev/1.0/img/isosubti.png?av=1.0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70.210.81.69/mocovi_dev/1.0/img/isosubti.png?av=1.0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r:link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2172">
              <w:rPr>
                <w:rStyle w:val="Textoennegrita"/>
                <w:rFonts w:asciiTheme="minorHAnsi" w:hAnsiTheme="minorHAnsi"/>
                <w:b w:val="0"/>
                <w:color w:val="999999"/>
                <w:sz w:val="18"/>
                <w:szCs w:val="18"/>
              </w:rPr>
              <w:t>Subsecretaría de Tecnología de la Información </w:t>
            </w:r>
            <w:hyperlink r:id="rId3" w:anchor="_blank" w:history="1">
              <w:r w:rsidRPr="00492172">
                <w:rPr>
                  <w:rStyle w:val="Textoennegrita"/>
                  <w:rFonts w:asciiTheme="minorHAnsi" w:hAnsiTheme="minorHAnsi"/>
                  <w:b w:val="0"/>
                  <w:color w:val="999999"/>
                  <w:sz w:val="18"/>
                  <w:szCs w:val="18"/>
                </w:rPr>
                <w:t>- UNCOMA</w:t>
              </w:r>
            </w:hyperlink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             </w:t>
            </w:r>
            <w:r w:rsidRPr="00492172">
              <w:rPr>
                <w:rFonts w:asciiTheme="minorHAnsi" w:hAnsiTheme="minorHAnsi"/>
                <w:sz w:val="18"/>
                <w:szCs w:val="18"/>
              </w:rPr>
              <w:t xml:space="preserve">              </w:t>
            </w:r>
            <w:r w:rsidR="009C3ED4" w:rsidRPr="00492172">
              <w:rPr>
                <w:lang w:val="es-ES"/>
              </w:rPr>
              <w:t xml:space="preserve">Página </w:t>
            </w:r>
            <w:r w:rsidR="009C3ED4" w:rsidRPr="00492172">
              <w:rPr>
                <w:b/>
                <w:bCs/>
              </w:rPr>
              <w:fldChar w:fldCharType="begin"/>
            </w:r>
            <w:r w:rsidR="009C3ED4" w:rsidRPr="00492172">
              <w:rPr>
                <w:b/>
                <w:bCs/>
              </w:rPr>
              <w:instrText>PAGE</w:instrText>
            </w:r>
            <w:r w:rsidR="009C3ED4" w:rsidRPr="00492172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 w:rsidR="009C3ED4" w:rsidRPr="00492172">
              <w:rPr>
                <w:b/>
                <w:bCs/>
              </w:rPr>
              <w:fldChar w:fldCharType="end"/>
            </w:r>
            <w:r w:rsidR="009C3ED4" w:rsidRPr="00492172">
              <w:rPr>
                <w:lang w:val="es-ES"/>
              </w:rPr>
              <w:t xml:space="preserve"> de </w:t>
            </w:r>
            <w:r w:rsidR="009C3ED4" w:rsidRPr="00492172">
              <w:rPr>
                <w:b/>
                <w:bCs/>
              </w:rPr>
              <w:fldChar w:fldCharType="begin"/>
            </w:r>
            <w:r w:rsidR="009C3ED4" w:rsidRPr="00492172">
              <w:rPr>
                <w:b/>
                <w:bCs/>
              </w:rPr>
              <w:instrText>NUMPAGES</w:instrText>
            </w:r>
            <w:r w:rsidR="009C3ED4" w:rsidRPr="00492172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="009C3ED4" w:rsidRPr="00492172">
              <w:rPr>
                <w:b/>
                <w:bCs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A6B" w:rsidRDefault="008A6A6B">
      <w:pPr>
        <w:spacing w:after="0" w:line="240" w:lineRule="auto"/>
      </w:pPr>
      <w:r>
        <w:separator/>
      </w:r>
    </w:p>
  </w:footnote>
  <w:footnote w:type="continuationSeparator" w:id="0">
    <w:p w:rsidR="008A6A6B" w:rsidRDefault="008A6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2172"/>
    <w:rsid w:val="004946F6"/>
    <w:rsid w:val="004A034A"/>
    <w:rsid w:val="004A0A1D"/>
    <w:rsid w:val="004A6EB5"/>
    <w:rsid w:val="004B4DFA"/>
    <w:rsid w:val="004C7DBA"/>
    <w:rsid w:val="004D6795"/>
    <w:rsid w:val="004E53AA"/>
    <w:rsid w:val="004F2C47"/>
    <w:rsid w:val="004F4EB2"/>
    <w:rsid w:val="0051151F"/>
    <w:rsid w:val="00511650"/>
    <w:rsid w:val="0051608E"/>
    <w:rsid w:val="00534B2B"/>
    <w:rsid w:val="00537A6A"/>
    <w:rsid w:val="005508E7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3945"/>
    <w:rsid w:val="00742F44"/>
    <w:rsid w:val="00754FC6"/>
    <w:rsid w:val="007862FF"/>
    <w:rsid w:val="007A0EBC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A6A6B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56C0E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  <w:style w:type="character" w:styleId="Textoennegrita">
    <w:name w:val="Strong"/>
    <w:qFormat/>
    <w:rsid w:val="00492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coma.edu.ar/" TargetMode="External"/><Relationship Id="rId2" Type="http://schemas.openxmlformats.org/officeDocument/2006/relationships/image" Target="http://170.210.81.69/mocovi_dev/1.0/img/isosubti.png?av=1.0.0" TargetMode="External"/><Relationship Id="rId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72A"/>
    <w:rsid w:val="00097B44"/>
    <w:rsid w:val="00D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919EC3ED6C4386BC63D90F7DF741F0">
    <w:name w:val="60919EC3ED6C4386BC63D90F7DF741F0"/>
    <w:rsid w:val="00DE37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919EC3ED6C4386BC63D90F7DF741F0">
    <w:name w:val="60919EC3ED6C4386BC63D90F7DF741F0"/>
    <w:rsid w:val="00DE3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15358-78DD-4DEF-A2AF-9632216F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5835</TotalTime>
  <Pages>16</Pages>
  <Words>3432</Words>
  <Characters>18878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89</cp:revision>
  <cp:lastPrinted>2018-06-01T15:24:00Z</cp:lastPrinted>
  <dcterms:created xsi:type="dcterms:W3CDTF">2017-08-31T14:14:00Z</dcterms:created>
  <dcterms:modified xsi:type="dcterms:W3CDTF">2018-06-29T11:41:00Z</dcterms:modified>
</cp:coreProperties>
</file>