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- CASOS DE TESTE FUNCIONAL</w:t>
      </w:r>
    </w:p>
    <w:p>
      <w:pPr>
        <w:jc w:val="center"/>
      </w:pPr>
      <w:r>
        <w:rPr>
          <w:i/>
        </w:rPr>
        <w:t>Treinamento IA Generativa aplicada à Consultoria 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Pré-condição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Dados de teste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Passos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616"/>
            <w:shd w:fill="1F4E78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  <w:tc>
          <w:tcPr>
            <w:tcW w:type="dxa" w:w="1616"/>
          </w:tcPr>
          <w:p/>
        </w:tc>
      </w:tr>
    </w:tbl>
    <w:p/>
    <w:p>
      <w:r>
        <w:rPr>
          <w:b/>
          <w:color w:val="1F4E79"/>
        </w:rPr>
        <w:t>Orientações</w:t>
      </w:r>
    </w:p>
    <w:p>
      <w:pPr>
        <w:pStyle w:val="ListBullet"/>
        <w:spacing w:after="0"/>
      </w:pPr>
      <w:r>
        <w:t>Associar cada teste a um requisito.</w:t>
      </w:r>
    </w:p>
    <w:p>
      <w:pPr>
        <w:pStyle w:val="ListBullet"/>
        <w:spacing w:after="0"/>
      </w:pPr>
      <w:r>
        <w:t>Usar resultado esperado verificável.</w:t>
      </w:r>
    </w:p>
    <w:p>
      <w:pPr>
        <w:pStyle w:val="ListBullet"/>
        <w:spacing w:after="0"/>
      </w:pPr>
      <w:r>
        <w:t>Não inventar comportamento.</w:t>
      </w:r>
    </w:p>
    <w:p>
      <w:pPr>
        <w:pStyle w:val="ListBullet"/>
        <w:spacing w:after="0"/>
      </w:pPr>
      <w:r>
        <w:t>Marcar lacunas como “Pendente de definição” quando necessário.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