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C5" w:rsidRDefault="003D5E71" w:rsidP="00551E9F">
      <w:pPr>
        <w:pStyle w:val="Titolo"/>
        <w:jc w:val="both"/>
      </w:pPr>
      <w:r>
        <w:t>Tesi</w:t>
      </w:r>
    </w:p>
    <w:p w:rsidR="003D5E71" w:rsidRPr="003D5E71" w:rsidRDefault="008B32D2" w:rsidP="00551E9F">
      <w:pPr>
        <w:pStyle w:val="Titolo1"/>
        <w:jc w:val="both"/>
        <w:rPr>
          <w:rFonts w:cstheme="majorHAnsi"/>
        </w:rPr>
      </w:pPr>
      <w:r>
        <w:rPr>
          <w:rFonts w:cstheme="majorHAnsi"/>
        </w:rPr>
        <w:t>Elaborato prodotto</w:t>
      </w:r>
    </w:p>
    <w:p w:rsidR="003D5E71" w:rsidRDefault="003D5E71" w:rsidP="00551E9F">
      <w:pPr>
        <w:pStyle w:val="Titolo2"/>
        <w:jc w:val="both"/>
        <w:rPr>
          <w:rFonts w:cstheme="majorHAnsi"/>
        </w:rPr>
      </w:pPr>
      <w:r>
        <w:rPr>
          <w:rFonts w:cstheme="majorHAnsi"/>
        </w:rPr>
        <w:t xml:space="preserve">plugin in </w:t>
      </w:r>
      <w:proofErr w:type="spellStart"/>
      <w:r>
        <w:rPr>
          <w:rFonts w:cstheme="majorHAnsi"/>
        </w:rPr>
        <w:t>imagej</w:t>
      </w:r>
      <w:proofErr w:type="spellEnd"/>
    </w:p>
    <w:p w:rsidR="004B2D06" w:rsidRDefault="003D5E71" w:rsidP="00551E9F">
      <w:pPr>
        <w:jc w:val="both"/>
      </w:pPr>
      <w:r>
        <w:t>I componenti principali</w:t>
      </w:r>
      <w:r w:rsidR="00DA2182">
        <w:t xml:space="preserve"> e di base di </w:t>
      </w:r>
      <w:proofErr w:type="spellStart"/>
      <w:r w:rsidR="00DA2182">
        <w:t>ImageJ</w:t>
      </w:r>
      <w:proofErr w:type="spellEnd"/>
      <w:r w:rsidR="00DA2182">
        <w:t xml:space="preserve"> </w:t>
      </w:r>
      <w:r>
        <w:t>sono i Plugin ch</w:t>
      </w:r>
      <w:r w:rsidR="00DA2182">
        <w:t xml:space="preserve">e estendono e arricchiscono il </w:t>
      </w:r>
      <w:proofErr w:type="spellStart"/>
      <w:r w:rsidR="00DA2182">
        <w:t>t</w:t>
      </w:r>
      <w:r>
        <w:t>ool</w:t>
      </w:r>
      <w:proofErr w:type="spellEnd"/>
      <w:r>
        <w:t xml:space="preserve"> in </w:t>
      </w:r>
      <w:r w:rsidR="00DA2182">
        <w:t xml:space="preserve">maniera efficace. </w:t>
      </w:r>
      <w:r>
        <w:t xml:space="preserve">Ogni elemento, </w:t>
      </w:r>
      <w:r w:rsidR="00DA2182">
        <w:t>compresa</w:t>
      </w:r>
      <w:r>
        <w:t xml:space="preserve"> l’interfaccia con cui l’utente</w:t>
      </w:r>
      <w:r w:rsidR="00DA2182">
        <w:t xml:space="preserve"> interagisce con il </w:t>
      </w:r>
      <w:proofErr w:type="spellStart"/>
      <w:r w:rsidR="00DA2182">
        <w:t>tool</w:t>
      </w:r>
      <w:proofErr w:type="spellEnd"/>
      <w:r>
        <w:t xml:space="preserve">, è creata </w:t>
      </w:r>
      <w:r w:rsidR="00DA2182">
        <w:t>con i</w:t>
      </w:r>
      <w:r>
        <w:t xml:space="preserve"> Plugin. Un Plugin si </w:t>
      </w:r>
      <w:r w:rsidR="00DA2182">
        <w:t>sviluppa generalmente con il linguaggio di programmazione Java</w:t>
      </w:r>
      <w:r>
        <w:t>.</w:t>
      </w:r>
      <w:r w:rsidR="004B2D06">
        <w:t xml:space="preserve"> Qualsiasi utente può iniziare la stesura di un Plugin personalizzato</w:t>
      </w:r>
      <w:r w:rsidR="000F2656">
        <w:t xml:space="preserve"> e volto ad un determinato obbiettivo; è possibile consultare la documentazione online, riferita alle classi utilizzate e sfruttate da </w:t>
      </w:r>
      <w:proofErr w:type="spellStart"/>
      <w:r w:rsidR="000F2656">
        <w:t>ImageJ</w:t>
      </w:r>
      <w:proofErr w:type="spellEnd"/>
      <w:r w:rsidR="000F2656">
        <w:t>.</w:t>
      </w:r>
      <w:r w:rsidR="004B2D06">
        <w:t xml:space="preserve"> Attraverso il </w:t>
      </w:r>
      <w:r w:rsidR="004C49A3">
        <w:t>menu</w:t>
      </w:r>
      <w:r w:rsidR="004B2D06">
        <w:t xml:space="preserve"> principale, scegliendo la voce “Plugins”,</w:t>
      </w:r>
      <w:r w:rsidR="000F2656">
        <w:t xml:space="preserve"> si</w:t>
      </w:r>
      <w:r w:rsidR="004B2D06">
        <w:t xml:space="preserve"> può iniziare la scrittura attraverso il coma</w:t>
      </w:r>
      <w:r w:rsidR="00651294">
        <w:t xml:space="preserve">ndo </w:t>
      </w:r>
      <w:r w:rsidR="00DA2182">
        <w:t>“</w:t>
      </w:r>
      <w:r w:rsidR="00651294">
        <w:t>new</w:t>
      </w:r>
      <w:r w:rsidR="00DA2182">
        <w:t>”</w:t>
      </w:r>
      <w:r w:rsidR="00651294">
        <w:t xml:space="preserve"> e scegliendo il</w:t>
      </w:r>
      <w:r w:rsidR="00DA2182">
        <w:t xml:space="preserve"> </w:t>
      </w:r>
      <w:r w:rsidR="004B2D06">
        <w:t>Plugin base p</w:t>
      </w:r>
      <w:r w:rsidR="00651294">
        <w:t xml:space="preserve">rescelto. Il particolare </w:t>
      </w:r>
      <w:proofErr w:type="spellStart"/>
      <w:r w:rsidR="00651294">
        <w:t>ImageJ</w:t>
      </w:r>
      <w:proofErr w:type="spellEnd"/>
      <w:r w:rsidR="00651294">
        <w:t xml:space="preserve"> </w:t>
      </w:r>
      <w:r w:rsidR="004B2D06">
        <w:t>ne offre quattro:</w:t>
      </w:r>
    </w:p>
    <w:p w:rsidR="004B2D06" w:rsidRDefault="004B2D06" w:rsidP="00551E9F">
      <w:pPr>
        <w:pStyle w:val="Paragrafoelenco"/>
        <w:numPr>
          <w:ilvl w:val="0"/>
          <w:numId w:val="2"/>
        </w:numPr>
        <w:jc w:val="both"/>
      </w:pPr>
      <w:r>
        <w:t>Plugin</w:t>
      </w:r>
    </w:p>
    <w:p w:rsidR="004B2D06" w:rsidRDefault="004B2D06" w:rsidP="00551E9F">
      <w:pPr>
        <w:pStyle w:val="Paragrafoelenco"/>
        <w:numPr>
          <w:ilvl w:val="0"/>
          <w:numId w:val="2"/>
        </w:numPr>
        <w:jc w:val="both"/>
      </w:pPr>
      <w:r>
        <w:t xml:space="preserve">Plugin </w:t>
      </w:r>
      <w:proofErr w:type="spellStart"/>
      <w:r>
        <w:t>Filter</w:t>
      </w:r>
      <w:proofErr w:type="spellEnd"/>
    </w:p>
    <w:p w:rsidR="004B2D06" w:rsidRDefault="004B2D06" w:rsidP="00551E9F">
      <w:pPr>
        <w:pStyle w:val="Paragrafoelenco"/>
        <w:numPr>
          <w:ilvl w:val="0"/>
          <w:numId w:val="2"/>
        </w:numPr>
        <w:jc w:val="both"/>
      </w:pPr>
      <w:r>
        <w:t>Plugin Frame</w:t>
      </w:r>
    </w:p>
    <w:p w:rsidR="004B2D06" w:rsidRDefault="004B2D06" w:rsidP="00551E9F">
      <w:pPr>
        <w:pStyle w:val="Paragrafoelenco"/>
        <w:numPr>
          <w:ilvl w:val="0"/>
          <w:numId w:val="2"/>
        </w:numPr>
        <w:jc w:val="both"/>
      </w:pPr>
      <w:r>
        <w:t xml:space="preserve">Plugin </w:t>
      </w:r>
      <w:proofErr w:type="spellStart"/>
      <w:r>
        <w:t>Tool</w:t>
      </w:r>
      <w:proofErr w:type="spellEnd"/>
    </w:p>
    <w:p w:rsidR="00DA2182" w:rsidRDefault="004B2D06" w:rsidP="00551E9F">
      <w:pPr>
        <w:jc w:val="both"/>
      </w:pPr>
      <w:r>
        <w:t>Per concentrarsi sulla individuazione e calcolo delle misu</w:t>
      </w:r>
      <w:r w:rsidR="00DA2182">
        <w:t>re richieste per l’elaborato i P</w:t>
      </w:r>
      <w:r>
        <w:t xml:space="preserve">lugin utilizzati sono della tipologia Plugin e Plugin </w:t>
      </w:r>
      <w:proofErr w:type="spellStart"/>
      <w:r>
        <w:t>Filter</w:t>
      </w:r>
      <w:proofErr w:type="spellEnd"/>
      <w:r w:rsidR="00DA2182">
        <w:t>.</w:t>
      </w:r>
      <w:r w:rsidR="0016268C">
        <w:t xml:space="preserve"> Ogni tipologia corrisponde a</w:t>
      </w:r>
      <w:r w:rsidR="000F2656">
        <w:t xml:space="preserve"> una interfaccia implementata a seconda dello scopo del Plugin</w:t>
      </w:r>
      <w:r>
        <w:t>.</w:t>
      </w:r>
      <w:r w:rsidR="00DA2182">
        <w:t xml:space="preserve"> Il Plugin prodotto ai fini dell’elaborato si serve delle due interfacce </w:t>
      </w:r>
      <w:proofErr w:type="spellStart"/>
      <w:r w:rsidR="00DA2182">
        <w:t>PlugIn</w:t>
      </w:r>
      <w:proofErr w:type="spellEnd"/>
      <w:r w:rsidR="00DA2182">
        <w:t xml:space="preserve"> e </w:t>
      </w:r>
      <w:proofErr w:type="spellStart"/>
      <w:r w:rsidR="00DA2182">
        <w:t>PlugInFilter</w:t>
      </w:r>
      <w:proofErr w:type="spellEnd"/>
      <w:r w:rsidR="00DA2182">
        <w:t>.</w:t>
      </w:r>
      <w:r>
        <w:t xml:space="preserve"> </w:t>
      </w:r>
      <w:proofErr w:type="spellStart"/>
      <w:r>
        <w:t>PlugIn</w:t>
      </w:r>
      <w:proofErr w:type="spellEnd"/>
      <w:r>
        <w:t xml:space="preserve"> riporta un solo metodo chiamato </w:t>
      </w:r>
      <w:proofErr w:type="spellStart"/>
      <w:r>
        <w:t>run</w:t>
      </w:r>
      <w:proofErr w:type="spellEnd"/>
      <w:r>
        <w:t xml:space="preserve"> che prende come a</w:t>
      </w:r>
      <w:r w:rsidR="00DA2182">
        <w:t>rgomento un oggetto di tipologia</w:t>
      </w:r>
      <w:r>
        <w:t xml:space="preserve"> </w:t>
      </w:r>
      <w:proofErr w:type="spellStart"/>
      <w:r>
        <w:t>String</w:t>
      </w:r>
      <w:proofErr w:type="spellEnd"/>
      <w:r>
        <w:t xml:space="preserve">. Il metodo viene chiamato </w:t>
      </w:r>
      <w:r w:rsidR="00DA2182">
        <w:t xml:space="preserve">quando viene avviato il Plugin. </w:t>
      </w:r>
      <w:r>
        <w:t xml:space="preserve">L’argomento di classe </w:t>
      </w:r>
      <w:proofErr w:type="spellStart"/>
      <w:r>
        <w:t>String</w:t>
      </w:r>
      <w:proofErr w:type="spellEnd"/>
      <w:r>
        <w:t xml:space="preserve"> può essere anche vuoto, ovvero “”. Plugin </w:t>
      </w:r>
      <w:proofErr w:type="spellStart"/>
      <w:r>
        <w:t>F</w:t>
      </w:r>
      <w:r w:rsidR="005B29BE">
        <w:t>ilter</w:t>
      </w:r>
      <w:proofErr w:type="spellEnd"/>
      <w:r w:rsidR="005B29BE">
        <w:t xml:space="preserve"> è leggermente più corposo; a</w:t>
      </w:r>
      <w:r w:rsidR="00640FBC">
        <w:t xml:space="preserve">l suo interno vi è il metodo </w:t>
      </w:r>
      <w:proofErr w:type="spellStart"/>
      <w:r w:rsidR="005B29BE">
        <w:t>run</w:t>
      </w:r>
      <w:proofErr w:type="spellEnd"/>
      <w:r w:rsidR="005B29BE">
        <w:t xml:space="preserve"> e il metodo setup</w:t>
      </w:r>
      <w:r w:rsidR="00640FBC">
        <w:t>. Quest’ultimo viene chiamato quando il Plugin viene caricato. Pres</w:t>
      </w:r>
      <w:r w:rsidR="000F2656">
        <w:t>enta due argomenti passati uno d</w:t>
      </w:r>
      <w:r w:rsidR="00640FBC">
        <w:t xml:space="preserve">i tipologia </w:t>
      </w:r>
      <w:proofErr w:type="spellStart"/>
      <w:r w:rsidR="00640FBC">
        <w:t>String</w:t>
      </w:r>
      <w:proofErr w:type="spellEnd"/>
      <w:r w:rsidR="00640FBC">
        <w:t xml:space="preserve"> che può e</w:t>
      </w:r>
      <w:r w:rsidR="000F2656">
        <w:t>ssere vuoto e un oggetto di classe</w:t>
      </w:r>
      <w:r w:rsidR="00640FBC">
        <w:t xml:space="preserve"> </w:t>
      </w:r>
      <w:proofErr w:type="spellStart"/>
      <w:r w:rsidR="00640FBC">
        <w:t>ImagePlus</w:t>
      </w:r>
      <w:proofErr w:type="spellEnd"/>
      <w:r w:rsidR="00640FBC">
        <w:t xml:space="preserve"> che indica l’immagine attualmente attiva. R</w:t>
      </w:r>
      <w:r w:rsidR="00DA2182">
        <w:t>estituisce un valore di tipologia intero</w:t>
      </w:r>
      <w:r w:rsidR="00640FBC">
        <w:t xml:space="preserve"> che indica se il metodo è andato a buon fine.</w:t>
      </w:r>
      <w:r w:rsidR="00DA2182">
        <w:t xml:space="preserve">, </w:t>
      </w:r>
      <w:r>
        <w:t>medesimo nome</w:t>
      </w:r>
      <w:r w:rsidR="00DA2182">
        <w:t xml:space="preserve"> della interfaccia citata sopra,</w:t>
      </w:r>
      <w:r w:rsidR="00640FBC">
        <w:t xml:space="preserve"> ma con un obbiettivo diverso; utilizzano il metodo per elaborare l’immagine e presenta una serie di flag di controllo, pubbliche. Prende in ingresso un oggetto della classe </w:t>
      </w:r>
      <w:proofErr w:type="spellStart"/>
      <w:r w:rsidR="00640FBC">
        <w:t>ImageProcessor</w:t>
      </w:r>
      <w:proofErr w:type="spellEnd"/>
      <w:r w:rsidR="00640FBC">
        <w:t xml:space="preserve">. Quest’ultima è volta ad applicare alcuni metodi base per manipolare immagini 2D. </w:t>
      </w:r>
    </w:p>
    <w:p w:rsidR="00640FBC" w:rsidRPr="00517F78" w:rsidRDefault="00640FBC" w:rsidP="00517F78">
      <w:pPr>
        <w:pStyle w:val="Titolo2"/>
      </w:pPr>
      <w:r w:rsidRPr="00517F78">
        <w:t>Plugin dell’elaborato</w:t>
      </w:r>
    </w:p>
    <w:p w:rsidR="004C49A3" w:rsidRPr="004C49A3" w:rsidRDefault="008B32D2" w:rsidP="00551E9F">
      <w:pPr>
        <w:pStyle w:val="Titolo3"/>
        <w:jc w:val="both"/>
      </w:pPr>
      <w:r>
        <w:t>I</w:t>
      </w:r>
      <w:r w:rsidR="004C49A3">
        <w:t>ntroduzione</w:t>
      </w:r>
    </w:p>
    <w:p w:rsidR="004C49A3" w:rsidRDefault="004C3C36" w:rsidP="00551E9F">
      <w:pPr>
        <w:jc w:val="both"/>
      </w:pPr>
      <w:r>
        <w:t xml:space="preserve">Nonostante </w:t>
      </w:r>
      <w:proofErr w:type="spellStart"/>
      <w:r>
        <w:t>ImageJ</w:t>
      </w:r>
      <w:proofErr w:type="spellEnd"/>
      <w:r>
        <w:t xml:space="preserve"> sia ricco di Plugin per poter trattare e calcolare molte features data in ing</w:t>
      </w:r>
      <w:r w:rsidR="00651294">
        <w:t xml:space="preserve">resso una immagine, </w:t>
      </w:r>
      <w:r w:rsidR="00EC6085">
        <w:t>nessun P</w:t>
      </w:r>
      <w:r>
        <w:t>lugin prende</w:t>
      </w:r>
      <w:r w:rsidR="00EC6085">
        <w:t xml:space="preserve"> tutte le misure necessarie per raggiungere </w:t>
      </w:r>
      <w:r>
        <w:t>obbiettivo proposto</w:t>
      </w:r>
      <w:r w:rsidR="00DA2182">
        <w:t xml:space="preserve"> dell’elaborato</w:t>
      </w:r>
      <w:r w:rsidR="00EC6085">
        <w:t>, o quelle presenti non sono raggruppate</w:t>
      </w:r>
      <w:r>
        <w:t xml:space="preserve"> nello stesso Plugin. L’idea sarebbe poter sfruttare al meglio </w:t>
      </w:r>
      <w:r w:rsidR="00DA2182">
        <w:t xml:space="preserve">i </w:t>
      </w:r>
      <w:r>
        <w:t>Plugin</w:t>
      </w:r>
      <w:r w:rsidR="00EC6085">
        <w:t>, dunque le classi,</w:t>
      </w:r>
      <w:r>
        <w:t xml:space="preserve"> </w:t>
      </w:r>
      <w:r w:rsidR="00DA2182">
        <w:t xml:space="preserve">esistenti </w:t>
      </w:r>
      <w:r>
        <w:t xml:space="preserve">su cui si basa </w:t>
      </w:r>
      <w:proofErr w:type="spellStart"/>
      <w:r>
        <w:t>ImageJ</w:t>
      </w:r>
      <w:proofErr w:type="spellEnd"/>
      <w:r>
        <w:t xml:space="preserve"> e estrarre le misure richieste relative ad immagini biomediche. </w:t>
      </w:r>
      <w:r w:rsidR="004C49A3">
        <w:t>In particolare</w:t>
      </w:r>
      <w:r>
        <w:t>, il Plugin che si avvicina di più a queste esigenze è “</w:t>
      </w:r>
      <w:proofErr w:type="spellStart"/>
      <w:r>
        <w:t>Partic</w:t>
      </w:r>
      <w:r w:rsidR="00DA2182">
        <w:t>lesAnalyzer</w:t>
      </w:r>
      <w:proofErr w:type="spellEnd"/>
      <w:r w:rsidR="00DA2182">
        <w:t>”, avviabile dal menu</w:t>
      </w:r>
      <w:r>
        <w:t xml:space="preserve"> “</w:t>
      </w:r>
      <w:proofErr w:type="spellStart"/>
      <w:r>
        <w:t>Analyze</w:t>
      </w:r>
      <w:proofErr w:type="spellEnd"/>
      <w:r>
        <w:t>” con la voce “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Particles</w:t>
      </w:r>
      <w:proofErr w:type="spellEnd"/>
      <w:r>
        <w:t>…”</w:t>
      </w:r>
      <w:r w:rsidR="00651294">
        <w:t>.</w:t>
      </w:r>
      <w:r w:rsidR="004C49A3">
        <w:t xml:space="preserve"> L’elemento più importante di </w:t>
      </w:r>
      <w:proofErr w:type="spellStart"/>
      <w:r w:rsidR="004C49A3">
        <w:t>ParticlesAnalyzer</w:t>
      </w:r>
      <w:proofErr w:type="spellEnd"/>
      <w:r w:rsidR="004C49A3">
        <w:t xml:space="preserve"> è la possibilità di individuare più oggetti</w:t>
      </w:r>
      <w:r w:rsidR="00DA2182">
        <w:t xml:space="preserve"> o regioni di interesse nella</w:t>
      </w:r>
      <w:r w:rsidR="004C49A3">
        <w:t xml:space="preserve"> immagine e calcolare </w:t>
      </w:r>
      <w:proofErr w:type="gramStart"/>
      <w:r w:rsidR="004C49A3">
        <w:t>le features</w:t>
      </w:r>
      <w:proofErr w:type="gramEnd"/>
      <w:r w:rsidR="004C49A3">
        <w:t xml:space="preserve"> su ognuno di essi</w:t>
      </w:r>
      <w:r w:rsidR="00DA2182">
        <w:t>, separatamente</w:t>
      </w:r>
      <w:r w:rsidR="004C49A3">
        <w:t xml:space="preserve">. Questo avviene attraverso un </w:t>
      </w:r>
      <w:proofErr w:type="spellStart"/>
      <w:r w:rsidR="004C49A3">
        <w:t>Threshould</w:t>
      </w:r>
      <w:proofErr w:type="spellEnd"/>
      <w:r w:rsidR="004C49A3">
        <w:t xml:space="preserve"> manuale,</w:t>
      </w:r>
      <w:r w:rsidR="00DA2182">
        <w:t xml:space="preserve"> con cui si attua la</w:t>
      </w:r>
      <w:r w:rsidR="004C49A3">
        <w:t xml:space="preserve"> definizione delle aree di interesse attraverso il plugin “</w:t>
      </w:r>
      <w:proofErr w:type="spellStart"/>
      <w:r w:rsidR="004C49A3">
        <w:t>Threshould</w:t>
      </w:r>
      <w:proofErr w:type="spellEnd"/>
      <w:r w:rsidR="004C49A3">
        <w:t xml:space="preserve">” accessibile dal menu sotto le voci </w:t>
      </w:r>
      <w:r w:rsidR="00DA2182">
        <w:t>“</w:t>
      </w:r>
      <w:r w:rsidR="004C49A3">
        <w:t>Image</w:t>
      </w:r>
      <w:r w:rsidR="00DA2182">
        <w:t>”</w:t>
      </w:r>
      <w:r w:rsidR="004C49A3">
        <w:t xml:space="preserve">, </w:t>
      </w:r>
      <w:r w:rsidR="00DA2182">
        <w:t>“</w:t>
      </w:r>
      <w:proofErr w:type="spellStart"/>
      <w:r w:rsidR="004C49A3">
        <w:t>Adjust</w:t>
      </w:r>
      <w:proofErr w:type="spellEnd"/>
      <w:r w:rsidR="00DA2182">
        <w:t>”</w:t>
      </w:r>
      <w:r w:rsidR="004C49A3">
        <w:t xml:space="preserve"> </w:t>
      </w:r>
      <w:proofErr w:type="gramStart"/>
      <w:r w:rsidR="004C49A3">
        <w:t>e “</w:t>
      </w:r>
      <w:proofErr w:type="spellStart"/>
      <w:proofErr w:type="gramEnd"/>
      <w:r w:rsidR="004C49A3">
        <w:t>Threshould</w:t>
      </w:r>
      <w:proofErr w:type="spellEnd"/>
      <w:r w:rsidR="004C49A3">
        <w:t xml:space="preserve">”. Se si tratta di immagini in RGB, ovvero a colori, si usa invece “Color </w:t>
      </w:r>
      <w:proofErr w:type="spellStart"/>
      <w:r w:rsidR="004C49A3">
        <w:t>Threshou</w:t>
      </w:r>
      <w:r w:rsidR="00DA2182">
        <w:t>ld</w:t>
      </w:r>
      <w:proofErr w:type="spellEnd"/>
      <w:r w:rsidR="00DA2182">
        <w:t xml:space="preserve">” accessibile da medesimo menu. </w:t>
      </w:r>
      <w:proofErr w:type="spellStart"/>
      <w:r w:rsidR="00DA2182">
        <w:t>Particles</w:t>
      </w:r>
      <w:r w:rsidR="004C49A3">
        <w:t>Analyzer</w:t>
      </w:r>
      <w:proofErr w:type="spellEnd"/>
      <w:r w:rsidR="004C49A3">
        <w:t xml:space="preserve"> implementa </w:t>
      </w:r>
      <w:proofErr w:type="spellStart"/>
      <w:r w:rsidR="004C49A3">
        <w:t>PlugInFilter</w:t>
      </w:r>
      <w:proofErr w:type="spellEnd"/>
      <w:r w:rsidR="004C49A3">
        <w:t xml:space="preserve"> e </w:t>
      </w:r>
      <w:proofErr w:type="spellStart"/>
      <w:r w:rsidR="004C49A3">
        <w:t>Measurements</w:t>
      </w:r>
      <w:proofErr w:type="spellEnd"/>
      <w:r w:rsidR="004C49A3">
        <w:t xml:space="preserve">. </w:t>
      </w:r>
      <w:proofErr w:type="spellStart"/>
      <w:r w:rsidR="00DA2182">
        <w:t>Measurements</w:t>
      </w:r>
      <w:proofErr w:type="spellEnd"/>
      <w:r w:rsidR="00DA2182">
        <w:t xml:space="preserve"> </w:t>
      </w:r>
      <w:r w:rsidR="004C49A3">
        <w:t>è una inter</w:t>
      </w:r>
      <w:r w:rsidR="00DA2182">
        <w:t>faccia che lo collega ad un menu</w:t>
      </w:r>
      <w:r w:rsidR="004C49A3">
        <w:t xml:space="preserve"> in cui si possono settare alcune misure ma ai fini dell’elaborato non sarà rilevante</w:t>
      </w:r>
      <w:r w:rsidR="00DA2182">
        <w:t>, poiché sarà sostituito da una seconda interfaccia in cui si possono selezionare le misure implementate e esistenti</w:t>
      </w:r>
      <w:r w:rsidR="004C49A3">
        <w:t xml:space="preserve">. </w:t>
      </w:r>
      <w:r w:rsidR="00EC6085">
        <w:t xml:space="preserve">Oltre alla possibilità di analizzare più regioni di interesse nella immagine, </w:t>
      </w:r>
      <w:proofErr w:type="spellStart"/>
      <w:r w:rsidR="00EC6085">
        <w:t>ParticlesAnalyzer</w:t>
      </w:r>
      <w:proofErr w:type="spellEnd"/>
      <w:r w:rsidR="00EC6085">
        <w:t xml:space="preserve"> offre una elaborazione postuma ai calcoli effettuati, per visualizzare le regioni di interesse in maniera differente </w:t>
      </w:r>
      <w:r w:rsidR="00EC6085">
        <w:lastRenderedPageBreak/>
        <w:t>rispetto all’immagine originale, per esempio evidenziando solo i contorni e inserendo il numero della regione al suo interno. D</w:t>
      </w:r>
      <w:r w:rsidR="004C49A3">
        <w:t xml:space="preserve">ate le proprietà di questo Plugin la decisione presa per </w:t>
      </w:r>
      <w:r w:rsidR="00CA26CB">
        <w:t xml:space="preserve">arricchire </w:t>
      </w:r>
      <w:r w:rsidR="004C49A3">
        <w:t xml:space="preserve">e </w:t>
      </w:r>
      <w:r w:rsidR="00DA2182">
        <w:t>sfruttare</w:t>
      </w:r>
      <w:r w:rsidR="004C49A3">
        <w:t xml:space="preserve"> </w:t>
      </w:r>
      <w:proofErr w:type="gramStart"/>
      <w:r w:rsidR="004C49A3">
        <w:t xml:space="preserve">le </w:t>
      </w:r>
      <w:r w:rsidR="00DA2182">
        <w:t>features</w:t>
      </w:r>
      <w:proofErr w:type="gramEnd"/>
      <w:r w:rsidR="00DA2182">
        <w:t xml:space="preserve"> implementate </w:t>
      </w:r>
      <w:r w:rsidR="00CA26CB">
        <w:t xml:space="preserve">precedentemente </w:t>
      </w:r>
      <w:r w:rsidR="004C49A3">
        <w:t>è quella di creare un nuovo Plugin che estendess</w:t>
      </w:r>
      <w:r w:rsidR="00DA2182">
        <w:t xml:space="preserve">e </w:t>
      </w:r>
      <w:proofErr w:type="spellStart"/>
      <w:r w:rsidR="00DA2182">
        <w:t>Particles</w:t>
      </w:r>
      <w:proofErr w:type="spellEnd"/>
      <w:r w:rsidR="00DA2182">
        <w:t xml:space="preserve"> Analyzer e basarsi sul suo funzionamento</w:t>
      </w:r>
      <w:r w:rsidR="0067560E">
        <w:t>.</w:t>
      </w:r>
    </w:p>
    <w:p w:rsidR="004C49A3" w:rsidRDefault="004C49A3" w:rsidP="00551E9F">
      <w:pPr>
        <w:pStyle w:val="Titolo3"/>
        <w:jc w:val="both"/>
      </w:pPr>
      <w:r>
        <w:t xml:space="preserve">Sviluppo </w:t>
      </w:r>
      <w:r w:rsidR="00D408DE">
        <w:t xml:space="preserve">e storia </w:t>
      </w:r>
      <w:r>
        <w:t xml:space="preserve">del plugin </w:t>
      </w:r>
    </w:p>
    <w:p w:rsidR="00D408DE" w:rsidRDefault="00EC6085" w:rsidP="00551E9F">
      <w:pPr>
        <w:jc w:val="both"/>
      </w:pPr>
      <w:r>
        <w:t xml:space="preserve">Prima di iniziare la scrittura del codice riguardante il Plugin prodotto per l’elaborato, si è avviato un periodo di ricerca e di incremento delle conoscenze sul </w:t>
      </w:r>
      <w:proofErr w:type="spellStart"/>
      <w:r>
        <w:t>tool</w:t>
      </w:r>
      <w:proofErr w:type="spellEnd"/>
      <w:r>
        <w:t xml:space="preserve"> da utilizzare ovvero </w:t>
      </w:r>
      <w:proofErr w:type="spellStart"/>
      <w:r>
        <w:t>ImageJ</w:t>
      </w:r>
      <w:proofErr w:type="spellEnd"/>
      <w:r>
        <w:t>;</w:t>
      </w:r>
      <w:r w:rsidR="003B1FB9">
        <w:t xml:space="preserve"> sono stati presi in considerazione anche altri Plugin che simulavano lo scopo dell’elaborato ma o le misure non coincidevano interamente con le misure richieste oppure lo stile non era conforme con le aspettative del prodotto finale. </w:t>
      </w:r>
      <w:r w:rsidR="00D408DE">
        <w:t xml:space="preserve">Il Plugin prodotto è stato aggiornato </w:t>
      </w:r>
      <w:r w:rsidR="002E0C5C">
        <w:t xml:space="preserve">volta per volta basandosi su </w:t>
      </w:r>
      <w:r>
        <w:t xml:space="preserve">tre </w:t>
      </w:r>
      <w:r w:rsidR="003B1FB9">
        <w:t>fasi</w:t>
      </w:r>
      <w:r w:rsidR="00D408DE">
        <w:t xml:space="preserve">; il primo stadio prevedeva la implementazione di </w:t>
      </w:r>
      <w:r w:rsidR="0067560E">
        <w:t xml:space="preserve">features riguardanti immagini in bianco e nero, tipologia di immagine per cui i </w:t>
      </w:r>
      <w:proofErr w:type="spellStart"/>
      <w:r w:rsidR="0067560E">
        <w:t>pixels</w:t>
      </w:r>
      <w:proofErr w:type="spellEnd"/>
      <w:r w:rsidR="0067560E">
        <w:t xml:space="preserve"> che la compongono sono o bianchi o neri</w:t>
      </w:r>
      <w:r w:rsidR="00D408DE">
        <w:t>; il secondo stadio prevedeva la impl</w:t>
      </w:r>
      <w:r w:rsidR="0067560E">
        <w:t>ementazione delle misure per immagini in scala di grigio</w:t>
      </w:r>
      <w:r w:rsidR="00D408DE">
        <w:t>; il terzo stadio e ultimo pr</w:t>
      </w:r>
      <w:r w:rsidR="0067560E">
        <w:t>evedeva la implementazione di</w:t>
      </w:r>
      <w:r w:rsidR="00D408DE">
        <w:t xml:space="preserve"> </w:t>
      </w:r>
      <w:r w:rsidR="0067560E">
        <w:t>features per immagini a colori, ovvero in RGB</w:t>
      </w:r>
      <w:r w:rsidR="00D408DE">
        <w:t>. Dur</w:t>
      </w:r>
      <w:r w:rsidR="00651294">
        <w:t>ante la stesura del codice e la</w:t>
      </w:r>
      <w:r w:rsidR="0067560E">
        <w:t xml:space="preserve"> ricerca delle</w:t>
      </w:r>
      <w:r w:rsidR="00D408DE">
        <w:t xml:space="preserve"> metodologie da applicare per le formule, per la maggior parte note, all’interno del Plugin, si è voluto curare anche l’interfaccia in modo tale da poter scegliere se implement</w:t>
      </w:r>
      <w:r w:rsidR="00600995">
        <w:t xml:space="preserve">are tutte le misure proposte, </w:t>
      </w:r>
      <w:r w:rsidR="0067560E">
        <w:t>s</w:t>
      </w:r>
      <w:r w:rsidR="00D408DE">
        <w:t>olo alcune</w:t>
      </w:r>
      <w:r w:rsidR="0067560E">
        <w:t xml:space="preserve"> oppure combinarle</w:t>
      </w:r>
      <w:r w:rsidR="00D408DE">
        <w:t xml:space="preserve">. Inoltre </w:t>
      </w:r>
      <w:r w:rsidR="00600995">
        <w:t xml:space="preserve">la </w:t>
      </w:r>
      <w:r w:rsidR="00D408DE">
        <w:t>stru</w:t>
      </w:r>
      <w:r w:rsidR="0067560E">
        <w:t>ttura del Plugin si è evoluta continuamente grazie all</w:t>
      </w:r>
      <w:r w:rsidR="008B32D2">
        <w:t>e</w:t>
      </w:r>
      <w:r w:rsidR="00D408DE">
        <w:t xml:space="preserve"> meto</w:t>
      </w:r>
      <w:r w:rsidR="00600995">
        <w:t xml:space="preserve">dologie scoperte e applicate </w:t>
      </w:r>
      <w:r w:rsidR="0067560E">
        <w:t>durante la stesura dell’elaborato.</w:t>
      </w:r>
      <w:r w:rsidR="007E1BC4">
        <w:t xml:space="preserve"> La particolarit</w:t>
      </w:r>
      <w:r w:rsidR="00600995">
        <w:t xml:space="preserve">à dei Plugin di </w:t>
      </w:r>
      <w:proofErr w:type="spellStart"/>
      <w:r w:rsidR="00600995">
        <w:t>ImageJ</w:t>
      </w:r>
      <w:proofErr w:type="spellEnd"/>
      <w:r w:rsidR="00600995">
        <w:t xml:space="preserve"> è la necessità di appoggiarsi</w:t>
      </w:r>
      <w:r w:rsidR="007E1BC4">
        <w:t xml:space="preserve"> complet</w:t>
      </w:r>
      <w:r w:rsidR="0067560E">
        <w:t xml:space="preserve">amente sulle classi appartenenti alla </w:t>
      </w:r>
      <w:r w:rsidR="007E1BC4">
        <w:t>libreria</w:t>
      </w:r>
      <w:r w:rsidR="0067560E">
        <w:t xml:space="preserve"> ded</w:t>
      </w:r>
      <w:r w:rsidR="00600995">
        <w:t xml:space="preserve">icata al </w:t>
      </w:r>
      <w:proofErr w:type="spellStart"/>
      <w:r w:rsidR="00600995">
        <w:t>tool</w:t>
      </w:r>
      <w:proofErr w:type="spellEnd"/>
      <w:r w:rsidR="00600995">
        <w:t>, dunque anche il Plugin prodotto ha seguito questa ideologia.</w:t>
      </w:r>
    </w:p>
    <w:p w:rsidR="0067560E" w:rsidRDefault="008B32D2" w:rsidP="00551E9F">
      <w:pPr>
        <w:pStyle w:val="Titolo3"/>
        <w:jc w:val="both"/>
      </w:pPr>
      <w:r>
        <w:t>C</w:t>
      </w:r>
      <w:r w:rsidR="0067560E">
        <w:t>lassi principali utilizzate</w:t>
      </w:r>
    </w:p>
    <w:p w:rsidR="0067560E" w:rsidRPr="0067560E" w:rsidRDefault="0067560E" w:rsidP="00551E9F">
      <w:pPr>
        <w:jc w:val="both"/>
      </w:pPr>
      <w:r>
        <w:t xml:space="preserve">Per comprendere la struttura e il funzionamento dell’elaborato, è necessario conoscere le classi </w:t>
      </w:r>
      <w:r w:rsidR="00600995">
        <w:t xml:space="preserve">di base </w:t>
      </w:r>
      <w:r>
        <w:t xml:space="preserve">utilizzate più frequentemente. Per classi si intendono Plugin </w:t>
      </w:r>
      <w:r w:rsidR="00600995">
        <w:t xml:space="preserve">creati appositamente per </w:t>
      </w:r>
      <w:proofErr w:type="spellStart"/>
      <w:r w:rsidR="00600995">
        <w:t>ImageJ</w:t>
      </w:r>
      <w:proofErr w:type="spellEnd"/>
      <w:r w:rsidR="00600995">
        <w:t xml:space="preserve"> volte al</w:t>
      </w:r>
      <w:r>
        <w:t xml:space="preserve"> trattamento delle immagini in ingresso. Alcune classi utilizzate sono associate ad altre e collaborano con esse, con l’obbiettivo di elaborare o estrapolare fattori e elementi che carat</w:t>
      </w:r>
      <w:r w:rsidR="00600995">
        <w:t>terizzano l’immagine</w:t>
      </w:r>
      <w:r>
        <w:t xml:space="preserve">. </w:t>
      </w:r>
      <w:r w:rsidR="00085869">
        <w:t xml:space="preserve">La classe che prende in ingresso l’immagine, porta il nome di IJ ed è </w:t>
      </w:r>
      <w:r w:rsidR="00600995">
        <w:t xml:space="preserve">fondamentale per </w:t>
      </w:r>
      <w:r w:rsidR="00085869">
        <w:t xml:space="preserve">il funzionamento del </w:t>
      </w:r>
      <w:proofErr w:type="spellStart"/>
      <w:r w:rsidR="00085869">
        <w:t>tool</w:t>
      </w:r>
      <w:proofErr w:type="spellEnd"/>
      <w:r w:rsidR="00085869">
        <w:t xml:space="preserve"> stesso. Attraverso il metodo statico </w:t>
      </w:r>
      <w:proofErr w:type="spellStart"/>
      <w:proofErr w:type="gramStart"/>
      <w:r w:rsidR="00085869">
        <w:t>IJ.getImage</w:t>
      </w:r>
      <w:proofErr w:type="spellEnd"/>
      <w:proofErr w:type="gramEnd"/>
      <w:r w:rsidR="00085869">
        <w:t xml:space="preserve">(), viene </w:t>
      </w:r>
      <w:r w:rsidR="00600995">
        <w:t xml:space="preserve">restituito </w:t>
      </w:r>
      <w:r w:rsidR="00085869">
        <w:t xml:space="preserve">un oggetto appartenente alla classe </w:t>
      </w:r>
      <w:proofErr w:type="spellStart"/>
      <w:r w:rsidR="00085869">
        <w:t>ImagePlus</w:t>
      </w:r>
      <w:proofErr w:type="spellEnd"/>
      <w:r w:rsidR="00085869">
        <w:t xml:space="preserve"> con c</w:t>
      </w:r>
      <w:r w:rsidR="00600995">
        <w:t xml:space="preserve">ui l’immagine viene </w:t>
      </w:r>
      <w:r w:rsidR="00085869">
        <w:t>analizzat</w:t>
      </w:r>
      <w:r w:rsidR="00600995">
        <w:t>a</w:t>
      </w:r>
      <w:r w:rsidR="00085869">
        <w:t xml:space="preserve">. Un oggetto </w:t>
      </w:r>
      <w:proofErr w:type="spellStart"/>
      <w:r w:rsidR="00085869">
        <w:t>ImagePlus</w:t>
      </w:r>
      <w:proofErr w:type="spellEnd"/>
      <w:r w:rsidR="00085869">
        <w:t xml:space="preserve"> contiene un oggetto della classe astratta </w:t>
      </w:r>
      <w:proofErr w:type="spellStart"/>
      <w:r w:rsidR="00085869">
        <w:t>ImageProcessor</w:t>
      </w:r>
      <w:proofErr w:type="spellEnd"/>
      <w:r w:rsidR="00085869">
        <w:t xml:space="preserve">, super classe di </w:t>
      </w:r>
      <w:proofErr w:type="spellStart"/>
      <w:r w:rsidR="00085869">
        <w:t>ByteProcesor</w:t>
      </w:r>
      <w:proofErr w:type="spellEnd"/>
      <w:r w:rsidR="00085869">
        <w:t xml:space="preserve">, </w:t>
      </w:r>
      <w:proofErr w:type="spellStart"/>
      <w:r w:rsidR="00085869">
        <w:t>ColorProcessor</w:t>
      </w:r>
      <w:proofErr w:type="spellEnd"/>
      <w:r w:rsidR="00085869">
        <w:t xml:space="preserve">, </w:t>
      </w:r>
      <w:proofErr w:type="spellStart"/>
      <w:r w:rsidR="00085869">
        <w:t>FloatProcessor</w:t>
      </w:r>
      <w:proofErr w:type="spellEnd"/>
      <w:r w:rsidR="00085869">
        <w:t xml:space="preserve">, </w:t>
      </w:r>
      <w:proofErr w:type="spellStart"/>
      <w:r w:rsidR="00085869">
        <w:t>ShortProcessor</w:t>
      </w:r>
      <w:proofErr w:type="spellEnd"/>
      <w:r w:rsidR="00085869">
        <w:t>. Questi ultimi sono associati alle tipologie d</w:t>
      </w:r>
      <w:r w:rsidR="00600995">
        <w:t>i dati, byte, short, float e RGB</w:t>
      </w:r>
      <w:r w:rsidR="00085869">
        <w:t xml:space="preserve">, supportati da </w:t>
      </w:r>
      <w:proofErr w:type="spellStart"/>
      <w:r w:rsidR="00085869">
        <w:t>ImageJ</w:t>
      </w:r>
      <w:proofErr w:type="spellEnd"/>
      <w:r w:rsidR="00085869">
        <w:t xml:space="preserve">. Un </w:t>
      </w:r>
      <w:proofErr w:type="spellStart"/>
      <w:r w:rsidR="00085869">
        <w:t>ImageProcessor</w:t>
      </w:r>
      <w:proofErr w:type="spellEnd"/>
      <w:r w:rsidR="00085869">
        <w:t xml:space="preserve"> contiene i dati dei pixel delle immagini in 2D e i metodi base per manipolarli. Un oggetto appartenente alla classe </w:t>
      </w:r>
      <w:proofErr w:type="spellStart"/>
      <w:r w:rsidR="00085869">
        <w:t>ImagePlus</w:t>
      </w:r>
      <w:proofErr w:type="spellEnd"/>
      <w:r w:rsidR="00085869">
        <w:t xml:space="preserve"> può contenere un oggetto della classe </w:t>
      </w:r>
      <w:proofErr w:type="spellStart"/>
      <w:r w:rsidR="00085869">
        <w:t>ImageStack</w:t>
      </w:r>
      <w:proofErr w:type="spellEnd"/>
      <w:r w:rsidR="00085869">
        <w:t>, volto per immagini 2D, 3D, 4D o 5D. Nel caso specifico dell’elaborato verranno trattate immagini in 2D. Viene utilizzata all’interno del Plugin per poter trattare su più elaborazioni e trasformazioni dell’immagine originale. Per poter individuare le zone di interesse viene utilizzata la classe ROI</w:t>
      </w:r>
      <w:r w:rsidR="00551E9F">
        <w:t>, inteso come “</w:t>
      </w:r>
      <w:proofErr w:type="spellStart"/>
      <w:r w:rsidR="00551E9F">
        <w:t>region</w:t>
      </w:r>
      <w:proofErr w:type="spellEnd"/>
      <w:r w:rsidR="00551E9F">
        <w:t xml:space="preserve"> of </w:t>
      </w:r>
      <w:proofErr w:type="spellStart"/>
      <w:r w:rsidR="00551E9F">
        <w:t>interest</w:t>
      </w:r>
      <w:proofErr w:type="spellEnd"/>
      <w:r w:rsidR="00551E9F">
        <w:t>”</w:t>
      </w:r>
      <w:r w:rsidR="00600995">
        <w:t>, regione di interesse</w:t>
      </w:r>
      <w:r w:rsidR="00085869">
        <w:t xml:space="preserve">. Un oggetto appartenente a tale classe può essere creato </w:t>
      </w:r>
      <w:r w:rsidR="00600995">
        <w:t xml:space="preserve">attraverso più costruttori; sono accumunati dall’utilizzo delle </w:t>
      </w:r>
      <w:r w:rsidR="00551E9F">
        <w:t xml:space="preserve">soglie decise attraverso il </w:t>
      </w:r>
      <w:proofErr w:type="spellStart"/>
      <w:r w:rsidR="00551E9F">
        <w:t>Threshould</w:t>
      </w:r>
      <w:proofErr w:type="spellEnd"/>
      <w:r w:rsidR="00551E9F">
        <w:t xml:space="preserve">. </w:t>
      </w:r>
      <w:r w:rsidR="00600995">
        <w:t>La classe ROI s</w:t>
      </w:r>
      <w:r w:rsidR="00551E9F">
        <w:t>i serve d</w:t>
      </w:r>
      <w:r w:rsidR="00600995">
        <w:t xml:space="preserve">ella classe </w:t>
      </w:r>
      <w:proofErr w:type="spellStart"/>
      <w:r w:rsidR="00600995">
        <w:t>Polygon</w:t>
      </w:r>
      <w:proofErr w:type="spellEnd"/>
      <w:r w:rsidR="00600995">
        <w:t xml:space="preserve"> e della </w:t>
      </w:r>
      <w:r w:rsidR="00551E9F">
        <w:t xml:space="preserve">sotto classe </w:t>
      </w:r>
      <w:proofErr w:type="spellStart"/>
      <w:r w:rsidR="00551E9F">
        <w:t>Rectangle</w:t>
      </w:r>
      <w:proofErr w:type="spellEnd"/>
      <w:r w:rsidR="00551E9F">
        <w:t xml:space="preserve"> per individuare i punti</w:t>
      </w:r>
      <w:r w:rsidR="00600995">
        <w:t xml:space="preserve"> e le coordinate</w:t>
      </w:r>
      <w:r w:rsidR="00551E9F">
        <w:t xml:space="preserve"> da cui è composto e </w:t>
      </w:r>
      <w:r w:rsidR="00517F78">
        <w:t>per l’individuazione del</w:t>
      </w:r>
      <w:r w:rsidR="00551E9F">
        <w:t xml:space="preserve"> suo </w:t>
      </w:r>
      <w:proofErr w:type="spellStart"/>
      <w:r w:rsidR="00551E9F">
        <w:t>Convex</w:t>
      </w:r>
      <w:proofErr w:type="spellEnd"/>
      <w:r w:rsidR="00551E9F">
        <w:t xml:space="preserve"> </w:t>
      </w:r>
      <w:proofErr w:type="spellStart"/>
      <w:r w:rsidR="00551E9F">
        <w:t>Hull</w:t>
      </w:r>
      <w:proofErr w:type="spellEnd"/>
      <w:r w:rsidR="00551E9F">
        <w:t xml:space="preserve">. Per poter calcolare dati statistici e morfologiche si serve di un oggetto della classe </w:t>
      </w:r>
      <w:proofErr w:type="spellStart"/>
      <w:r w:rsidR="00551E9F">
        <w:t>ImageStatistics</w:t>
      </w:r>
      <w:proofErr w:type="spellEnd"/>
      <w:r w:rsidR="00551E9F">
        <w:t xml:space="preserve">. Ogni ROI ha associata un suo oggetto </w:t>
      </w:r>
      <w:proofErr w:type="spellStart"/>
      <w:r w:rsidR="00551E9F">
        <w:t>ImageStatistics</w:t>
      </w:r>
      <w:proofErr w:type="spellEnd"/>
      <w:r w:rsidR="00551E9F">
        <w:t xml:space="preserve"> il quale viene creato attraverso il metodo </w:t>
      </w:r>
      <w:proofErr w:type="spellStart"/>
      <w:proofErr w:type="gramStart"/>
      <w:r w:rsidR="00551E9F">
        <w:t>getStatistics</w:t>
      </w:r>
      <w:proofErr w:type="spellEnd"/>
      <w:r w:rsidR="00551E9F">
        <w:t>(</w:t>
      </w:r>
      <w:proofErr w:type="gramEnd"/>
      <w:r w:rsidR="00551E9F">
        <w:t>). Tramite tale oggetto si può anche accedere all’istogramma che caratterizza la regione selezionata</w:t>
      </w:r>
      <w:r w:rsidR="00517F78">
        <w:t>. L’istogramma si presenta come vettore per cui gli indici simboleggiano il livello di grigio e il dato intero associato il numero di pixel che detengono quel livello in particolare</w:t>
      </w:r>
      <w:r w:rsidR="00551E9F">
        <w:t xml:space="preserve">. Per poter ricavare features da un immagine in ingresso RGB è stata utilizzato un oggetto appartenente alla classe </w:t>
      </w:r>
      <w:proofErr w:type="spellStart"/>
      <w:r w:rsidR="00551E9F">
        <w:t>ChannelSplitter</w:t>
      </w:r>
      <w:proofErr w:type="spellEnd"/>
      <w:r w:rsidR="00551E9F">
        <w:t xml:space="preserve">, per poter ricavarne un array di </w:t>
      </w:r>
      <w:proofErr w:type="spellStart"/>
      <w:r w:rsidR="00551E9F">
        <w:t>ImagePlus</w:t>
      </w:r>
      <w:proofErr w:type="spellEnd"/>
      <w:r w:rsidR="00551E9F">
        <w:t xml:space="preserve"> dati i suoi canali, attraverso il metodo </w:t>
      </w:r>
      <w:proofErr w:type="spellStart"/>
      <w:proofErr w:type="gramStart"/>
      <w:r w:rsidR="00551E9F">
        <w:t>spli</w:t>
      </w:r>
      <w:proofErr w:type="spellEnd"/>
      <w:r w:rsidR="00551E9F">
        <w:t>(</w:t>
      </w:r>
      <w:proofErr w:type="spellStart"/>
      <w:proofErr w:type="gramEnd"/>
      <w:r w:rsidR="00551E9F">
        <w:t>ImagePlus</w:t>
      </w:r>
      <w:proofErr w:type="spellEnd"/>
      <w:r w:rsidR="00551E9F">
        <w:t xml:space="preserve"> </w:t>
      </w:r>
      <w:proofErr w:type="spellStart"/>
      <w:r w:rsidR="00551E9F">
        <w:t>imp</w:t>
      </w:r>
      <w:proofErr w:type="spellEnd"/>
      <w:r w:rsidR="00551E9F">
        <w:t>).</w:t>
      </w:r>
      <w:r w:rsidR="002550C9">
        <w:t xml:space="preserve"> Per quanto riguarda l’interfaccia, viene sfruttata la classe </w:t>
      </w:r>
      <w:proofErr w:type="spellStart"/>
      <w:r w:rsidR="002550C9">
        <w:t>GenericDialog</w:t>
      </w:r>
      <w:proofErr w:type="spellEnd"/>
      <w:r w:rsidR="002550C9">
        <w:t>, volta a visualizzare una finestra di dialogo a cui si possono aggiungere messaggi o check box, aree di t</w:t>
      </w:r>
      <w:r w:rsidR="00517F78">
        <w:t>esto, menu a tendina e altre inserzioni grafiche</w:t>
      </w:r>
      <w:r w:rsidR="002550C9">
        <w:t xml:space="preserve">. Per visualizzare i risultati ottenuti si utilizza la classe </w:t>
      </w:r>
      <w:proofErr w:type="spellStart"/>
      <w:r w:rsidR="002550C9">
        <w:t>ResultsTable</w:t>
      </w:r>
      <w:proofErr w:type="spellEnd"/>
      <w:r w:rsidR="002550C9">
        <w:t xml:space="preserve"> che </w:t>
      </w:r>
      <w:r w:rsidR="00517F78">
        <w:t xml:space="preserve">visualizza </w:t>
      </w:r>
      <w:r w:rsidR="002550C9">
        <w:t>una tabella contenente i risultati ottenuti.</w:t>
      </w:r>
    </w:p>
    <w:p w:rsidR="00D408DE" w:rsidRDefault="00D408DE" w:rsidP="00551E9F">
      <w:pPr>
        <w:pStyle w:val="Titolo3"/>
        <w:jc w:val="both"/>
      </w:pPr>
      <w:r>
        <w:lastRenderedPageBreak/>
        <w:t>Struttura del Plugin</w:t>
      </w:r>
    </w:p>
    <w:p w:rsidR="00517F78" w:rsidRPr="00517F78" w:rsidRDefault="00517F78" w:rsidP="00517F78">
      <w:pPr>
        <w:pStyle w:val="Titolo4"/>
      </w:pPr>
      <w:r>
        <w:t>Catch_Parasite3</w:t>
      </w:r>
    </w:p>
    <w:p w:rsidR="008F444D" w:rsidRDefault="008B32D2" w:rsidP="008F444D">
      <w:pPr>
        <w:jc w:val="both"/>
      </w:pPr>
      <w:r>
        <w:t>“Catch_Parasite3” (?</w:t>
      </w:r>
      <w:r w:rsidR="00D408DE">
        <w:t xml:space="preserve">) è il </w:t>
      </w:r>
      <w:r w:rsidR="00E722C4">
        <w:t xml:space="preserve">nome attuale del Plugin </w:t>
      </w:r>
      <w:r w:rsidR="00517F78">
        <w:t>volto all’obbiettivo proposto dall’</w:t>
      </w:r>
      <w:r w:rsidR="00E722C4">
        <w:t>elaborato</w:t>
      </w:r>
      <w:r w:rsidR="00D408DE">
        <w:t xml:space="preserve">. Esso implementa l’interfaccia </w:t>
      </w:r>
      <w:proofErr w:type="spellStart"/>
      <w:r w:rsidR="00D408DE">
        <w:t>PlugIn</w:t>
      </w:r>
      <w:proofErr w:type="spellEnd"/>
      <w:r w:rsidR="00D408DE">
        <w:t xml:space="preserve"> e al suo intern</w:t>
      </w:r>
      <w:r>
        <w:t xml:space="preserve">o vi sono due metodi, </w:t>
      </w:r>
      <w:proofErr w:type="spellStart"/>
      <w:r>
        <w:t>run</w:t>
      </w:r>
      <w:proofErr w:type="spellEnd"/>
      <w:r>
        <w:t xml:space="preserve"> e </w:t>
      </w:r>
      <w:proofErr w:type="spellStart"/>
      <w:r>
        <w:t>getImagePlusHSB</w:t>
      </w:r>
      <w:proofErr w:type="spellEnd"/>
      <w:r>
        <w:t xml:space="preserve">, e una </w:t>
      </w:r>
      <w:proofErr w:type="spellStart"/>
      <w:r>
        <w:t>inner</w:t>
      </w:r>
      <w:proofErr w:type="spellEnd"/>
      <w:r>
        <w:t xml:space="preserve"> class </w:t>
      </w:r>
      <w:proofErr w:type="spellStart"/>
      <w:r>
        <w:t>Parasite</w:t>
      </w:r>
      <w:proofErr w:type="spellEnd"/>
      <w:r w:rsidR="009B4CFF">
        <w:t xml:space="preserve">. </w:t>
      </w:r>
      <w:r>
        <w:t xml:space="preserve">Gli attributi globali dichiarati sono </w:t>
      </w:r>
      <w:proofErr w:type="spellStart"/>
      <w:r>
        <w:t>imp</w:t>
      </w:r>
      <w:proofErr w:type="spellEnd"/>
      <w:r>
        <w:t xml:space="preserve">, appartenente alla classe </w:t>
      </w:r>
      <w:proofErr w:type="spellStart"/>
      <w:r>
        <w:t>ImagePlus</w:t>
      </w:r>
      <w:proofErr w:type="spellEnd"/>
      <w:r>
        <w:t xml:space="preserve"> e deposito dell’immagine in ingresso, </w:t>
      </w:r>
      <w:proofErr w:type="spellStart"/>
      <w:r>
        <w:t>impPlusesRGB</w:t>
      </w:r>
      <w:proofErr w:type="spellEnd"/>
      <w:r>
        <w:t xml:space="preserve">, </w:t>
      </w:r>
      <w:proofErr w:type="spellStart"/>
      <w:r>
        <w:t>impPlusesHSB</w:t>
      </w:r>
      <w:proofErr w:type="spellEnd"/>
      <w:r>
        <w:t xml:space="preserve">, vettori appartenenti alla classe </w:t>
      </w:r>
      <w:proofErr w:type="spellStart"/>
      <w:r>
        <w:t>ImagePlus</w:t>
      </w:r>
      <w:proofErr w:type="spellEnd"/>
      <w:r>
        <w:t xml:space="preserve"> e un attributo booleano </w:t>
      </w:r>
      <w:proofErr w:type="spellStart"/>
      <w:r>
        <w:t>typeRGB</w:t>
      </w:r>
      <w:proofErr w:type="spellEnd"/>
      <w:r>
        <w:t>. Questi ultimi tre sono volti al tratta</w:t>
      </w:r>
      <w:r w:rsidR="00517F78">
        <w:t xml:space="preserve">mento delle immagini a colori. </w:t>
      </w:r>
      <w:r>
        <w:t xml:space="preserve">Il metodo </w:t>
      </w:r>
      <w:proofErr w:type="spellStart"/>
      <w:r w:rsidR="00517F78">
        <w:t>run</w:t>
      </w:r>
      <w:proofErr w:type="spellEnd"/>
      <w:r w:rsidR="00517F78">
        <w:t xml:space="preserve"> </w:t>
      </w:r>
      <w:r>
        <w:t xml:space="preserve">viene avviato all’esecuzione del Plugin per settare e avviare la </w:t>
      </w:r>
      <w:proofErr w:type="spellStart"/>
      <w:r>
        <w:t>inner</w:t>
      </w:r>
      <w:proofErr w:type="spellEnd"/>
      <w:r>
        <w:t xml:space="preserve"> class</w:t>
      </w:r>
      <w:r w:rsidR="00517F78">
        <w:t xml:space="preserve"> </w:t>
      </w:r>
      <w:proofErr w:type="spellStart"/>
      <w:r w:rsidR="00517F78">
        <w:t>Parasite</w:t>
      </w:r>
      <w:proofErr w:type="spellEnd"/>
      <w:r>
        <w:t xml:space="preserve">, volta al trattamento e al calcolo delle misure proposte dall’elaborato. Al suo interno, viene inizializzata la variabile globale </w:t>
      </w:r>
      <w:proofErr w:type="spellStart"/>
      <w:r>
        <w:t>imp</w:t>
      </w:r>
      <w:proofErr w:type="spellEnd"/>
      <w:r w:rsidR="00517F78">
        <w:t xml:space="preserve"> che riceve l’immagine in ingresso</w:t>
      </w:r>
      <w:r>
        <w:t xml:space="preserve">, con il metodo di IJ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 xml:space="preserve">). </w:t>
      </w:r>
      <w:r w:rsidR="008F444D">
        <w:t xml:space="preserve">Viene attuata la verifica della tipologia di immagine con l’esecuzione del metodo </w:t>
      </w:r>
      <w:proofErr w:type="spellStart"/>
      <w:r w:rsidR="008F444D">
        <w:t>getType</w:t>
      </w:r>
      <w:proofErr w:type="spellEnd"/>
      <w:r w:rsidR="008F444D">
        <w:t xml:space="preserve"> richiamato dall’oggetto </w:t>
      </w:r>
      <w:proofErr w:type="spellStart"/>
      <w:r w:rsidR="008F444D">
        <w:t>imp</w:t>
      </w:r>
      <w:proofErr w:type="spellEnd"/>
      <w:r w:rsidR="008F444D">
        <w:t xml:space="preserve">. Se questo rende la variabile statica intera COLOR_RGB l’immagine è a colori e si può procedere con la inizializzazione dei vettori dedicati </w:t>
      </w:r>
      <w:proofErr w:type="spellStart"/>
      <w:r w:rsidR="008F444D">
        <w:t>impPlusesRGB</w:t>
      </w:r>
      <w:proofErr w:type="spellEnd"/>
      <w:r w:rsidR="008F444D">
        <w:t xml:space="preserve"> e </w:t>
      </w:r>
      <w:proofErr w:type="spellStart"/>
      <w:r w:rsidR="008F444D">
        <w:t>impPlusesHSB</w:t>
      </w:r>
      <w:proofErr w:type="spellEnd"/>
      <w:r w:rsidR="008F444D">
        <w:t>. Le misure per immagini a colori sono state fatte sfruttando la proprietà per cui una immagine in grigio è uguale alla somma dei valori dei pixel in rosso, in verde e in blu diviso tre oppure</w:t>
      </w:r>
      <w:r w:rsidR="00517F78">
        <w:t xml:space="preserve"> tramite la formula proposta da </w:t>
      </w:r>
      <w:proofErr w:type="spellStart"/>
      <w:r w:rsidR="00517F78">
        <w:t>ImageJ</w:t>
      </w:r>
      <w:proofErr w:type="spellEnd"/>
      <w:r w:rsidR="00517F78">
        <w:t xml:space="preserve"> stesso</w:t>
      </w:r>
      <w:r w:rsidR="008F444D">
        <w:t>:</w:t>
      </w:r>
    </w:p>
    <w:p w:rsidR="008F444D" w:rsidRPr="005C60FA" w:rsidRDefault="008F444D" w:rsidP="008F444D">
      <w:pPr>
        <w:jc w:val="both"/>
      </w:pPr>
      <m:oMathPara>
        <m:oMath>
          <m:r>
            <w:rPr>
              <w:rFonts w:ascii="Cambria Math" w:hAnsi="Cambria Math"/>
            </w:rPr>
            <m:t>gray=0.299red+0.587green+0.114blue</m:t>
          </m:r>
        </m:oMath>
      </m:oMathPara>
    </w:p>
    <w:p w:rsidR="008B32D2" w:rsidRDefault="008F444D" w:rsidP="00551E9F">
      <w:pPr>
        <w:jc w:val="both"/>
      </w:pPr>
      <w:r>
        <w:t>Di conseguenza si può trattare l’immagine e estrapolarn</w:t>
      </w:r>
      <w:r w:rsidR="00517F78">
        <w:t>e la sua versione grigia ma considerando un canale per volta ovvero corrispondente al rosso, verde e blu</w:t>
      </w:r>
      <w:r>
        <w:t xml:space="preserve">. Le immagini ottenute saranno trattate come immagini in </w:t>
      </w:r>
      <w:r w:rsidR="00517F78">
        <w:t xml:space="preserve">scala di grigio a cui si possono applicare </w:t>
      </w:r>
      <w:r>
        <w:t>le stesse formule. Per ottenerle viene utilizzato un oggetto dell</w:t>
      </w:r>
      <w:r w:rsidR="004801AA">
        <w:t xml:space="preserve">a classe </w:t>
      </w:r>
      <w:proofErr w:type="spellStart"/>
      <w:r w:rsidR="004801AA">
        <w:t>ChannelSplitter</w:t>
      </w:r>
      <w:proofErr w:type="spellEnd"/>
      <w:r w:rsidR="004801AA">
        <w:t xml:space="preserve">, su cui viene richiamato il metodo split che prende in ingresso l’oggetto </w:t>
      </w:r>
      <w:proofErr w:type="spellStart"/>
      <w:r w:rsidR="004801AA">
        <w:t>imp</w:t>
      </w:r>
      <w:proofErr w:type="spellEnd"/>
      <w:r w:rsidR="004801AA">
        <w:t xml:space="preserve">. Dopo aver ottenuto l’inizializzazione del primo vettore </w:t>
      </w:r>
      <w:proofErr w:type="spellStart"/>
      <w:r w:rsidR="004801AA">
        <w:t>impPlusesRGB</w:t>
      </w:r>
      <w:proofErr w:type="spellEnd"/>
      <w:r w:rsidR="004801AA">
        <w:t xml:space="preserve"> si procede come l’inizializzazione di </w:t>
      </w:r>
      <w:proofErr w:type="spellStart"/>
      <w:r w:rsidR="004801AA">
        <w:t>impPlusesHSB</w:t>
      </w:r>
      <w:proofErr w:type="spellEnd"/>
      <w:r w:rsidR="004801AA">
        <w:t xml:space="preserve"> con il metodo </w:t>
      </w:r>
      <w:proofErr w:type="spellStart"/>
      <w:r w:rsidR="004801AA">
        <w:t>getImagePlusHSB</w:t>
      </w:r>
      <w:proofErr w:type="spellEnd"/>
      <w:r w:rsidR="004801AA">
        <w:t>. L</w:t>
      </w:r>
      <w:r>
        <w:t>’immagine</w:t>
      </w:r>
      <w:r w:rsidR="004801AA">
        <w:t xml:space="preserve"> verrà trattata</w:t>
      </w:r>
      <w:r>
        <w:t xml:space="preserve"> in HSB ovvero tonalità, saturazione e luminosità; esso è un metodo additivo di composizione dei colori. Dai tre parametri, la tonalità varia partendo convenzionalmente dal rosso primario a 0°, passando per il verde primario a 120° e il blu primario a 240° e quindi tornando al rosso a 360°; per saturazione si intende l’intensità e la purezza della singola tonalità mentre la luminosità e un’indicazione della sua brillantezza. Prendendo singolarmente tali fattori, si ottengono immagini in </w:t>
      </w:r>
      <w:r w:rsidR="00517F78">
        <w:t xml:space="preserve">scala di grigio </w:t>
      </w:r>
      <w:r>
        <w:t>differenti dalla originale o dall</w:t>
      </w:r>
      <w:r w:rsidR="004801AA">
        <w:t>e corrispondenti nei canali RGB</w:t>
      </w:r>
      <w:r>
        <w:t xml:space="preserve">. </w:t>
      </w:r>
      <w:r w:rsidR="004801AA">
        <w:t xml:space="preserve">Il metodo dedicato, </w:t>
      </w:r>
      <w:proofErr w:type="spellStart"/>
      <w:proofErr w:type="gramStart"/>
      <w:r>
        <w:t>getImagePlusHSB</w:t>
      </w:r>
      <w:proofErr w:type="spellEnd"/>
      <w:r>
        <w:t>(</w:t>
      </w:r>
      <w:proofErr w:type="gramEnd"/>
      <w:r>
        <w:t>) che prende come parametro l’</w:t>
      </w:r>
      <w:proofErr w:type="spellStart"/>
      <w:r>
        <w:t>ImagePlus</w:t>
      </w:r>
      <w:proofErr w:type="spellEnd"/>
      <w:r w:rsidR="004801AA">
        <w:t>, a</w:t>
      </w:r>
      <w:r>
        <w:t xml:space="preserve">l suo interno vengono </w:t>
      </w:r>
      <w:r w:rsidR="004801AA">
        <w:t xml:space="preserve">dichiarati </w:t>
      </w:r>
      <w:r>
        <w:t xml:space="preserve">gli </w:t>
      </w:r>
      <w:proofErr w:type="spellStart"/>
      <w:r>
        <w:t>ImageStack</w:t>
      </w:r>
      <w:proofErr w:type="spellEnd"/>
      <w:r>
        <w:t xml:space="preserve"> corrispondenti a 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 e </w:t>
      </w:r>
      <w:proofErr w:type="spellStart"/>
      <w:r>
        <w:t>Brightness</w:t>
      </w:r>
      <w:proofErr w:type="spellEnd"/>
      <w:r>
        <w:t xml:space="preserve">. L’immagine sotto forma di oggetto </w:t>
      </w:r>
      <w:proofErr w:type="spellStart"/>
      <w:r>
        <w:t>ImagePlus</w:t>
      </w:r>
      <w:proofErr w:type="spellEnd"/>
      <w:r>
        <w:t xml:space="preserve"> viene sal</w:t>
      </w:r>
      <w:r w:rsidR="00517F78">
        <w:t xml:space="preserve">vata in un quarto </w:t>
      </w:r>
      <w:proofErr w:type="spellStart"/>
      <w:r w:rsidR="00517F78">
        <w:t>ImageStack</w:t>
      </w:r>
      <w:proofErr w:type="spellEnd"/>
      <w:r w:rsidR="00517F78">
        <w:t xml:space="preserve"> e da esso si ricava un oggetto </w:t>
      </w:r>
      <w:r>
        <w:t xml:space="preserve">di classe </w:t>
      </w:r>
      <w:proofErr w:type="spellStart"/>
      <w:r>
        <w:t>ColorProcessor</w:t>
      </w:r>
      <w:proofErr w:type="spellEnd"/>
      <w:r>
        <w:t xml:space="preserve">. Quest’ultimo è una sotto classe di </w:t>
      </w:r>
      <w:proofErr w:type="spellStart"/>
      <w:r>
        <w:t>ImageProcessor</w:t>
      </w:r>
      <w:proofErr w:type="spellEnd"/>
      <w:r>
        <w:t xml:space="preserve">, il quale contiene i dati dei pixel. </w:t>
      </w:r>
      <w:r w:rsidR="00517F78">
        <w:t xml:space="preserve">Con l’utilizzo del </w:t>
      </w:r>
      <w:proofErr w:type="spellStart"/>
      <w:r w:rsidR="00517F78">
        <w:t>ColorProcessor</w:t>
      </w:r>
      <w:proofErr w:type="spellEnd"/>
      <w:r w:rsidR="00517F78">
        <w:t xml:space="preserve"> si ottengono i vettori corrispondenti ai dati dei pixel trasformati singolarmente in HSB per poi settare gli </w:t>
      </w:r>
      <w:proofErr w:type="spellStart"/>
      <w:r w:rsidR="00517F78">
        <w:t>ImageStack</w:t>
      </w:r>
      <w:proofErr w:type="spellEnd"/>
      <w:r w:rsidR="00517F78">
        <w:t xml:space="preserve"> </w:t>
      </w:r>
      <w:r w:rsidR="004801AA">
        <w:t xml:space="preserve">sotto forma di byte. Dagli </w:t>
      </w:r>
      <w:proofErr w:type="spellStart"/>
      <w:r w:rsidR="004801AA">
        <w:t>ImageStack</w:t>
      </w:r>
      <w:proofErr w:type="spellEnd"/>
      <w:r w:rsidR="004801AA">
        <w:t xml:space="preserve"> vengono creat</w:t>
      </w:r>
      <w:r w:rsidR="00F941E8">
        <w:t xml:space="preserve">i gli </w:t>
      </w:r>
      <w:proofErr w:type="spellStart"/>
      <w:r w:rsidR="00F941E8">
        <w:t>ImagePlus</w:t>
      </w:r>
      <w:proofErr w:type="spellEnd"/>
      <w:r w:rsidR="00F941E8">
        <w:t xml:space="preserve"> corrispondenti alle immagini in </w:t>
      </w:r>
      <w:proofErr w:type="spellStart"/>
      <w:r w:rsidR="00F941E8">
        <w:t>Hue</w:t>
      </w:r>
      <w:proofErr w:type="spellEnd"/>
      <w:r w:rsidR="00F941E8">
        <w:t xml:space="preserve">, </w:t>
      </w:r>
      <w:proofErr w:type="spellStart"/>
      <w:r w:rsidR="00F941E8">
        <w:t>Saturation</w:t>
      </w:r>
      <w:proofErr w:type="spellEnd"/>
      <w:r w:rsidR="00F941E8">
        <w:t xml:space="preserve"> e </w:t>
      </w:r>
      <w:proofErr w:type="spellStart"/>
      <w:r w:rsidR="00F941E8">
        <w:t>Brightness</w:t>
      </w:r>
      <w:proofErr w:type="spellEnd"/>
      <w:r w:rsidR="00F941E8">
        <w:t xml:space="preserve"> e assegnati al vettore</w:t>
      </w:r>
      <w:r w:rsidR="004801AA">
        <w:t xml:space="preserve">; alla posizione zero l’immagine trattata per tonalità alla posizione uno l’immagine trattata per saturazione alla posizione due l’immagine trattata per luminosità. Il vettore, così composto, viene restituito </w:t>
      </w:r>
      <w:r w:rsidR="00F941E8">
        <w:t xml:space="preserve">al </w:t>
      </w:r>
      <w:r w:rsidR="004801AA">
        <w:t xml:space="preserve">vettore </w:t>
      </w:r>
      <w:proofErr w:type="spellStart"/>
      <w:r w:rsidR="004801AA">
        <w:t>impPlusesHSB</w:t>
      </w:r>
      <w:proofErr w:type="spellEnd"/>
      <w:r w:rsidR="004801AA">
        <w:t xml:space="preserve">. Dopo aver terminato le operazioni necessarie per il trattamento delle immagini a colori viene creato un oggetto </w:t>
      </w:r>
      <w:proofErr w:type="spellStart"/>
      <w:r w:rsidR="004801AA">
        <w:t>parasite</w:t>
      </w:r>
      <w:proofErr w:type="spellEnd"/>
      <w:r w:rsidR="004801AA">
        <w:t xml:space="preserve">, ovvero appartenente alla </w:t>
      </w:r>
      <w:proofErr w:type="spellStart"/>
      <w:r w:rsidR="004801AA">
        <w:t>inner</w:t>
      </w:r>
      <w:proofErr w:type="spellEnd"/>
      <w:r w:rsidR="004801AA">
        <w:t xml:space="preserve"> class </w:t>
      </w:r>
      <w:proofErr w:type="spellStart"/>
      <w:r w:rsidR="004801AA">
        <w:t>Parasite</w:t>
      </w:r>
      <w:proofErr w:type="spellEnd"/>
      <w:r w:rsidR="004801AA">
        <w:t xml:space="preserve"> del Plugin stesso</w:t>
      </w:r>
      <w:r w:rsidR="00F941E8">
        <w:t>. Avviando il setup se è andato a buon fine la variabile intera restituita</w:t>
      </w:r>
      <w:r w:rsidR="004801AA">
        <w:t xml:space="preserve"> è uguale all’attribut</w:t>
      </w:r>
      <w:r w:rsidR="00F941E8">
        <w:t xml:space="preserve">o statico DONE di </w:t>
      </w:r>
      <w:proofErr w:type="spellStart"/>
      <w:r w:rsidR="00F941E8">
        <w:t>PlugInFilter</w:t>
      </w:r>
      <w:proofErr w:type="spellEnd"/>
      <w:r w:rsidR="00F941E8">
        <w:t xml:space="preserve">. In questo caso </w:t>
      </w:r>
      <w:r w:rsidR="004801AA">
        <w:t xml:space="preserve">si può procedere altrimenti il Plugin blocca il suo funzionamento. Solitamente questo avviene se sono state chiuse le finestre di interfaccia iniziali o se non sono state </w:t>
      </w:r>
      <w:r w:rsidR="002550C9">
        <w:t xml:space="preserve">trattate le immagini con il </w:t>
      </w:r>
      <w:proofErr w:type="spellStart"/>
      <w:r w:rsidR="002550C9">
        <w:t>Threshould</w:t>
      </w:r>
      <w:proofErr w:type="spellEnd"/>
      <w:r w:rsidR="002550C9">
        <w:t xml:space="preserve"> per definire le regioni di interesse. Se l’esecuzione non viene interrotta viene richiamato il </w:t>
      </w:r>
      <w:r w:rsidR="00F941E8">
        <w:t xml:space="preserve">metodo </w:t>
      </w:r>
      <w:proofErr w:type="spellStart"/>
      <w:r w:rsidR="00F941E8">
        <w:t>run</w:t>
      </w:r>
      <w:proofErr w:type="spellEnd"/>
      <w:r w:rsidR="00F941E8">
        <w:t xml:space="preserve"> dell’oggetto </w:t>
      </w:r>
      <w:proofErr w:type="spellStart"/>
      <w:r w:rsidR="00F941E8">
        <w:t>parasite</w:t>
      </w:r>
      <w:proofErr w:type="spellEnd"/>
      <w:r w:rsidR="002550C9">
        <w:t xml:space="preserve">. Alla fine della sua esecuzione verranno visualizzati </w:t>
      </w:r>
      <w:r w:rsidR="00F941E8">
        <w:t xml:space="preserve">i risultati in una </w:t>
      </w:r>
      <w:proofErr w:type="spellStart"/>
      <w:r w:rsidR="00F941E8">
        <w:t>ResultsTable</w:t>
      </w:r>
      <w:proofErr w:type="spellEnd"/>
      <w:r w:rsidR="00F941E8">
        <w:t>.</w:t>
      </w:r>
    </w:p>
    <w:p w:rsidR="007E1BC4" w:rsidRDefault="007E1BC4" w:rsidP="00551E9F">
      <w:pPr>
        <w:pStyle w:val="Titolo4"/>
        <w:jc w:val="both"/>
      </w:pPr>
      <w:proofErr w:type="spellStart"/>
      <w:r>
        <w:t>Parasite</w:t>
      </w:r>
      <w:proofErr w:type="spellEnd"/>
    </w:p>
    <w:p w:rsidR="004A6718" w:rsidRDefault="007E1BC4" w:rsidP="00551E9F">
      <w:pPr>
        <w:jc w:val="both"/>
      </w:pPr>
      <w:proofErr w:type="spellStart"/>
      <w:r>
        <w:t>Parasite</w:t>
      </w:r>
      <w:proofErr w:type="spellEnd"/>
      <w:r>
        <w:t xml:space="preserve"> è la </w:t>
      </w:r>
      <w:proofErr w:type="spellStart"/>
      <w:r>
        <w:t>inner</w:t>
      </w:r>
      <w:proofErr w:type="spellEnd"/>
      <w:r>
        <w:t xml:space="preserve"> class del Plugin principale, ovvero di Catch_Parasite3. La sua implementazione era necessaria perché estendendo la classe </w:t>
      </w:r>
      <w:proofErr w:type="spellStart"/>
      <w:r>
        <w:t>ParticlesAnalyzer</w:t>
      </w:r>
      <w:proofErr w:type="spellEnd"/>
      <w:r>
        <w:t xml:space="preserve"> </w:t>
      </w:r>
      <w:r w:rsidR="002550C9">
        <w:t xml:space="preserve">bisognava avere un appoggio per far avviare il Plugin, in particolare i metodi setup e </w:t>
      </w:r>
      <w:proofErr w:type="spellStart"/>
      <w:r w:rsidR="002550C9">
        <w:t>run</w:t>
      </w:r>
      <w:proofErr w:type="spellEnd"/>
      <w:r>
        <w:t xml:space="preserve">. </w:t>
      </w:r>
      <w:proofErr w:type="spellStart"/>
      <w:r w:rsidR="00973974">
        <w:t>Parasite</w:t>
      </w:r>
      <w:proofErr w:type="spellEnd"/>
      <w:r w:rsidR="00973974">
        <w:t xml:space="preserve"> </w:t>
      </w:r>
      <w:r w:rsidR="00F941E8">
        <w:t xml:space="preserve">si occupa </w:t>
      </w:r>
      <w:r>
        <w:t>di implementare</w:t>
      </w:r>
      <w:r w:rsidR="00973974">
        <w:t xml:space="preserve"> e raggruppare le</w:t>
      </w:r>
      <w:r>
        <w:t xml:space="preserve"> misure</w:t>
      </w:r>
      <w:r w:rsidR="00973974">
        <w:t xml:space="preserve"> richieste al fine di ragg</w:t>
      </w:r>
      <w:r w:rsidR="00F941E8">
        <w:t>iungere l’obbiettivo dell’elabor</w:t>
      </w:r>
      <w:r w:rsidR="00973974">
        <w:t>ato</w:t>
      </w:r>
      <w:r w:rsidR="00F941E8">
        <w:t xml:space="preserve"> e sfruttare al meglio la sua super classe</w:t>
      </w:r>
      <w:r>
        <w:t>.</w:t>
      </w:r>
      <w:r w:rsidR="00973974">
        <w:t xml:space="preserve"> All’interno della classe </w:t>
      </w:r>
      <w:proofErr w:type="spellStart"/>
      <w:r w:rsidR="00973974">
        <w:t>Parasite</w:t>
      </w:r>
      <w:proofErr w:type="spellEnd"/>
      <w:r w:rsidR="00973974">
        <w:t xml:space="preserve"> vi sono gli attributi che lo caratte</w:t>
      </w:r>
      <w:r w:rsidR="00F941E8">
        <w:t>ri</w:t>
      </w:r>
      <w:r w:rsidR="00973974">
        <w:t xml:space="preserve">zzano e che sono necessari per settare per features scelte. L’attributo </w:t>
      </w:r>
      <w:r w:rsidR="00973974">
        <w:lastRenderedPageBreak/>
        <w:t xml:space="preserve">intero </w:t>
      </w:r>
      <w:proofErr w:type="spellStart"/>
      <w:r w:rsidR="00973974">
        <w:t>measure</w:t>
      </w:r>
      <w:proofErr w:type="spellEnd"/>
      <w:r w:rsidR="00973974">
        <w:t xml:space="preserve">, necessario per settare le misure presenti in </w:t>
      </w:r>
      <w:proofErr w:type="spellStart"/>
      <w:r w:rsidR="00973974">
        <w:t>ImageJ</w:t>
      </w:r>
      <w:proofErr w:type="spellEnd"/>
      <w:r w:rsidR="00973974">
        <w:t xml:space="preserve">. </w:t>
      </w:r>
      <w:proofErr w:type="spellStart"/>
      <w:r w:rsidR="00973974">
        <w:t>ImageJ</w:t>
      </w:r>
      <w:proofErr w:type="spellEnd"/>
      <w:r w:rsidR="00973974">
        <w:t xml:space="preserve"> si serve della interfaccia </w:t>
      </w:r>
      <w:proofErr w:type="spellStart"/>
      <w:r w:rsidR="00973974">
        <w:t>Measurements</w:t>
      </w:r>
      <w:proofErr w:type="spellEnd"/>
      <w:r w:rsidR="00973974">
        <w:t xml:space="preserve"> per segn</w:t>
      </w:r>
      <w:r w:rsidR="00F941E8">
        <w:t xml:space="preserve">alare </w:t>
      </w:r>
      <w:proofErr w:type="gramStart"/>
      <w:r w:rsidR="00F941E8">
        <w:t>le features</w:t>
      </w:r>
      <w:proofErr w:type="gramEnd"/>
      <w:r w:rsidR="00F941E8">
        <w:t xml:space="preserve"> da calcolare. </w:t>
      </w:r>
      <w:r w:rsidR="00973974">
        <w:t xml:space="preserve">Solitamente la scelta di tali misure è attuata attraverso il menu </w:t>
      </w:r>
      <w:proofErr w:type="spellStart"/>
      <w:r w:rsidR="00973974">
        <w:t>SetMeasurements</w:t>
      </w:r>
      <w:proofErr w:type="spellEnd"/>
      <w:r w:rsidR="00973974">
        <w:t xml:space="preserve">, accessibile dal comando del menu principale Analyzer. Questo menu è necessario per </w:t>
      </w:r>
      <w:proofErr w:type="spellStart"/>
      <w:r w:rsidR="00973974">
        <w:t>ParticlesAnalyzer</w:t>
      </w:r>
      <w:proofErr w:type="spellEnd"/>
      <w:r w:rsidR="00973974">
        <w:t xml:space="preserve"> per visu</w:t>
      </w:r>
      <w:r w:rsidR="00F941E8">
        <w:t xml:space="preserve">alizzare solo le misure scelte. </w:t>
      </w:r>
      <w:r w:rsidR="00973974">
        <w:t xml:space="preserve">Nel caso dell’elaborato descritto non serve dover settare le misure da tale menu poiché le features sono raggruppate in una unica finestra visualizzata dallo stesso Plugin, in particolare dalla </w:t>
      </w:r>
      <w:proofErr w:type="spellStart"/>
      <w:r w:rsidR="00973974">
        <w:t>inner</w:t>
      </w:r>
      <w:proofErr w:type="spellEnd"/>
      <w:r w:rsidR="00973974">
        <w:t xml:space="preserve"> class </w:t>
      </w:r>
      <w:proofErr w:type="spellStart"/>
      <w:r w:rsidR="00973974">
        <w:t>Parasite</w:t>
      </w:r>
      <w:proofErr w:type="spellEnd"/>
      <w:r w:rsidR="006C7AF9">
        <w:t>.</w:t>
      </w:r>
      <w:r w:rsidR="00973974">
        <w:t xml:space="preserve"> A seguire, vi sono i vettori booleani corrispondenti </w:t>
      </w:r>
      <w:proofErr w:type="gramStart"/>
      <w:r w:rsidR="00973974">
        <w:t>alle features</w:t>
      </w:r>
      <w:proofErr w:type="gramEnd"/>
      <w:r w:rsidR="00973974">
        <w:t xml:space="preserve"> implementate suddivisi per tipologia</w:t>
      </w:r>
      <w:r w:rsidR="00F941E8">
        <w:t xml:space="preserve"> di immagine, bianco e </w:t>
      </w:r>
      <w:proofErr w:type="spellStart"/>
      <w:r w:rsidR="00F941E8">
        <w:t>nerp</w:t>
      </w:r>
      <w:proofErr w:type="spellEnd"/>
      <w:r w:rsidR="00973974">
        <w:t xml:space="preserve">, scala di grigi e a colori con i rispettivi attributi booleani indicanti la misura implementata. Inizialmente vettori e attributi non sono connessi, verranno sfruttati per collegare le scelte proposte e selezionate nel menu di settaggio e le misure da visualizzare nella </w:t>
      </w:r>
      <w:proofErr w:type="spellStart"/>
      <w:r w:rsidR="00973974">
        <w:t>ResultTable</w:t>
      </w:r>
      <w:proofErr w:type="spellEnd"/>
      <w:r w:rsidR="00973974">
        <w:t xml:space="preserve">. </w:t>
      </w:r>
      <w:r w:rsidR="00651294">
        <w:t xml:space="preserve">Seguono i metodi necessari per </w:t>
      </w:r>
      <w:r w:rsidR="00745169">
        <w:t xml:space="preserve">poter </w:t>
      </w:r>
      <w:r w:rsidR="00651294">
        <w:t xml:space="preserve">aggiungere le misure </w:t>
      </w:r>
      <w:r w:rsidR="00F941E8">
        <w:t>del P</w:t>
      </w:r>
      <w:r w:rsidR="00651294">
        <w:t>lugin</w:t>
      </w:r>
      <w:r w:rsidR="00745169">
        <w:t xml:space="preserve"> e per impostare l’interfaccia</w:t>
      </w:r>
      <w:r w:rsidR="00651294">
        <w:t xml:space="preserve">; </w:t>
      </w:r>
      <w:r w:rsidR="00F941E8">
        <w:t xml:space="preserve">due </w:t>
      </w:r>
      <w:r w:rsidR="00651294">
        <w:t xml:space="preserve">di essi sono </w:t>
      </w:r>
      <w:proofErr w:type="spellStart"/>
      <w:r w:rsidR="00651294">
        <w:t>Override</w:t>
      </w:r>
      <w:proofErr w:type="spellEnd"/>
      <w:r w:rsidR="00651294">
        <w:t xml:space="preserve"> dei metodi della super cla</w:t>
      </w:r>
      <w:r w:rsidR="00745169">
        <w:t xml:space="preserve">sse. Il primo metodo </w:t>
      </w:r>
      <w:r w:rsidR="00651294">
        <w:t xml:space="preserve">è </w:t>
      </w:r>
      <w:proofErr w:type="spellStart"/>
      <w:r w:rsidR="00651294">
        <w:t>showDialog</w:t>
      </w:r>
      <w:proofErr w:type="spellEnd"/>
      <w:r w:rsidR="00651294">
        <w:t xml:space="preserve"> che non prende argomenti in ingresso e restituisce un valore di tipo intero. Esso è </w:t>
      </w:r>
      <w:r w:rsidR="00F941E8">
        <w:t xml:space="preserve">il primo </w:t>
      </w:r>
      <w:proofErr w:type="spellStart"/>
      <w:r w:rsidR="00651294">
        <w:t>Override</w:t>
      </w:r>
      <w:proofErr w:type="spellEnd"/>
      <w:r w:rsidR="00651294">
        <w:t xml:space="preserve"> e </w:t>
      </w:r>
      <w:r w:rsidR="00745169">
        <w:t xml:space="preserve">richiama il metodo della super </w:t>
      </w:r>
      <w:r w:rsidR="00651294">
        <w:t>classe. Questo visualizzerà un menu iniziale già implem</w:t>
      </w:r>
      <w:r w:rsidR="00745169">
        <w:t xml:space="preserve">entato da </w:t>
      </w:r>
      <w:proofErr w:type="spellStart"/>
      <w:r w:rsidR="00745169">
        <w:t>Particles</w:t>
      </w:r>
      <w:r w:rsidR="00651294">
        <w:t>Analyzer</w:t>
      </w:r>
      <w:proofErr w:type="spellEnd"/>
      <w:r w:rsidR="00651294">
        <w:t>.</w:t>
      </w:r>
      <w:r w:rsidR="006C7AF9">
        <w:t xml:space="preserve"> Questo metodo si occupa anche di verificare se il setup è andato a buon fine</w:t>
      </w:r>
      <w:r w:rsidR="000F14D5">
        <w:t xml:space="preserve">. </w:t>
      </w:r>
      <w:r w:rsidR="006C7AF9">
        <w:t>L’</w:t>
      </w:r>
      <w:proofErr w:type="spellStart"/>
      <w:r w:rsidR="006C7AF9">
        <w:t>Override</w:t>
      </w:r>
      <w:proofErr w:type="spellEnd"/>
      <w:r w:rsidR="006C7AF9">
        <w:t xml:space="preserve"> era necessario per </w:t>
      </w:r>
      <w:r w:rsidR="00745169">
        <w:t xml:space="preserve">richiamare una nuova finestra di dialogo </w:t>
      </w:r>
      <w:r w:rsidR="006C7AF9">
        <w:t xml:space="preserve">per settare le misure da visualizzare. </w:t>
      </w:r>
      <w:r w:rsidR="00975C6C">
        <w:t xml:space="preserve">La finestra di dialogo in questione viene avviata con il metodo </w:t>
      </w:r>
      <w:proofErr w:type="spellStart"/>
      <w:proofErr w:type="gramStart"/>
      <w:r w:rsidR="00975C6C">
        <w:t>dialogSetMeasu</w:t>
      </w:r>
      <w:r w:rsidR="00A349EE">
        <w:t>menents</w:t>
      </w:r>
      <w:proofErr w:type="spellEnd"/>
      <w:r w:rsidR="00A349EE">
        <w:t>(</w:t>
      </w:r>
      <w:proofErr w:type="gramEnd"/>
      <w:r w:rsidR="00A349EE">
        <w:t>); solo se nella prima finestra di dialogo è stato selezionato il pulsante “Ok”, la seco</w:t>
      </w:r>
      <w:r w:rsidR="00244BB6">
        <w:t>nda verrà visualizzata. All’interno di tale metodo v</w:t>
      </w:r>
      <w:r w:rsidR="006C7AF9">
        <w:t>engono visualiz</w:t>
      </w:r>
      <w:r w:rsidR="00244BB6">
        <w:t>zate le scelte attraverso check b</w:t>
      </w:r>
      <w:r w:rsidR="006C7AF9">
        <w:t xml:space="preserve">ox e raggruppate a seconda della implementazione o della </w:t>
      </w:r>
      <w:r w:rsidR="001E4D1E">
        <w:t>tipologia di features da pr</w:t>
      </w:r>
      <w:r w:rsidR="00244BB6">
        <w:t xml:space="preserve">esentare. In ordine si ha: </w:t>
      </w:r>
      <w:r w:rsidR="001E4D1E">
        <w:t>fea</w:t>
      </w:r>
      <w:r w:rsidR="00244BB6">
        <w:t xml:space="preserve">tures implementate da </w:t>
      </w:r>
      <w:proofErr w:type="spellStart"/>
      <w:r w:rsidR="00244BB6">
        <w:t>ImageJ</w:t>
      </w:r>
      <w:proofErr w:type="spellEnd"/>
      <w:r w:rsidR="00244BB6">
        <w:t xml:space="preserve">, riprese dal menu </w:t>
      </w:r>
      <w:proofErr w:type="spellStart"/>
      <w:r w:rsidR="00244BB6">
        <w:t>SetMeasurements</w:t>
      </w:r>
      <w:proofErr w:type="spellEnd"/>
      <w:r w:rsidR="00244BB6">
        <w:t xml:space="preserve"> citato sopra, </w:t>
      </w:r>
      <w:r w:rsidR="001E4D1E">
        <w:t>features implementate durate lo studio e la creazione dell’elaborato riguardanti le misure pe</w:t>
      </w:r>
      <w:r w:rsidR="00244BB6">
        <w:t xml:space="preserve">r immagini in bianco e nero, </w:t>
      </w:r>
      <w:r w:rsidR="001E4D1E">
        <w:t>features riguar</w:t>
      </w:r>
      <w:r w:rsidR="00244BB6">
        <w:t xml:space="preserve">danti le immagini in grigio, </w:t>
      </w:r>
      <w:r w:rsidR="001E4D1E">
        <w:t>features riguardanti le immagini a colori. Queste ultime non appariranno se l’immagine non è a col</w:t>
      </w:r>
      <w:r w:rsidR="000F14D5">
        <w:t>ori. Allo stesso modo la</w:t>
      </w:r>
      <w:r w:rsidR="00244BB6">
        <w:t xml:space="preserve"> misura </w:t>
      </w:r>
      <w:r w:rsidR="001E4D1E">
        <w:t>“</w:t>
      </w:r>
      <w:proofErr w:type="spellStart"/>
      <w:r w:rsidR="00244BB6">
        <w:t>min</w:t>
      </w:r>
      <w:proofErr w:type="spellEnd"/>
      <w:r w:rsidR="00244BB6">
        <w:t xml:space="preserve"> and </w:t>
      </w:r>
      <w:proofErr w:type="spellStart"/>
      <w:r w:rsidR="00244BB6">
        <w:t>max</w:t>
      </w:r>
      <w:proofErr w:type="spellEnd"/>
      <w:r w:rsidR="00244BB6">
        <w:t>” per le immagini</w:t>
      </w:r>
      <w:r w:rsidR="000F14D5">
        <w:t xml:space="preserve"> in scala di grigio non vengono inserite nella finestra di dialogo </w:t>
      </w:r>
      <w:r w:rsidR="001E4D1E">
        <w:t>se l’immagine è a colori poiché darebbe valore zero</w:t>
      </w:r>
      <w:r w:rsidR="00244BB6">
        <w:t>, poiché si ricerca il massimo e il minimo del livello di grigio presente nell’immagine</w:t>
      </w:r>
      <w:r w:rsidR="001E4D1E">
        <w:t>. I valori selezionati ven</w:t>
      </w:r>
      <w:r w:rsidR="00244BB6">
        <w:t>gono immessi nei</w:t>
      </w:r>
      <w:r w:rsidR="001E4D1E">
        <w:t xml:space="preserve"> vettori booleani di appoggio riguardanti le misure di </w:t>
      </w:r>
      <w:proofErr w:type="spellStart"/>
      <w:r w:rsidR="001E4D1E">
        <w:t>Ima</w:t>
      </w:r>
      <w:r w:rsidR="00244BB6">
        <w:t>geJ</w:t>
      </w:r>
      <w:proofErr w:type="spellEnd"/>
      <w:r w:rsidR="00244BB6">
        <w:t>, le misu</w:t>
      </w:r>
      <w:r w:rsidR="000F14D5">
        <w:t>r</w:t>
      </w:r>
      <w:r w:rsidR="00244BB6">
        <w:t xml:space="preserve">e in Bianco e Nero, le </w:t>
      </w:r>
      <w:r w:rsidR="001E4D1E">
        <w:t xml:space="preserve">misure in grigio e </w:t>
      </w:r>
      <w:r w:rsidR="00244BB6">
        <w:t xml:space="preserve">le </w:t>
      </w:r>
      <w:r w:rsidR="001E4D1E">
        <w:t>misure i</w:t>
      </w:r>
      <w:r w:rsidR="001125C5">
        <w:t>n</w:t>
      </w:r>
      <w:r w:rsidR="001E4D1E">
        <w:t xml:space="preserve"> RGB.</w:t>
      </w:r>
      <w:r w:rsidR="001125C5">
        <w:t xml:space="preserve"> </w:t>
      </w:r>
      <w:r w:rsidR="00C247EB">
        <w:t xml:space="preserve">Ogni check box esistente, corrisponde ad un valore booleano, </w:t>
      </w:r>
      <w:proofErr w:type="spellStart"/>
      <w:r w:rsidR="00C247EB">
        <w:t>true</w:t>
      </w:r>
      <w:proofErr w:type="spellEnd"/>
      <w:r w:rsidR="00C247EB">
        <w:t xml:space="preserve"> o false. Per recuperare tali valori, vengono fatti scorrere e salvati nei vettori di appoggio per la selezione delle misure. Attraverso il metodo </w:t>
      </w:r>
      <w:proofErr w:type="spellStart"/>
      <w:proofErr w:type="gramStart"/>
      <w:r w:rsidR="00C247EB">
        <w:t>setMeasurementsExstended</w:t>
      </w:r>
      <w:proofErr w:type="spellEnd"/>
      <w:r w:rsidR="00C247EB">
        <w:t>(</w:t>
      </w:r>
      <w:proofErr w:type="gramEnd"/>
      <w:r w:rsidR="00C247EB">
        <w:t>) vengono recuperati valori dai vettori di appoggio e, in base all’indice, viene assegnato il valore booleano agli attributi di appoggio corrispondenti alle misure implementate</w:t>
      </w:r>
      <w:r w:rsidR="001125C5">
        <w:t>; per esempio “</w:t>
      </w:r>
      <w:proofErr w:type="spellStart"/>
      <w:r w:rsidR="001125C5">
        <w:t>doConvexArea</w:t>
      </w:r>
      <w:proofErr w:type="spellEnd"/>
      <w:r w:rsidR="001125C5">
        <w:t xml:space="preserve">” se verrà settato come vero nella </w:t>
      </w:r>
      <w:proofErr w:type="spellStart"/>
      <w:r w:rsidR="001125C5">
        <w:t>Result</w:t>
      </w:r>
      <w:r w:rsidR="000F14D5">
        <w:t>s</w:t>
      </w:r>
      <w:r w:rsidR="001125C5">
        <w:t>Table</w:t>
      </w:r>
      <w:proofErr w:type="spellEnd"/>
      <w:r w:rsidR="001125C5">
        <w:t xml:space="preserve"> apparirà tale valore. L’</w:t>
      </w:r>
      <w:proofErr w:type="spellStart"/>
      <w:r w:rsidR="001125C5">
        <w:t>Override</w:t>
      </w:r>
      <w:proofErr w:type="spellEnd"/>
      <w:r w:rsidR="001125C5">
        <w:t xml:space="preserve"> più importante è del metodo </w:t>
      </w:r>
      <w:proofErr w:type="spellStart"/>
      <w:r w:rsidR="001125C5">
        <w:t>saveResult</w:t>
      </w:r>
      <w:r w:rsidR="000F14D5">
        <w:t>s</w:t>
      </w:r>
      <w:proofErr w:type="spellEnd"/>
      <w:r w:rsidR="000F14D5">
        <w:t xml:space="preserve">. Viene prima richiamato il metodo della super classe per poi aggiungere le misure da visualizzare. Vengono presi in ingresso un oggetto della classe </w:t>
      </w:r>
      <w:r w:rsidR="00C247EB">
        <w:t xml:space="preserve">ROI e il suo oggetto </w:t>
      </w:r>
      <w:proofErr w:type="spellStart"/>
      <w:r w:rsidR="00C247EB">
        <w:t>stats</w:t>
      </w:r>
      <w:proofErr w:type="spellEnd"/>
      <w:r w:rsidR="00C247EB">
        <w:t xml:space="preserve"> della classe </w:t>
      </w:r>
      <w:proofErr w:type="spellStart"/>
      <w:r w:rsidR="00C247EB">
        <w:t>ImageStatistics</w:t>
      </w:r>
      <w:proofErr w:type="spellEnd"/>
      <w:r w:rsidR="00C247EB">
        <w:t xml:space="preserve">. L’oggetto </w:t>
      </w:r>
      <w:proofErr w:type="spellStart"/>
      <w:r w:rsidR="00C247EB">
        <w:t>roi</w:t>
      </w:r>
      <w:proofErr w:type="spellEnd"/>
      <w:r w:rsidR="00C247EB">
        <w:t xml:space="preserve"> è</w:t>
      </w:r>
      <w:r w:rsidR="001125C5">
        <w:t xml:space="preserve"> l’area di interesse che occupa l’oggetto s</w:t>
      </w:r>
      <w:r w:rsidR="00C247EB">
        <w:t>ingolo analizzato in quel momento</w:t>
      </w:r>
      <w:r w:rsidR="000F14D5">
        <w:t xml:space="preserve">, a seconda della posizione nell’immagine. Sono necessarie alcuni attributi </w:t>
      </w:r>
      <w:r w:rsidR="00E07EB9">
        <w:t xml:space="preserve">per il calcolo di </w:t>
      </w:r>
      <w:r w:rsidR="000F14D5">
        <w:t xml:space="preserve">determinate </w:t>
      </w:r>
      <w:r w:rsidR="00E07EB9">
        <w:t>misure</w:t>
      </w:r>
      <w:r w:rsidR="000F14D5">
        <w:t xml:space="preserve"> tra questi un</w:t>
      </w:r>
      <w:r w:rsidR="00E07EB9">
        <w:t xml:space="preserve"> oggetto della classe </w:t>
      </w:r>
      <w:proofErr w:type="spellStart"/>
      <w:r w:rsidR="00E07EB9">
        <w:t>Polygon</w:t>
      </w:r>
      <w:proofErr w:type="spellEnd"/>
      <w:r w:rsidR="00E07EB9">
        <w:t xml:space="preserve"> reso dall’oggetto </w:t>
      </w:r>
      <w:proofErr w:type="spellStart"/>
      <w:r w:rsidR="00E07EB9">
        <w:t>roi</w:t>
      </w:r>
      <w:proofErr w:type="spellEnd"/>
      <w:r w:rsidR="00E07EB9">
        <w:t xml:space="preserve"> attraverso il</w:t>
      </w:r>
      <w:r w:rsidR="00C247EB">
        <w:t xml:space="preserve"> metodo </w:t>
      </w:r>
      <w:proofErr w:type="spellStart"/>
      <w:proofErr w:type="gramStart"/>
      <w:r w:rsidR="00C247EB">
        <w:t>getConvexHull</w:t>
      </w:r>
      <w:proofErr w:type="spellEnd"/>
      <w:r w:rsidR="00C247EB">
        <w:t>(</w:t>
      </w:r>
      <w:proofErr w:type="gramEnd"/>
      <w:r w:rsidR="00C247EB">
        <w:t xml:space="preserve">), per </w:t>
      </w:r>
      <w:r w:rsidR="000F14D5">
        <w:t xml:space="preserve">poter ottenere, come suggerisce il nome stesso, </w:t>
      </w:r>
      <w:r w:rsidR="00C247EB">
        <w:t xml:space="preserve">il suo </w:t>
      </w:r>
      <w:proofErr w:type="spellStart"/>
      <w:r w:rsidR="00C247EB">
        <w:t>convex</w:t>
      </w:r>
      <w:proofErr w:type="spellEnd"/>
      <w:r w:rsidR="00C247EB">
        <w:t xml:space="preserve"> </w:t>
      </w:r>
      <w:proofErr w:type="spellStart"/>
      <w:r w:rsidR="00C247EB">
        <w:t>hull</w:t>
      </w:r>
      <w:proofErr w:type="spellEnd"/>
      <w:r w:rsidR="00E07EB9">
        <w:t>. Grazie all</w:t>
      </w:r>
      <w:r w:rsidR="000F14D5">
        <w:t>a creazione di tale oggetto, vengono calcolati</w:t>
      </w:r>
      <w:r w:rsidR="00E07EB9">
        <w:t xml:space="preserve"> area e perimetro d</w:t>
      </w:r>
      <w:r w:rsidR="000F14D5">
        <w:t xml:space="preserve">el </w:t>
      </w:r>
      <w:proofErr w:type="spellStart"/>
      <w:r w:rsidR="000F14D5">
        <w:t>convex</w:t>
      </w:r>
      <w:proofErr w:type="spellEnd"/>
      <w:r w:rsidR="000F14D5">
        <w:t xml:space="preserve"> </w:t>
      </w:r>
      <w:proofErr w:type="spellStart"/>
      <w:r w:rsidR="000F14D5">
        <w:t>hull</w:t>
      </w:r>
      <w:proofErr w:type="spellEnd"/>
      <w:r w:rsidR="00C247EB">
        <w:t xml:space="preserve">, chiamando </w:t>
      </w:r>
      <w:r w:rsidR="00AA275B">
        <w:t>due metodi</w:t>
      </w:r>
      <w:r w:rsidR="00E07EB9">
        <w:t xml:space="preserve"> </w:t>
      </w:r>
      <w:r w:rsidR="00AA275B">
        <w:t>interni</w:t>
      </w:r>
      <w:r w:rsidR="000F14D5">
        <w:t xml:space="preserve"> </w:t>
      </w:r>
      <w:r w:rsidR="00AA275B">
        <w:t xml:space="preserve">della classe, </w:t>
      </w:r>
      <w:proofErr w:type="spellStart"/>
      <w:r w:rsidR="00E07EB9">
        <w:t>getArea</w:t>
      </w:r>
      <w:proofErr w:type="spellEnd"/>
      <w:r w:rsidR="00E07EB9">
        <w:t xml:space="preserve"> e </w:t>
      </w:r>
      <w:proofErr w:type="spellStart"/>
      <w:r w:rsidR="00E07EB9">
        <w:t>getPerimeter</w:t>
      </w:r>
      <w:proofErr w:type="spellEnd"/>
      <w:r w:rsidR="00E07EB9">
        <w:t xml:space="preserve">. </w:t>
      </w:r>
      <w:r w:rsidR="00AA275B">
        <w:t xml:space="preserve">Vengono anche salvati i dati relativi al </w:t>
      </w:r>
      <w:proofErr w:type="spellStart"/>
      <w:r w:rsidR="00AA275B">
        <w:t>Feret</w:t>
      </w:r>
      <w:proofErr w:type="spellEnd"/>
      <w:r w:rsidR="00AA275B">
        <w:t xml:space="preserve"> e del perimetro dell’oggetto e un vettore di interi </w:t>
      </w:r>
      <w:r w:rsidR="00E07EB9">
        <w:t>pop</w:t>
      </w:r>
      <w:r w:rsidR="00AA275B">
        <w:t xml:space="preserve">olato dall’istogramma, dato dall’oggetto </w:t>
      </w:r>
      <w:proofErr w:type="spellStart"/>
      <w:r w:rsidR="00AA275B">
        <w:t>ImageStatistics</w:t>
      </w:r>
      <w:proofErr w:type="spellEnd"/>
      <w:r w:rsidR="00AA275B">
        <w:t>. Con una serie di strutture</w:t>
      </w:r>
      <w:r w:rsidR="00C247EB">
        <w:t xml:space="preserve"> di controllo </w:t>
      </w:r>
      <w:proofErr w:type="spellStart"/>
      <w:r w:rsidR="00C247EB">
        <w:t>if</w:t>
      </w:r>
      <w:proofErr w:type="spellEnd"/>
      <w:r w:rsidR="00E07EB9">
        <w:t xml:space="preserve"> consecutivi, viene verificata la necessità di calcolare </w:t>
      </w:r>
      <w:proofErr w:type="gramStart"/>
      <w:r w:rsidR="00E07EB9">
        <w:t>le features</w:t>
      </w:r>
      <w:proofErr w:type="gramEnd"/>
      <w:r w:rsidR="00E07EB9">
        <w:t xml:space="preserve"> attraverso i booleani settati prec</w:t>
      </w:r>
      <w:r w:rsidR="00AA275B">
        <w:t>edentemente</w:t>
      </w:r>
      <w:r w:rsidR="002F5DE2">
        <w:t xml:space="preserve">. </w:t>
      </w:r>
      <w:r w:rsidR="004A6718">
        <w:t xml:space="preserve">Se l’immagine è in RGB si controllano anche le misure relative a quella tipologia. Dunque si crea un oggetto </w:t>
      </w:r>
      <w:proofErr w:type="spellStart"/>
      <w:r w:rsidR="004A6718">
        <w:t>ImageStatistics</w:t>
      </w:r>
      <w:proofErr w:type="spellEnd"/>
      <w:r w:rsidR="004A6718">
        <w:t xml:space="preserve"> dalle immagini ricavate</w:t>
      </w:r>
      <w:r w:rsidR="002F5DE2">
        <w:t xml:space="preserve"> e recuperate dai due vettori </w:t>
      </w:r>
      <w:proofErr w:type="spellStart"/>
      <w:r w:rsidR="002F5DE2">
        <w:t>im</w:t>
      </w:r>
      <w:r w:rsidR="00AA275B">
        <w:t>pPlusesRGB</w:t>
      </w:r>
      <w:proofErr w:type="spellEnd"/>
      <w:r w:rsidR="00AA275B">
        <w:t xml:space="preserve"> e </w:t>
      </w:r>
      <w:proofErr w:type="spellStart"/>
      <w:r w:rsidR="00AA275B">
        <w:t>impPlusesHSB</w:t>
      </w:r>
      <w:proofErr w:type="spellEnd"/>
      <w:r w:rsidR="00AA275B">
        <w:t xml:space="preserve">, dopo averle settato la regione di interessa presa in considerazione, con il metodo </w:t>
      </w:r>
      <w:proofErr w:type="spellStart"/>
      <w:proofErr w:type="gramStart"/>
      <w:r w:rsidR="00AA275B">
        <w:t>setRoi</w:t>
      </w:r>
      <w:proofErr w:type="spellEnd"/>
      <w:r w:rsidR="00AA275B">
        <w:t>(</w:t>
      </w:r>
      <w:proofErr w:type="spellStart"/>
      <w:proofErr w:type="gramEnd"/>
      <w:r w:rsidR="00AA275B">
        <w:t>Roi</w:t>
      </w:r>
      <w:proofErr w:type="spellEnd"/>
      <w:r w:rsidR="00AA275B">
        <w:t xml:space="preserve"> </w:t>
      </w:r>
      <w:proofErr w:type="spellStart"/>
      <w:r w:rsidR="00AA275B">
        <w:t>roi</w:t>
      </w:r>
      <w:proofErr w:type="spellEnd"/>
      <w:r w:rsidR="00AA275B">
        <w:t>). Sono stati implementati</w:t>
      </w:r>
      <w:r w:rsidR="004A6718">
        <w:t xml:space="preserve"> i metodi di appoggio per calcolare l’are</w:t>
      </w:r>
      <w:r w:rsidR="00AA275B">
        <w:t xml:space="preserve">a e il perimetro del </w:t>
      </w:r>
      <w:proofErr w:type="spellStart"/>
      <w:r w:rsidR="00AA275B">
        <w:t>convexHull</w:t>
      </w:r>
      <w:proofErr w:type="spellEnd"/>
      <w:r w:rsidR="00AA275B">
        <w:t xml:space="preserve"> e il calcolo </w:t>
      </w:r>
      <w:proofErr w:type="gramStart"/>
      <w:r w:rsidR="00AA275B">
        <w:t>delle features</w:t>
      </w:r>
      <w:proofErr w:type="gramEnd"/>
      <w:r w:rsidR="004A6718">
        <w:t xml:space="preserve"> Bending Energy, </w:t>
      </w:r>
      <w:proofErr w:type="spellStart"/>
      <w:r w:rsidR="004A6718">
        <w:t>HeralickRatio</w:t>
      </w:r>
      <w:proofErr w:type="spellEnd"/>
      <w:r w:rsidR="004A6718">
        <w:t xml:space="preserve">, </w:t>
      </w:r>
      <w:proofErr w:type="spellStart"/>
      <w:r w:rsidR="004A6718">
        <w:t>Entropy</w:t>
      </w:r>
      <w:proofErr w:type="spellEnd"/>
      <w:r w:rsidR="004A6718">
        <w:t xml:space="preserve">, </w:t>
      </w:r>
      <w:proofErr w:type="spellStart"/>
      <w:r w:rsidR="004A6718">
        <w:t>InsentisitySum</w:t>
      </w:r>
      <w:proofErr w:type="spellEnd"/>
      <w:r w:rsidR="004A6718">
        <w:t xml:space="preserve">, </w:t>
      </w:r>
      <w:proofErr w:type="spellStart"/>
      <w:r w:rsidR="00644411">
        <w:t>Uniformity</w:t>
      </w:r>
      <w:proofErr w:type="spellEnd"/>
      <w:r w:rsidR="00644411">
        <w:t xml:space="preserve"> e</w:t>
      </w:r>
      <w:r w:rsidR="004A6718">
        <w:t xml:space="preserve"> </w:t>
      </w:r>
      <w:proofErr w:type="spellStart"/>
      <w:r w:rsidR="004A6718">
        <w:t>Smothness</w:t>
      </w:r>
      <w:proofErr w:type="spellEnd"/>
      <w:r w:rsidR="004A6718">
        <w:t xml:space="preserve">. A seguire una serie di metodi di appoggio per la distanza, calcolo del logaritmo in base due e </w:t>
      </w:r>
      <w:r w:rsidR="00D62D3A">
        <w:t>calcolo di operazioni per i</w:t>
      </w:r>
      <w:r w:rsidR="004A6718">
        <w:t xml:space="preserve"> vettori.</w:t>
      </w:r>
    </w:p>
    <w:p w:rsidR="005777F2" w:rsidRDefault="005B29BE" w:rsidP="00551E9F">
      <w:pPr>
        <w:pStyle w:val="Titolo3"/>
        <w:jc w:val="both"/>
      </w:pPr>
      <w:r>
        <w:t>Misure inser</w:t>
      </w:r>
      <w:r w:rsidR="002F5DE2">
        <w:t xml:space="preserve">ite nel Plugin ricavate da </w:t>
      </w:r>
      <w:proofErr w:type="spellStart"/>
      <w:r w:rsidR="002F5DE2">
        <w:t>ImageJ</w:t>
      </w:r>
      <w:proofErr w:type="spellEnd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14"/>
        <w:gridCol w:w="4820"/>
      </w:tblGrid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r>
              <w:t>Nome della misura</w:t>
            </w:r>
          </w:p>
        </w:tc>
        <w:tc>
          <w:tcPr>
            <w:tcW w:w="4820" w:type="dxa"/>
          </w:tcPr>
          <w:p w:rsidR="005777F2" w:rsidRDefault="005777F2" w:rsidP="00551E9F">
            <w:pPr>
              <w:jc w:val="both"/>
            </w:pPr>
            <w:r>
              <w:t>Descrizione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r>
              <w:t>Area</w:t>
            </w:r>
          </w:p>
        </w:tc>
        <w:tc>
          <w:tcPr>
            <w:tcW w:w="4820" w:type="dxa"/>
          </w:tcPr>
          <w:p w:rsidR="005777F2" w:rsidRDefault="005777F2" w:rsidP="00551E9F">
            <w:pPr>
              <w:jc w:val="both"/>
            </w:pPr>
            <w:r>
              <w:t>Area della regione di interesse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proofErr w:type="spellStart"/>
            <w:r>
              <w:t>Perimeter</w:t>
            </w:r>
            <w:proofErr w:type="spellEnd"/>
          </w:p>
        </w:tc>
        <w:tc>
          <w:tcPr>
            <w:tcW w:w="4820" w:type="dxa"/>
          </w:tcPr>
          <w:p w:rsidR="005777F2" w:rsidRDefault="005777F2" w:rsidP="00551E9F">
            <w:pPr>
              <w:jc w:val="both"/>
            </w:pPr>
            <w:r>
              <w:t>Perimetro della regione di interesse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proofErr w:type="spellStart"/>
            <w:r>
              <w:lastRenderedPageBreak/>
              <w:t>Centroid</w:t>
            </w:r>
            <w:proofErr w:type="spellEnd"/>
          </w:p>
        </w:tc>
        <w:tc>
          <w:tcPr>
            <w:tcW w:w="4820" w:type="dxa"/>
          </w:tcPr>
          <w:p w:rsidR="005777F2" w:rsidRDefault="005777F2" w:rsidP="00551E9F">
            <w:pPr>
              <w:jc w:val="both"/>
            </w:pPr>
            <w:proofErr w:type="spellStart"/>
            <w:r>
              <w:t>Centroide</w:t>
            </w:r>
            <w:proofErr w:type="spellEnd"/>
            <w:r>
              <w:t xml:space="preserve"> o centro geometrico della regione, ovvero la posizione media di tutti i suoi punti inteso anche come media aritmetica della posizione di ciascuno di essi.</w:t>
            </w:r>
            <w:r w:rsidR="00037EC3">
              <w:t xml:space="preserve"> Vengono visualizzati le coordinate x e y.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r>
              <w:t>Center of mass</w:t>
            </w:r>
          </w:p>
        </w:tc>
        <w:tc>
          <w:tcPr>
            <w:tcW w:w="4820" w:type="dxa"/>
          </w:tcPr>
          <w:p w:rsidR="005777F2" w:rsidRDefault="005777F2" w:rsidP="00551E9F">
            <w:pPr>
              <w:jc w:val="both"/>
            </w:pPr>
            <w:r>
              <w:t>Centro della massa della regione, punto geometrico corrispondente al valore medio della distribuzione della massa del sistema nello spazio.</w:t>
            </w:r>
            <w:r w:rsidR="00037EC3">
              <w:t xml:space="preserve"> Vengono visualizzati le coordinate </w:t>
            </w:r>
            <w:proofErr w:type="spellStart"/>
            <w:r w:rsidR="00037EC3">
              <w:t>xm</w:t>
            </w:r>
            <w:proofErr w:type="spellEnd"/>
            <w:r w:rsidR="00037EC3">
              <w:t xml:space="preserve"> e </w:t>
            </w:r>
            <w:proofErr w:type="spellStart"/>
            <w:r w:rsidR="00037EC3">
              <w:t>ym</w:t>
            </w:r>
            <w:proofErr w:type="spellEnd"/>
            <w:r w:rsidR="00037EC3">
              <w:t>.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proofErr w:type="spellStart"/>
            <w:r>
              <w:t>Bounding</w:t>
            </w:r>
            <w:proofErr w:type="spellEnd"/>
            <w:r>
              <w:t xml:space="preserve"> </w:t>
            </w:r>
            <w:proofErr w:type="spellStart"/>
            <w:r>
              <w:t>Rectangle</w:t>
            </w:r>
            <w:proofErr w:type="spellEnd"/>
          </w:p>
        </w:tc>
        <w:tc>
          <w:tcPr>
            <w:tcW w:w="4820" w:type="dxa"/>
          </w:tcPr>
          <w:p w:rsidR="005777F2" w:rsidRDefault="005777F2" w:rsidP="00551E9F">
            <w:pPr>
              <w:jc w:val="both"/>
            </w:pPr>
            <w:r>
              <w:t>Valore dell’insieme dei punti del rettangolo della scatola di delimitazione (</w:t>
            </w:r>
            <w:proofErr w:type="spellStart"/>
            <w:r>
              <w:t>bounding</w:t>
            </w:r>
            <w:proofErr w:type="spellEnd"/>
            <w:r>
              <w:t xml:space="preserve"> box) della regione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proofErr w:type="spellStart"/>
            <w:r>
              <w:t>Fit</w:t>
            </w:r>
            <w:proofErr w:type="spellEnd"/>
            <w:r>
              <w:t xml:space="preserve"> </w:t>
            </w:r>
            <w:proofErr w:type="spellStart"/>
            <w:r>
              <w:t>Ellipse</w:t>
            </w:r>
            <w:proofErr w:type="spellEnd"/>
          </w:p>
        </w:tc>
        <w:tc>
          <w:tcPr>
            <w:tcW w:w="4820" w:type="dxa"/>
          </w:tcPr>
          <w:p w:rsidR="005777F2" w:rsidRDefault="00037EC3" w:rsidP="00551E9F">
            <w:pPr>
              <w:jc w:val="both"/>
            </w:pPr>
            <w:r>
              <w:t>Restituzione dell’asse maggiore, minore e dell’angolo dell’ellissi adattata alla regione di interesse.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descriptors</w:t>
            </w:r>
            <w:proofErr w:type="spellEnd"/>
          </w:p>
        </w:tc>
        <w:tc>
          <w:tcPr>
            <w:tcW w:w="4820" w:type="dxa"/>
          </w:tcPr>
          <w:p w:rsidR="005777F2" w:rsidRDefault="00AA275B" w:rsidP="00551E9F">
            <w:pPr>
              <w:jc w:val="both"/>
            </w:pPr>
            <w:r>
              <w:t xml:space="preserve">Calcolo di </w:t>
            </w:r>
            <w:proofErr w:type="spellStart"/>
            <w:r>
              <w:t>Circularity</w:t>
            </w:r>
            <w:proofErr w:type="spellEnd"/>
            <w:r>
              <w:t xml:space="preserve">, AR, </w:t>
            </w:r>
            <w:proofErr w:type="spellStart"/>
            <w:r>
              <w:t>Roundness</w:t>
            </w:r>
            <w:proofErr w:type="spellEnd"/>
            <w:r>
              <w:t xml:space="preserve">, e </w:t>
            </w:r>
            <w:proofErr w:type="spellStart"/>
            <w:r>
              <w:t>Solidity</w:t>
            </w:r>
            <w:proofErr w:type="spellEnd"/>
            <w:r>
              <w:t>.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proofErr w:type="spellStart"/>
            <w:r>
              <w:t>Feret’s</w:t>
            </w:r>
            <w:proofErr w:type="spellEnd"/>
            <w:r>
              <w:t xml:space="preserve"> </w:t>
            </w:r>
            <w:proofErr w:type="spellStart"/>
            <w:r>
              <w:t>diameter</w:t>
            </w:r>
            <w:proofErr w:type="spellEnd"/>
          </w:p>
        </w:tc>
        <w:tc>
          <w:tcPr>
            <w:tcW w:w="4820" w:type="dxa"/>
          </w:tcPr>
          <w:p w:rsidR="005777F2" w:rsidRDefault="00AA275B" w:rsidP="00551E9F">
            <w:pPr>
              <w:jc w:val="both"/>
            </w:pPr>
            <w:r>
              <w:t xml:space="preserve">Calcolo del </w:t>
            </w:r>
            <w:proofErr w:type="spellStart"/>
            <w:r>
              <w:t>Feret</w:t>
            </w:r>
            <w:proofErr w:type="spellEnd"/>
            <w:r>
              <w:t xml:space="preserve"> inteso come il massimo diametro dell</w:t>
            </w:r>
            <w:r w:rsidR="00037EC3">
              <w:t xml:space="preserve">a regione di interesse, dell’angolo del </w:t>
            </w:r>
            <w:proofErr w:type="spellStart"/>
            <w:r w:rsidR="00037EC3">
              <w:t>feret</w:t>
            </w:r>
            <w:proofErr w:type="spellEnd"/>
            <w:r w:rsidR="00037EC3">
              <w:t xml:space="preserve"> e del </w:t>
            </w:r>
            <w:proofErr w:type="spellStart"/>
            <w:r w:rsidR="00037EC3">
              <w:t>breadth</w:t>
            </w:r>
            <w:proofErr w:type="spellEnd"/>
            <w:r w:rsidR="00037EC3">
              <w:t xml:space="preserve"> inteso come il minimo diametro della regione di interesse.</w:t>
            </w:r>
          </w:p>
        </w:tc>
      </w:tr>
      <w:tr w:rsidR="005777F2" w:rsidTr="00D832FE">
        <w:tc>
          <w:tcPr>
            <w:tcW w:w="4814" w:type="dxa"/>
          </w:tcPr>
          <w:p w:rsidR="005777F2" w:rsidRDefault="005777F2" w:rsidP="00551E9F">
            <w:pPr>
              <w:jc w:val="both"/>
            </w:pPr>
            <w:proofErr w:type="spellStart"/>
            <w:r>
              <w:t>Stack</w:t>
            </w:r>
            <w:proofErr w:type="spellEnd"/>
            <w:r>
              <w:t xml:space="preserve"> Position</w:t>
            </w:r>
          </w:p>
        </w:tc>
        <w:tc>
          <w:tcPr>
            <w:tcW w:w="4820" w:type="dxa"/>
          </w:tcPr>
          <w:p w:rsidR="00D832FE" w:rsidRDefault="005777F2" w:rsidP="00551E9F">
            <w:pPr>
              <w:jc w:val="both"/>
            </w:pPr>
            <w:r>
              <w:t xml:space="preserve">Posizione della immagine nello </w:t>
            </w:r>
            <w:proofErr w:type="spellStart"/>
            <w:r>
              <w:t>stack</w:t>
            </w:r>
            <w:proofErr w:type="spellEnd"/>
            <w:r>
              <w:t xml:space="preserve"> di immagini</w:t>
            </w:r>
          </w:p>
        </w:tc>
      </w:tr>
      <w:tr w:rsidR="00D832FE" w:rsidTr="00D832FE">
        <w:tc>
          <w:tcPr>
            <w:tcW w:w="4814" w:type="dxa"/>
          </w:tcPr>
          <w:p w:rsidR="00D832FE" w:rsidRDefault="00D832FE" w:rsidP="00551E9F">
            <w:pPr>
              <w:jc w:val="both"/>
            </w:pPr>
            <w:proofErr w:type="spellStart"/>
            <w:r>
              <w:t>Mean</w:t>
            </w:r>
            <w:proofErr w:type="spellEnd"/>
            <w:r>
              <w:t xml:space="preserve"> </w:t>
            </w:r>
          </w:p>
        </w:tc>
        <w:tc>
          <w:tcPr>
            <w:tcW w:w="4820" w:type="dxa"/>
          </w:tcPr>
          <w:p w:rsidR="00D832FE" w:rsidRDefault="00D832FE" w:rsidP="00551E9F">
            <w:pPr>
              <w:jc w:val="both"/>
            </w:pPr>
            <w:r>
              <w:t>Media del valore grigio presente nella regione di interesse</w:t>
            </w:r>
          </w:p>
        </w:tc>
      </w:tr>
      <w:tr w:rsidR="00D832FE" w:rsidTr="00D832FE">
        <w:tc>
          <w:tcPr>
            <w:tcW w:w="4814" w:type="dxa"/>
          </w:tcPr>
          <w:p w:rsidR="00D832FE" w:rsidRDefault="00D832FE" w:rsidP="00551E9F">
            <w:pPr>
              <w:jc w:val="both"/>
            </w:pPr>
            <w:proofErr w:type="spellStart"/>
            <w:r>
              <w:t>Skewness</w:t>
            </w:r>
            <w:proofErr w:type="spellEnd"/>
          </w:p>
        </w:tc>
        <w:tc>
          <w:tcPr>
            <w:tcW w:w="4820" w:type="dxa"/>
          </w:tcPr>
          <w:p w:rsidR="00D832FE" w:rsidRDefault="00D832FE" w:rsidP="00551E9F">
            <w:pPr>
              <w:jc w:val="both"/>
            </w:pPr>
            <w:r>
              <w:t xml:space="preserve">Grado di </w:t>
            </w:r>
            <w:proofErr w:type="spellStart"/>
            <w:r>
              <w:t>assimmetria</w:t>
            </w:r>
            <w:proofErr w:type="spellEnd"/>
            <w:r>
              <w:t xml:space="preserve"> della distribuz</w:t>
            </w:r>
            <w:r w:rsidR="00037EC3">
              <w:t xml:space="preserve">ione dei valori di </w:t>
            </w:r>
            <w:proofErr w:type="spellStart"/>
            <w:r w:rsidR="00037EC3">
              <w:t>intesità</w:t>
            </w:r>
            <w:proofErr w:type="spellEnd"/>
            <w:r w:rsidR="00037EC3">
              <w:t xml:space="preserve"> del </w:t>
            </w:r>
            <w:r>
              <w:t>livello di grigio</w:t>
            </w:r>
          </w:p>
        </w:tc>
      </w:tr>
      <w:tr w:rsidR="00D832FE" w:rsidTr="00D832FE">
        <w:tc>
          <w:tcPr>
            <w:tcW w:w="4814" w:type="dxa"/>
          </w:tcPr>
          <w:p w:rsidR="00D832FE" w:rsidRDefault="00D832FE" w:rsidP="00551E9F">
            <w:pPr>
              <w:jc w:val="both"/>
            </w:pPr>
            <w:proofErr w:type="spellStart"/>
            <w:r>
              <w:t>Kurtosis</w:t>
            </w:r>
            <w:proofErr w:type="spellEnd"/>
            <w:r>
              <w:t xml:space="preserve"> K</w:t>
            </w:r>
          </w:p>
        </w:tc>
        <w:tc>
          <w:tcPr>
            <w:tcW w:w="4820" w:type="dxa"/>
          </w:tcPr>
          <w:p w:rsidR="00D832FE" w:rsidRDefault="00D832FE" w:rsidP="00551E9F">
            <w:pPr>
              <w:jc w:val="both"/>
            </w:pPr>
            <w:r>
              <w:t>La curtosi è un allontanamento della normalità distributiva, rispetto alla quale si verifica un maggiore appiattimento o un maggiore allungamento, applicata ai valori di grigio</w:t>
            </w:r>
          </w:p>
          <w:p w:rsidR="00D832FE" w:rsidRDefault="00D832FE" w:rsidP="00551E9F">
            <w:pPr>
              <w:jc w:val="both"/>
            </w:pPr>
            <w:r>
              <w:t>Una misura del grado in cui la distribuzione dei valori di intensità di grigio si discosta dalla curva gaussiana</w:t>
            </w:r>
          </w:p>
        </w:tc>
      </w:tr>
      <w:tr w:rsidR="00D832FE" w:rsidTr="00D832FE">
        <w:tc>
          <w:tcPr>
            <w:tcW w:w="4814" w:type="dxa"/>
          </w:tcPr>
          <w:p w:rsidR="00D832FE" w:rsidRDefault="00D832FE" w:rsidP="00551E9F">
            <w:pPr>
              <w:jc w:val="both"/>
            </w:pPr>
            <w:proofErr w:type="spellStart"/>
            <w:r>
              <w:t>Median</w:t>
            </w:r>
            <w:proofErr w:type="spellEnd"/>
          </w:p>
        </w:tc>
        <w:tc>
          <w:tcPr>
            <w:tcW w:w="4820" w:type="dxa"/>
          </w:tcPr>
          <w:p w:rsidR="00D832FE" w:rsidRDefault="00D832FE" w:rsidP="00551E9F">
            <w:pPr>
              <w:jc w:val="both"/>
            </w:pPr>
            <w:r>
              <w:t xml:space="preserve">La mediana dei valori dei </w:t>
            </w:r>
            <w:proofErr w:type="spellStart"/>
            <w:r>
              <w:t>pixels</w:t>
            </w:r>
            <w:proofErr w:type="spellEnd"/>
            <w:r>
              <w:t xml:space="preserve"> nell’area di interesse.</w:t>
            </w:r>
          </w:p>
        </w:tc>
      </w:tr>
    </w:tbl>
    <w:p w:rsidR="005777F2" w:rsidRDefault="005777F2" w:rsidP="00551E9F">
      <w:pPr>
        <w:jc w:val="both"/>
      </w:pPr>
    </w:p>
    <w:p w:rsidR="00D62D3A" w:rsidRDefault="00D62D3A" w:rsidP="00551E9F">
      <w:pPr>
        <w:pStyle w:val="Titolo3"/>
        <w:jc w:val="both"/>
      </w:pPr>
      <w:r>
        <w:t xml:space="preserve">Misure </w:t>
      </w:r>
      <w:r w:rsidR="002F5DE2">
        <w:t>implementate per le immagini in bianco nero</w:t>
      </w:r>
    </w:p>
    <w:tbl>
      <w:tblPr>
        <w:tblStyle w:val="Grigliatabella"/>
        <w:tblW w:w="9683" w:type="dxa"/>
        <w:tblLook w:val="04A0" w:firstRow="1" w:lastRow="0" w:firstColumn="1" w:lastColumn="0" w:noHBand="0" w:noVBand="1"/>
      </w:tblPr>
      <w:tblGrid>
        <w:gridCol w:w="4815"/>
        <w:gridCol w:w="4868"/>
      </w:tblGrid>
      <w:tr w:rsidR="00D832FE" w:rsidTr="00D832FE">
        <w:trPr>
          <w:trHeight w:val="227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r>
              <w:t>Nome della misura</w:t>
            </w:r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>Descrizione</w:t>
            </w:r>
          </w:p>
        </w:tc>
      </w:tr>
      <w:tr w:rsidR="00D832FE" w:rsidTr="00D832FE">
        <w:trPr>
          <w:trHeight w:val="932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Convex</w:t>
            </w:r>
            <w:proofErr w:type="spellEnd"/>
            <w:r>
              <w:t xml:space="preserve"> Area</w:t>
            </w:r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>Area del poligono convesso.</w:t>
            </w:r>
          </w:p>
          <w:p w:rsidR="00D832FE" w:rsidRDefault="00D832FE" w:rsidP="00551E9F">
            <w:pPr>
              <w:jc w:val="both"/>
            </w:pPr>
            <w:r>
              <w:t xml:space="preserve">Somma di tutte le distanze tra i; dato un punto A e un Punto A-1 e divisione per due. (Tratta il </w:t>
            </w:r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hull</w:t>
            </w:r>
            <w:proofErr w:type="spellEnd"/>
            <w:r>
              <w:t xml:space="preserve"> come se fosse composto da tanti triangolo?)</w:t>
            </w:r>
          </w:p>
        </w:tc>
      </w:tr>
      <w:tr w:rsidR="00D832FE" w:rsidTr="00D832FE">
        <w:trPr>
          <w:trHeight w:val="920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Perimeter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>Perimetro del poligono convesso</w:t>
            </w:r>
          </w:p>
          <w:p w:rsidR="00D832FE" w:rsidRDefault="00D832FE" w:rsidP="00551E9F">
            <w:pPr>
              <w:jc w:val="both"/>
            </w:pPr>
            <w:r>
              <w:t xml:space="preserve">Somma delle distanze tra tutti i punti del contorno del </w:t>
            </w:r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Hull</w:t>
            </w:r>
            <w:proofErr w:type="spellEnd"/>
          </w:p>
        </w:tc>
      </w:tr>
      <w:tr w:rsidR="00D832FE" w:rsidTr="00D832FE">
        <w:trPr>
          <w:trHeight w:val="1170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MinR</w:t>
            </w:r>
            <w:proofErr w:type="spellEnd"/>
            <w:r>
              <w:t xml:space="preserve"> (?)</w:t>
            </w:r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>Raggio del cerchio inscritto con punto di origine uguale al centro della massa interessata.</w:t>
            </w:r>
          </w:p>
          <w:p w:rsidR="00D832FE" w:rsidRDefault="00D832FE" w:rsidP="00551E9F">
            <w:pPr>
              <w:jc w:val="both"/>
            </w:pPr>
            <w:r>
              <w:t>Divisione del minimo diametro per due</w:t>
            </w:r>
          </w:p>
        </w:tc>
      </w:tr>
      <w:tr w:rsidR="00D832FE" w:rsidTr="00D832FE">
        <w:trPr>
          <w:trHeight w:val="1159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MaxR</w:t>
            </w:r>
            <w:proofErr w:type="spellEnd"/>
            <w:r>
              <w:t xml:space="preserve"> (?)</w:t>
            </w:r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>Raggio del cerchio inscritto con punto di origine uguale al centro della massa interessata</w:t>
            </w:r>
          </w:p>
          <w:p w:rsidR="00D832FE" w:rsidRDefault="00D832FE" w:rsidP="00551E9F">
            <w:pPr>
              <w:jc w:val="both"/>
            </w:pPr>
            <w:r>
              <w:t xml:space="preserve">Divisione del massimo diametro, chiamato </w:t>
            </w:r>
            <w:proofErr w:type="spellStart"/>
            <w:r>
              <w:t>feret</w:t>
            </w:r>
            <w:proofErr w:type="spellEnd"/>
            <w:r>
              <w:t>, per due</w:t>
            </w:r>
          </w:p>
        </w:tc>
      </w:tr>
      <w:tr w:rsidR="00D832FE" w:rsidTr="00D832FE">
        <w:trPr>
          <w:trHeight w:val="783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lastRenderedPageBreak/>
              <w:t>AspRatio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 xml:space="preserve">Chiamato anche </w:t>
            </w:r>
            <w:proofErr w:type="spellStart"/>
            <w:r>
              <w:t>Feret</w:t>
            </w:r>
            <w:proofErr w:type="spellEnd"/>
            <w:r>
              <w:t xml:space="preserve"> Ratio o </w:t>
            </w:r>
            <w:proofErr w:type="spellStart"/>
            <w:r>
              <w:t>Eccentricy</w:t>
            </w:r>
            <w:proofErr w:type="spellEnd"/>
            <w:r>
              <w:t xml:space="preserve"> o </w:t>
            </w:r>
            <w:proofErr w:type="spellStart"/>
            <w:r>
              <w:t>Rectangular</w:t>
            </w:r>
            <w:proofErr w:type="spellEnd"/>
            <w:r>
              <w:t xml:space="preserve"> Ratio</w:t>
            </w:r>
            <w:r w:rsidR="00037EC3">
              <w:t>.</w:t>
            </w:r>
          </w:p>
          <w:p w:rsidR="00D832FE" w:rsidRPr="00D832FE" w:rsidRDefault="002F5DE2" w:rsidP="00551E9F">
            <w:pPr>
              <w:jc w:val="both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Feret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Breadth</m:t>
                    </m:r>
                  </m:den>
                </m:f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681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Roundness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  <w:rPr>
                <w:vertAlign w:val="superscript"/>
              </w:rPr>
            </w:pPr>
          </w:p>
          <w:p w:rsidR="00D832FE" w:rsidRPr="00D0276F" w:rsidRDefault="002F5DE2" w:rsidP="00551E9F">
            <w:pPr>
              <w:jc w:val="both"/>
              <w:rPr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perscript"/>
                      </w:rPr>
                      <m:t>4×Area</m:t>
                    </m:r>
                  </m:num>
                  <m:den>
                    <m:r>
                      <w:rPr>
                        <w:rFonts w:ascii="Cambria Math" w:hAnsi="Cambria Math"/>
                        <w:vertAlign w:val="superscript"/>
                      </w:rPr>
                      <m:t>π×Feret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den>
                </m:f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738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ArEquivD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>Diametro del cerchio con l’equivalente area.</w:t>
            </w:r>
          </w:p>
          <w:p w:rsidR="00D832FE" w:rsidRDefault="00D832FE" w:rsidP="00551E9F">
            <w:pPr>
              <w:jc w:val="both"/>
            </w:pPr>
          </w:p>
          <w:p w:rsidR="00D832FE" w:rsidRPr="00D832FE" w:rsidRDefault="002F5DE2" w:rsidP="00551E9F">
            <w:pPr>
              <w:jc w:val="bot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4×π×Area</m:t>
                    </m:r>
                  </m:e>
                </m:rad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693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PerEquivD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>Diametro del cerchio con l’equivalente perimetro.</w:t>
            </w:r>
          </w:p>
          <w:p w:rsidR="00D832FE" w:rsidRDefault="00D832FE" w:rsidP="00551E9F">
            <w:pPr>
              <w:jc w:val="both"/>
            </w:pPr>
          </w:p>
          <w:p w:rsidR="00D832FE" w:rsidRPr="00D832FE" w:rsidRDefault="002F5DE2" w:rsidP="00551E9F">
            <w:pPr>
              <w:jc w:val="both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Area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π</m:t>
                    </m:r>
                  </m:den>
                </m:f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932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EquivEllAr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 xml:space="preserve">Area dell’ellissi con il </w:t>
            </w:r>
            <w:proofErr w:type="spellStart"/>
            <w:r>
              <w:t>Feret</w:t>
            </w:r>
            <w:proofErr w:type="spellEnd"/>
            <w:r>
              <w:t xml:space="preserve"> come asse maggiore e il </w:t>
            </w:r>
            <w:proofErr w:type="spellStart"/>
            <w:r>
              <w:t>Breath</w:t>
            </w:r>
            <w:proofErr w:type="spellEnd"/>
            <w:r>
              <w:t xml:space="preserve"> asse minore.</w:t>
            </w:r>
          </w:p>
          <w:p w:rsidR="00D832FE" w:rsidRDefault="00D832FE" w:rsidP="00551E9F">
            <w:pPr>
              <w:jc w:val="both"/>
            </w:pPr>
          </w:p>
          <w:p w:rsidR="00D832FE" w:rsidRPr="00D832FE" w:rsidRDefault="002F5DE2" w:rsidP="00551E9F">
            <w:pPr>
              <w:jc w:val="both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(π×Feret×Breadth)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den>
                </m:f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761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Compactness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</w:p>
          <w:p w:rsidR="00D832FE" w:rsidRPr="0060773C" w:rsidRDefault="002F5DE2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4×π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×Area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Feret</m:t>
                    </m:r>
                  </m:den>
                </m:f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38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Concavity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</w:p>
          <w:p w:rsidR="00D832FE" w:rsidRPr="00D832FE" w:rsidRDefault="00D832FE" w:rsidP="00551E9F">
            <w:pPr>
              <w:jc w:val="both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ConvexArea-Area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705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Convexity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 xml:space="preserve">Chiamata anche </w:t>
            </w:r>
            <w:proofErr w:type="spellStart"/>
            <w:r>
              <w:t>rugosity</w:t>
            </w:r>
            <w:proofErr w:type="spellEnd"/>
            <w:r>
              <w:t xml:space="preserve"> o </w:t>
            </w:r>
            <w:proofErr w:type="spellStart"/>
            <w:r>
              <w:t>roughness</w:t>
            </w:r>
            <w:proofErr w:type="spellEnd"/>
            <w:r w:rsidR="00037EC3">
              <w:t>.</w:t>
            </w:r>
          </w:p>
          <w:p w:rsidR="00D832FE" w:rsidRDefault="00D832FE" w:rsidP="00551E9F">
            <w:pPr>
              <w:jc w:val="both"/>
            </w:pPr>
          </w:p>
          <w:p w:rsidR="00D832FE" w:rsidRPr="00D832FE" w:rsidRDefault="00D832FE" w:rsidP="00551E9F">
            <w:pPr>
              <w:jc w:val="both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ConvexPerim/Perimeter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465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Shape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 xml:space="preserve">Chiamata anche </w:t>
            </w:r>
            <w:proofErr w:type="spellStart"/>
            <w:r>
              <w:t>Thinness</w:t>
            </w:r>
            <w:proofErr w:type="spellEnd"/>
            <w:r>
              <w:t xml:space="preserve"> ratio.</w:t>
            </w:r>
          </w:p>
          <w:p w:rsidR="00D832FE" w:rsidRDefault="00D832FE" w:rsidP="00551E9F">
            <w:pPr>
              <w:jc w:val="both"/>
            </w:pPr>
          </w:p>
          <w:p w:rsidR="00D832FE" w:rsidRPr="00D832FE" w:rsidRDefault="002F5DE2" w:rsidP="00551E9F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Perimeter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/Area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38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RFactor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</w:p>
          <w:p w:rsidR="00D832FE" w:rsidRPr="00D832FE" w:rsidRDefault="00D832FE" w:rsidP="00551E9F">
            <w:pPr>
              <w:jc w:val="both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ConvexArea/(Feret×π)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27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ArBBox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</w:p>
          <w:p w:rsidR="00D832FE" w:rsidRPr="00D832FE" w:rsidRDefault="00D832FE" w:rsidP="00551E9F">
            <w:pPr>
              <w:jc w:val="both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Feret×Breadth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38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Rectangularity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</w:p>
          <w:p w:rsidR="00D832FE" w:rsidRPr="00D832FE" w:rsidRDefault="002F5DE2" w:rsidP="00551E9F">
            <w:pPr>
              <w:jc w:val="both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Area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ArBBox</m:t>
                    </m:r>
                  </m:den>
                </m:f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38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Modification</w:t>
            </w:r>
            <w:proofErr w:type="spellEnd"/>
            <w:r>
              <w:t xml:space="preserve"> ratio</w:t>
            </w:r>
          </w:p>
        </w:tc>
        <w:tc>
          <w:tcPr>
            <w:tcW w:w="4868" w:type="dxa"/>
          </w:tcPr>
          <w:p w:rsidR="00D832FE" w:rsidRDefault="00D832FE" w:rsidP="00037EC3">
            <w:pPr>
              <w:jc w:val="center"/>
            </w:pPr>
          </w:p>
          <w:p w:rsidR="00D832FE" w:rsidRDefault="00D832FE" w:rsidP="00037EC3">
            <w:pPr>
              <w:jc w:val="center"/>
            </w:pPr>
            <w:r>
              <w:t>(</w:t>
            </w:r>
            <m:oMath>
              <m:r>
                <w:rPr>
                  <w:rFonts w:ascii="Cambria Math" w:eastAsia="Times New Roman" w:hAnsi="Cambria Math" w:cs="Times New Roman"/>
                </w:rPr>
                <m:t>2×MinR)/Feret</m:t>
              </m:r>
            </m:oMath>
          </w:p>
          <w:p w:rsidR="00D832FE" w:rsidRDefault="00D832FE" w:rsidP="00037EC3">
            <w:pPr>
              <w:jc w:val="center"/>
            </w:pPr>
          </w:p>
        </w:tc>
      </w:tr>
      <w:tr w:rsidR="00D832FE" w:rsidTr="00D832FE">
        <w:trPr>
          <w:trHeight w:val="465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Sphericity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proofErr w:type="spellStart"/>
            <w:r>
              <w:t>Radius</w:t>
            </w:r>
            <w:proofErr w:type="spellEnd"/>
            <w:r>
              <w:t xml:space="preserve"> ratio.</w:t>
            </w:r>
          </w:p>
          <w:p w:rsidR="00D832FE" w:rsidRPr="00037EC3" w:rsidRDefault="00037EC3" w:rsidP="00551E9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MinR/MaxR</m:t>
                </m:r>
              </m:oMath>
            </m:oMathPara>
          </w:p>
          <w:p w:rsidR="00037EC3" w:rsidRDefault="00037EC3" w:rsidP="00551E9F">
            <w:pPr>
              <w:jc w:val="both"/>
            </w:pPr>
          </w:p>
        </w:tc>
      </w:tr>
      <w:tr w:rsidR="00D832FE" w:rsidTr="00D832FE">
        <w:trPr>
          <w:trHeight w:val="920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t>Elongation</w:t>
            </w:r>
            <w:proofErr w:type="spellEnd"/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</w:pPr>
            <w:r>
              <w:t xml:space="preserve">L’inverso di </w:t>
            </w:r>
            <w:proofErr w:type="spellStart"/>
            <w:r>
              <w:t>circularity</w:t>
            </w:r>
            <w:proofErr w:type="spellEnd"/>
            <w:r>
              <w:t>.</w:t>
            </w:r>
          </w:p>
          <w:p w:rsidR="00D832FE" w:rsidRDefault="00D832FE" w:rsidP="00551E9F">
            <w:pPr>
              <w:jc w:val="both"/>
            </w:pPr>
          </w:p>
          <w:p w:rsidR="00D832FE" w:rsidRPr="00D3112B" w:rsidRDefault="002F5DE2" w:rsidP="00551E9F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(Perimeter×Perimeter)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4×π×Area</m:t>
                    </m:r>
                  </m:den>
                </m:f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1159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proofErr w:type="spellStart"/>
            <w:r>
              <w:lastRenderedPageBreak/>
              <w:t>Haralick</w:t>
            </w:r>
            <w:proofErr w:type="spellEnd"/>
            <w:r>
              <w:t xml:space="preserve"> Ratio</w:t>
            </w:r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Calcolo della media dei raggi e della deviazione standard di essi, tramite metodo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getHaralickRatio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D832FE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32FE" w:rsidRPr="00D3112B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MeanRadius/StdOfRadii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38"/>
        </w:trPr>
        <w:tc>
          <w:tcPr>
            <w:tcW w:w="4815" w:type="dxa"/>
          </w:tcPr>
          <w:p w:rsidR="00D832FE" w:rsidRDefault="00D832FE" w:rsidP="00551E9F">
            <w:pPr>
              <w:jc w:val="both"/>
            </w:pPr>
            <w:r>
              <w:t>Bending Energy (?)</w:t>
            </w:r>
          </w:p>
        </w:tc>
        <w:tc>
          <w:tcPr>
            <w:tcW w:w="4868" w:type="dxa"/>
          </w:tcPr>
          <w:p w:rsidR="00D832FE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62D3A" w:rsidRDefault="002F5DE2" w:rsidP="00551E9F">
      <w:pPr>
        <w:pStyle w:val="Titolo3"/>
        <w:jc w:val="both"/>
      </w:pPr>
      <w:r>
        <w:t>Misure implementate per le immagini in scala di grigio e per le immagini a colori</w:t>
      </w:r>
    </w:p>
    <w:tbl>
      <w:tblPr>
        <w:tblStyle w:val="Grigliatabella"/>
        <w:tblW w:w="9674" w:type="dxa"/>
        <w:tblLook w:val="04A0" w:firstRow="1" w:lastRow="0" w:firstColumn="1" w:lastColumn="0" w:noHBand="0" w:noVBand="1"/>
      </w:tblPr>
      <w:tblGrid>
        <w:gridCol w:w="4836"/>
        <w:gridCol w:w="4838"/>
      </w:tblGrid>
      <w:tr w:rsidR="00D832FE" w:rsidTr="00D832FE">
        <w:trPr>
          <w:trHeight w:val="226"/>
        </w:trPr>
        <w:tc>
          <w:tcPr>
            <w:tcW w:w="4836" w:type="dxa"/>
          </w:tcPr>
          <w:p w:rsidR="00D832FE" w:rsidRDefault="00D832FE" w:rsidP="00551E9F">
            <w:pPr>
              <w:jc w:val="both"/>
            </w:pPr>
            <w:r>
              <w:t>Nome della misura</w:t>
            </w:r>
          </w:p>
        </w:tc>
        <w:tc>
          <w:tcPr>
            <w:tcW w:w="4838" w:type="dxa"/>
          </w:tcPr>
          <w:p w:rsidR="00D832FE" w:rsidRDefault="00D832FE" w:rsidP="00551E9F">
            <w:pPr>
              <w:jc w:val="both"/>
            </w:pPr>
            <w:r>
              <w:t>Descrizione</w:t>
            </w:r>
          </w:p>
        </w:tc>
      </w:tr>
      <w:tr w:rsidR="00D832FE" w:rsidTr="00D832FE">
        <w:trPr>
          <w:trHeight w:val="3251"/>
        </w:trPr>
        <w:tc>
          <w:tcPr>
            <w:tcW w:w="4836" w:type="dxa"/>
          </w:tcPr>
          <w:p w:rsidR="00D832FE" w:rsidRDefault="00D832FE" w:rsidP="00551E9F">
            <w:pPr>
              <w:jc w:val="both"/>
            </w:pPr>
            <w:proofErr w:type="spellStart"/>
            <w:r>
              <w:t>Entropy</w:t>
            </w:r>
            <w:proofErr w:type="spellEnd"/>
          </w:p>
        </w:tc>
        <w:tc>
          <w:tcPr>
            <w:tcW w:w="4838" w:type="dxa"/>
          </w:tcPr>
          <w:p w:rsidR="00D832FE" w:rsidRDefault="00D832FE" w:rsidP="00551E9F">
            <w:pPr>
              <w:jc w:val="both"/>
            </w:pPr>
            <w:r>
              <w:t xml:space="preserve">Misura della casualità, tramite metodo </w:t>
            </w:r>
            <w:proofErr w:type="spellStart"/>
            <w:r>
              <w:t>getEntropy</w:t>
            </w:r>
            <w:proofErr w:type="spellEnd"/>
            <w:r>
              <w:t>.</w:t>
            </w:r>
          </w:p>
          <w:p w:rsidR="00D832FE" w:rsidRDefault="00D832FE" w:rsidP="00551E9F">
            <w:pPr>
              <w:jc w:val="both"/>
            </w:pPr>
            <w:r>
              <w:t>Data l’area e l’istogramma dei grigi, somma della probabilità che avvenga quel livello di grigio e lo stesso valore in logaritmo di due, per tutti i valori dell’istogramma, dunque fino a 256. Scarto del livello di grigio nel caso non ci siano pixel con tale gradazione.</w:t>
            </w:r>
          </w:p>
          <w:p w:rsidR="00D832FE" w:rsidRDefault="00D832FE" w:rsidP="00551E9F">
            <w:pPr>
              <w:jc w:val="both"/>
            </w:pPr>
          </w:p>
          <w:p w:rsidR="00D832FE" w:rsidRDefault="00D832FE" w:rsidP="00551E9F">
            <w:pPr>
              <w:jc w:val="both"/>
            </w:pPr>
          </w:p>
          <w:p w:rsidR="00D832FE" w:rsidRDefault="002F5DE2" w:rsidP="00551E9F">
            <w:pPr>
              <w:jc w:val="both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</w:tc>
      </w:tr>
      <w:tr w:rsidR="00D832FE" w:rsidTr="00D832FE">
        <w:trPr>
          <w:trHeight w:val="1391"/>
        </w:trPr>
        <w:tc>
          <w:tcPr>
            <w:tcW w:w="4836" w:type="dxa"/>
          </w:tcPr>
          <w:p w:rsidR="00D832FE" w:rsidRDefault="00D832FE" w:rsidP="00551E9F">
            <w:pPr>
              <w:jc w:val="both"/>
            </w:pPr>
            <w:proofErr w:type="spellStart"/>
            <w:r>
              <w:t>Intensity</w:t>
            </w:r>
            <w:proofErr w:type="spellEnd"/>
          </w:p>
        </w:tc>
        <w:tc>
          <w:tcPr>
            <w:tcW w:w="4838" w:type="dxa"/>
          </w:tcPr>
          <w:p w:rsidR="00D832FE" w:rsidRDefault="00D832FE" w:rsidP="00551E9F">
            <w:pPr>
              <w:jc w:val="both"/>
            </w:pPr>
            <w:r>
              <w:t xml:space="preserve">Somma delle intensità di livello di grigio presenti nell’oggetto, tramite metodo </w:t>
            </w:r>
            <w:proofErr w:type="spellStart"/>
            <w:r>
              <w:t>getIntensitySum</w:t>
            </w:r>
            <w:proofErr w:type="spellEnd"/>
            <w:r>
              <w:t>.</w:t>
            </w:r>
          </w:p>
          <w:p w:rsidR="00D832FE" w:rsidRDefault="00D832FE" w:rsidP="00551E9F">
            <w:pPr>
              <w:jc w:val="both"/>
            </w:pPr>
            <w:r>
              <w:t>Dato l’</w:t>
            </w:r>
            <w:r w:rsidR="009C48AF">
              <w:t xml:space="preserve">istogramma dei grigi, somma del </w:t>
            </w:r>
            <w:r>
              <w:t>livello per la sua quantità di pixel aventi quel livello e somma totale.</w:t>
            </w:r>
          </w:p>
        </w:tc>
      </w:tr>
      <w:tr w:rsidR="00D832FE" w:rsidTr="00D832FE">
        <w:trPr>
          <w:trHeight w:val="501"/>
        </w:trPr>
        <w:tc>
          <w:tcPr>
            <w:tcW w:w="4836" w:type="dxa"/>
          </w:tcPr>
          <w:p w:rsidR="00D832FE" w:rsidRDefault="00D832FE" w:rsidP="00551E9F">
            <w:pPr>
              <w:jc w:val="both"/>
            </w:pP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Intensity</w:t>
            </w:r>
            <w:proofErr w:type="spellEnd"/>
            <w:r>
              <w:t xml:space="preserve"> Sum</w:t>
            </w:r>
          </w:p>
        </w:tc>
        <w:tc>
          <w:tcPr>
            <w:tcW w:w="4838" w:type="dxa"/>
          </w:tcPr>
          <w:p w:rsidR="00D832FE" w:rsidRDefault="00D832FE" w:rsidP="00551E9F">
            <w:pPr>
              <w:jc w:val="both"/>
            </w:pPr>
            <w:r>
              <w:t xml:space="preserve">Radice quadrata di </w:t>
            </w:r>
            <w:proofErr w:type="spellStart"/>
            <w:r>
              <w:t>Intensity</w:t>
            </w:r>
            <w:proofErr w:type="spellEnd"/>
            <w:r>
              <w:t>.</w:t>
            </w:r>
          </w:p>
          <w:p w:rsidR="00D832FE" w:rsidRDefault="00D832FE" w:rsidP="00551E9F">
            <w:pPr>
              <w:jc w:val="both"/>
            </w:pPr>
          </w:p>
          <w:p w:rsidR="00D832FE" w:rsidRPr="00D832FE" w:rsidRDefault="00D832FE" w:rsidP="00551E9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√Intensity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772"/>
        </w:trPr>
        <w:tc>
          <w:tcPr>
            <w:tcW w:w="4836" w:type="dxa"/>
          </w:tcPr>
          <w:p w:rsidR="00D832FE" w:rsidRDefault="00D832FE" w:rsidP="00551E9F">
            <w:pPr>
              <w:jc w:val="both"/>
            </w:pPr>
            <w:proofErr w:type="spellStart"/>
            <w:r>
              <w:t>Uniformity</w:t>
            </w:r>
            <w:proofErr w:type="spellEnd"/>
          </w:p>
        </w:tc>
        <w:tc>
          <w:tcPr>
            <w:tcW w:w="4838" w:type="dxa"/>
          </w:tcPr>
          <w:p w:rsidR="00D832FE" w:rsidRDefault="00D832FE" w:rsidP="00551E9F">
            <w:pPr>
              <w:jc w:val="both"/>
            </w:pPr>
            <w:r>
              <w:t xml:space="preserve">Una misura sulla uniformità, tramite metodo </w:t>
            </w:r>
            <w:proofErr w:type="spellStart"/>
            <w:r>
              <w:t>getUniformity</w:t>
            </w:r>
            <w:proofErr w:type="spellEnd"/>
            <w:r>
              <w:t>.</w:t>
            </w:r>
          </w:p>
          <w:p w:rsidR="00D832FE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Dato l’istogramma dei grigi e l’area calcolo della probabilità che il livello di grigio considerato si presenti nell’area. Tale probabilità viene elevata al quadrato. Vengono sommati tutti i risultati.</w:t>
            </w:r>
          </w:p>
          <w:p w:rsidR="00D832FE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32FE" w:rsidRPr="00C551FA" w:rsidRDefault="002F5DE2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L-1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  <w:p w:rsidR="00D832FE" w:rsidRDefault="00D832FE" w:rsidP="00551E9F">
            <w:pPr>
              <w:jc w:val="both"/>
            </w:pPr>
          </w:p>
        </w:tc>
      </w:tr>
      <w:tr w:rsidR="00D832FE" w:rsidTr="00D832FE">
        <w:trPr>
          <w:trHeight w:val="2795"/>
        </w:trPr>
        <w:tc>
          <w:tcPr>
            <w:tcW w:w="4836" w:type="dxa"/>
          </w:tcPr>
          <w:p w:rsidR="00D832FE" w:rsidRDefault="00D832FE" w:rsidP="00551E9F">
            <w:pPr>
              <w:jc w:val="both"/>
            </w:pPr>
            <w:proofErr w:type="spellStart"/>
            <w:r>
              <w:lastRenderedPageBreak/>
              <w:t>Smoothness</w:t>
            </w:r>
            <w:proofErr w:type="spellEnd"/>
            <w:r>
              <w:t xml:space="preserve"> R</w:t>
            </w:r>
          </w:p>
        </w:tc>
        <w:tc>
          <w:tcPr>
            <w:tcW w:w="4838" w:type="dxa"/>
          </w:tcPr>
          <w:p w:rsidR="00D832FE" w:rsidRDefault="00D832FE" w:rsidP="00551E9F">
            <w:pPr>
              <w:jc w:val="both"/>
            </w:pPr>
            <w:r>
              <w:t xml:space="preserve">Una misura sulla relativa levigatezza nella regione. Se R è uguale a 0 allora vi sono valori uguali in tutta la regione se invece si avvicina ad 1 oppure è uguale ad 1 la regione ha grandi escursioni di valori. Tramite metodo </w:t>
            </w:r>
            <w:proofErr w:type="spellStart"/>
            <w:r>
              <w:t>getSmoothness</w:t>
            </w:r>
            <w:proofErr w:type="spellEnd"/>
            <w:r>
              <w:t>.</w:t>
            </w:r>
          </w:p>
          <w:p w:rsidR="00D832FE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la varianza si calcola la varianza normalizzata e si esegue la seguente formula:</w:t>
            </w:r>
          </w:p>
          <w:p w:rsidR="00D832FE" w:rsidRDefault="00D832FE" w:rsidP="00551E9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D832FE" w:rsidRDefault="00D832FE" w:rsidP="00551E9F">
            <w:pPr>
              <w:jc w:val="both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37EC3" w:rsidTr="00037EC3">
        <w:trPr>
          <w:trHeight w:val="875"/>
        </w:trPr>
        <w:tc>
          <w:tcPr>
            <w:tcW w:w="4836" w:type="dxa"/>
          </w:tcPr>
          <w:p w:rsidR="00037EC3" w:rsidRDefault="00037EC3" w:rsidP="00037EC3">
            <w:pPr>
              <w:jc w:val="both"/>
            </w:pPr>
            <w:proofErr w:type="spellStart"/>
            <w:r>
              <w:t>Min</w:t>
            </w:r>
            <w:proofErr w:type="spellEnd"/>
            <w:r>
              <w:t xml:space="preserve"> and Max</w:t>
            </w:r>
          </w:p>
        </w:tc>
        <w:tc>
          <w:tcPr>
            <w:tcW w:w="4838" w:type="dxa"/>
          </w:tcPr>
          <w:p w:rsidR="00037EC3" w:rsidRDefault="00037EC3" w:rsidP="00037EC3">
            <w:pPr>
              <w:jc w:val="both"/>
            </w:pPr>
            <w:r>
              <w:t>Il minimo e il massimo della intensità di grigio presente nella regione, nelle immagini a colori non è possibile calcolarlo.</w:t>
            </w:r>
          </w:p>
        </w:tc>
      </w:tr>
    </w:tbl>
    <w:p w:rsidR="002C0B74" w:rsidRDefault="005777F2" w:rsidP="00551E9F">
      <w:pPr>
        <w:jc w:val="both"/>
      </w:pPr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77F2" w:rsidRPr="005777F2" w:rsidTr="00D832FE">
        <w:tc>
          <w:tcPr>
            <w:tcW w:w="4814" w:type="dxa"/>
          </w:tcPr>
          <w:p w:rsidR="005777F2" w:rsidRPr="005777F2" w:rsidRDefault="005777F2" w:rsidP="00551E9F">
            <w:pPr>
              <w:jc w:val="both"/>
              <w:rPr>
                <w:lang w:val="en-GB"/>
              </w:rPr>
            </w:pPr>
            <w:r w:rsidRPr="005777F2">
              <w:rPr>
                <w:lang w:val="en-GB"/>
              </w:rPr>
              <w:t xml:space="preserve">Average red </w:t>
            </w:r>
            <w:proofErr w:type="spellStart"/>
            <w:r w:rsidRPr="005777F2">
              <w:rPr>
                <w:lang w:val="en-GB"/>
              </w:rPr>
              <w:t>color</w:t>
            </w:r>
            <w:proofErr w:type="spellEnd"/>
            <w:r w:rsidRPr="005777F2">
              <w:rPr>
                <w:lang w:val="en-GB"/>
              </w:rPr>
              <w:t>, R mean</w:t>
            </w:r>
          </w:p>
        </w:tc>
        <w:tc>
          <w:tcPr>
            <w:tcW w:w="4814" w:type="dxa"/>
          </w:tcPr>
          <w:p w:rsidR="005777F2" w:rsidRPr="005777F2" w:rsidRDefault="005777F2" w:rsidP="00551E9F">
            <w:pPr>
              <w:jc w:val="both"/>
            </w:pPr>
            <w:r w:rsidRPr="005777F2">
              <w:t>Media dei valori in rosso</w:t>
            </w:r>
          </w:p>
        </w:tc>
      </w:tr>
      <w:tr w:rsidR="005777F2" w:rsidRPr="005777F2" w:rsidTr="00D832FE">
        <w:tc>
          <w:tcPr>
            <w:tcW w:w="4814" w:type="dxa"/>
          </w:tcPr>
          <w:p w:rsidR="005777F2" w:rsidRPr="005777F2" w:rsidRDefault="005777F2" w:rsidP="00551E9F">
            <w:pPr>
              <w:jc w:val="both"/>
              <w:rPr>
                <w:lang w:val="en-GB"/>
              </w:rPr>
            </w:pPr>
            <w:r w:rsidRPr="005777F2">
              <w:rPr>
                <w:lang w:val="en-GB"/>
              </w:rPr>
              <w:t xml:space="preserve">Average green </w:t>
            </w:r>
            <w:proofErr w:type="spellStart"/>
            <w:r w:rsidRPr="005777F2">
              <w:rPr>
                <w:lang w:val="en-GB"/>
              </w:rPr>
              <w:t>color</w:t>
            </w:r>
            <w:proofErr w:type="spellEnd"/>
            <w:r w:rsidRPr="005777F2">
              <w:rPr>
                <w:lang w:val="en-GB"/>
              </w:rPr>
              <w:t>, G mean</w:t>
            </w:r>
          </w:p>
        </w:tc>
        <w:tc>
          <w:tcPr>
            <w:tcW w:w="4814" w:type="dxa"/>
          </w:tcPr>
          <w:p w:rsidR="005777F2" w:rsidRPr="005777F2" w:rsidRDefault="005777F2" w:rsidP="00551E9F">
            <w:pPr>
              <w:jc w:val="both"/>
            </w:pPr>
            <w:r w:rsidRPr="005777F2">
              <w:t>Media dei valori in verde</w:t>
            </w:r>
          </w:p>
        </w:tc>
      </w:tr>
      <w:tr w:rsidR="005777F2" w:rsidRPr="005777F2" w:rsidTr="00D832FE">
        <w:tc>
          <w:tcPr>
            <w:tcW w:w="4814" w:type="dxa"/>
          </w:tcPr>
          <w:p w:rsidR="005777F2" w:rsidRPr="005777F2" w:rsidRDefault="005777F2" w:rsidP="00551E9F">
            <w:pPr>
              <w:jc w:val="both"/>
              <w:rPr>
                <w:lang w:val="en-GB"/>
              </w:rPr>
            </w:pPr>
            <w:r w:rsidRPr="005777F2">
              <w:rPr>
                <w:lang w:val="en-GB"/>
              </w:rPr>
              <w:t xml:space="preserve">Average blue </w:t>
            </w:r>
            <w:proofErr w:type="spellStart"/>
            <w:r w:rsidRPr="005777F2">
              <w:rPr>
                <w:lang w:val="en-GB"/>
              </w:rPr>
              <w:t>color</w:t>
            </w:r>
            <w:proofErr w:type="spellEnd"/>
            <w:r w:rsidRPr="005777F2">
              <w:rPr>
                <w:lang w:val="en-GB"/>
              </w:rPr>
              <w:t>, B mean</w:t>
            </w:r>
          </w:p>
        </w:tc>
        <w:tc>
          <w:tcPr>
            <w:tcW w:w="4814" w:type="dxa"/>
          </w:tcPr>
          <w:p w:rsidR="005777F2" w:rsidRPr="005777F2" w:rsidRDefault="005777F2" w:rsidP="00551E9F">
            <w:pPr>
              <w:jc w:val="both"/>
            </w:pPr>
            <w:r w:rsidRPr="005777F2">
              <w:t>Media dei valori in blu</w:t>
            </w:r>
          </w:p>
        </w:tc>
      </w:tr>
      <w:tr w:rsidR="005777F2" w:rsidRPr="005777F2" w:rsidTr="00D832FE">
        <w:tc>
          <w:tcPr>
            <w:tcW w:w="4814" w:type="dxa"/>
          </w:tcPr>
          <w:p w:rsidR="005777F2" w:rsidRPr="005777F2" w:rsidRDefault="005777F2" w:rsidP="00551E9F">
            <w:pPr>
              <w:jc w:val="both"/>
              <w:rPr>
                <w:lang w:val="en-GB"/>
              </w:rPr>
            </w:pPr>
            <w:r w:rsidRPr="005777F2">
              <w:rPr>
                <w:lang w:val="en-GB"/>
              </w:rPr>
              <w:t xml:space="preserve">Red </w:t>
            </w:r>
            <w:proofErr w:type="spellStart"/>
            <w:r w:rsidRPr="005777F2">
              <w:rPr>
                <w:lang w:val="en-GB"/>
              </w:rPr>
              <w:t>color</w:t>
            </w:r>
            <w:proofErr w:type="spellEnd"/>
            <w:r w:rsidRPr="005777F2">
              <w:rPr>
                <w:lang w:val="en-GB"/>
              </w:rPr>
              <w:t xml:space="preserve"> </w:t>
            </w:r>
            <w:proofErr w:type="spellStart"/>
            <w:r w:rsidRPr="005777F2">
              <w:rPr>
                <w:lang w:val="en-GB"/>
              </w:rPr>
              <w:t>std</w:t>
            </w:r>
            <w:proofErr w:type="spellEnd"/>
            <w:r w:rsidRPr="005777F2">
              <w:rPr>
                <w:lang w:val="en-GB"/>
              </w:rPr>
              <w:t xml:space="preserve"> deviation, 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std</w:t>
            </w:r>
            <w:proofErr w:type="spellEnd"/>
          </w:p>
        </w:tc>
        <w:tc>
          <w:tcPr>
            <w:tcW w:w="4814" w:type="dxa"/>
          </w:tcPr>
          <w:p w:rsidR="005777F2" w:rsidRPr="005777F2" w:rsidRDefault="005777F2" w:rsidP="00551E9F">
            <w:pPr>
              <w:jc w:val="both"/>
            </w:pPr>
            <w:r w:rsidRPr="005777F2">
              <w:t>Deviazio</w:t>
            </w:r>
            <w:r>
              <w:t>ne standard dei valori in rosso</w:t>
            </w:r>
          </w:p>
        </w:tc>
      </w:tr>
      <w:tr w:rsidR="005777F2" w:rsidRPr="005777F2" w:rsidTr="00D832FE">
        <w:tc>
          <w:tcPr>
            <w:tcW w:w="4814" w:type="dxa"/>
          </w:tcPr>
          <w:p w:rsidR="005777F2" w:rsidRPr="005777F2" w:rsidRDefault="005777F2" w:rsidP="00551E9F">
            <w:pPr>
              <w:jc w:val="both"/>
              <w:rPr>
                <w:lang w:val="en-GB"/>
              </w:rPr>
            </w:pPr>
            <w:r w:rsidRPr="005777F2">
              <w:rPr>
                <w:lang w:val="en-GB"/>
              </w:rPr>
              <w:t xml:space="preserve">Green </w:t>
            </w:r>
            <w:proofErr w:type="spellStart"/>
            <w:r w:rsidRPr="005777F2">
              <w:rPr>
                <w:lang w:val="en-GB"/>
              </w:rPr>
              <w:t>color</w:t>
            </w:r>
            <w:proofErr w:type="spellEnd"/>
            <w:r w:rsidRPr="005777F2">
              <w:rPr>
                <w:lang w:val="en-GB"/>
              </w:rPr>
              <w:t xml:space="preserve"> </w:t>
            </w:r>
            <w:proofErr w:type="spellStart"/>
            <w:r w:rsidRPr="005777F2">
              <w:rPr>
                <w:lang w:val="en-GB"/>
              </w:rPr>
              <w:t>std</w:t>
            </w:r>
            <w:proofErr w:type="spellEnd"/>
            <w:r w:rsidRPr="005777F2">
              <w:rPr>
                <w:lang w:val="en-GB"/>
              </w:rPr>
              <w:t xml:space="preserve"> deviation, G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std</w:t>
            </w:r>
            <w:proofErr w:type="spellEnd"/>
          </w:p>
        </w:tc>
        <w:tc>
          <w:tcPr>
            <w:tcW w:w="4814" w:type="dxa"/>
          </w:tcPr>
          <w:p w:rsidR="005777F2" w:rsidRPr="005777F2" w:rsidRDefault="005777F2" w:rsidP="00551E9F">
            <w:pPr>
              <w:jc w:val="both"/>
            </w:pPr>
            <w:r w:rsidRPr="005777F2">
              <w:t>Deviazione standard d</w:t>
            </w:r>
            <w:r>
              <w:t>ei valori in verde</w:t>
            </w:r>
          </w:p>
        </w:tc>
      </w:tr>
      <w:tr w:rsidR="005777F2" w:rsidRPr="005777F2" w:rsidTr="00D832FE">
        <w:tc>
          <w:tcPr>
            <w:tcW w:w="4814" w:type="dxa"/>
          </w:tcPr>
          <w:p w:rsidR="005777F2" w:rsidRPr="005777F2" w:rsidRDefault="005777F2" w:rsidP="00551E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Blue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std</w:t>
            </w:r>
            <w:proofErr w:type="spellEnd"/>
            <w:r>
              <w:rPr>
                <w:lang w:val="en-GB"/>
              </w:rPr>
              <w:t xml:space="preserve"> deviation, B </w:t>
            </w:r>
            <w:proofErr w:type="spellStart"/>
            <w:r>
              <w:rPr>
                <w:lang w:val="en-GB"/>
              </w:rPr>
              <w:t>std</w:t>
            </w:r>
            <w:proofErr w:type="spellEnd"/>
          </w:p>
        </w:tc>
        <w:tc>
          <w:tcPr>
            <w:tcW w:w="4814" w:type="dxa"/>
          </w:tcPr>
          <w:p w:rsidR="005777F2" w:rsidRPr="005777F2" w:rsidRDefault="005777F2" w:rsidP="00551E9F">
            <w:pPr>
              <w:jc w:val="both"/>
            </w:pPr>
            <w:r w:rsidRPr="005777F2">
              <w:t>Deviazione standard d</w:t>
            </w:r>
            <w:r>
              <w:t>ei valori in blu</w:t>
            </w:r>
          </w:p>
        </w:tc>
      </w:tr>
      <w:tr w:rsidR="00D832FE" w:rsidRPr="00D832FE" w:rsidTr="00D832FE">
        <w:tc>
          <w:tcPr>
            <w:tcW w:w="4814" w:type="dxa"/>
          </w:tcPr>
          <w:p w:rsidR="00D832FE" w:rsidRDefault="00D832FE" w:rsidP="00551E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Square root of the value </w:t>
            </w:r>
            <w:proofErr w:type="gramStart"/>
            <w:r>
              <w:rPr>
                <w:lang w:val="en-GB"/>
              </w:rPr>
              <w:t>mean</w:t>
            </w:r>
            <w:proofErr w:type="gramEnd"/>
            <w:r>
              <w:rPr>
                <w:lang w:val="en-GB"/>
              </w:rPr>
              <w:t xml:space="preserve"> of channel R, G, B</w:t>
            </w:r>
          </w:p>
        </w:tc>
        <w:tc>
          <w:tcPr>
            <w:tcW w:w="4814" w:type="dxa"/>
          </w:tcPr>
          <w:p w:rsidR="00D832FE" w:rsidRPr="00D832FE" w:rsidRDefault="00D832FE" w:rsidP="00551E9F">
            <w:pPr>
              <w:jc w:val="both"/>
            </w:pPr>
            <w:r w:rsidRPr="00D832FE">
              <w:t>Radice quadra della media del rosso, del verde e del blu.</w:t>
            </w:r>
          </w:p>
        </w:tc>
      </w:tr>
      <w:tr w:rsidR="00D832FE" w:rsidRPr="00D832FE" w:rsidTr="00D832FE">
        <w:tc>
          <w:tcPr>
            <w:tcW w:w="4814" w:type="dxa"/>
          </w:tcPr>
          <w:p w:rsidR="00D832FE" w:rsidRPr="00D832FE" w:rsidRDefault="00D832FE" w:rsidP="00551E9F">
            <w:pPr>
              <w:jc w:val="both"/>
            </w:pPr>
            <w:proofErr w:type="spellStart"/>
            <w:r>
              <w:t>Avarage</w:t>
            </w:r>
            <w:proofErr w:type="spellEnd"/>
            <w:r>
              <w:t xml:space="preserve"> RGB</w:t>
            </w:r>
          </w:p>
        </w:tc>
        <w:tc>
          <w:tcPr>
            <w:tcW w:w="4814" w:type="dxa"/>
          </w:tcPr>
          <w:p w:rsidR="00D832FE" w:rsidRPr="00D832FE" w:rsidRDefault="00D832FE" w:rsidP="00551E9F">
            <w:pPr>
              <w:jc w:val="both"/>
            </w:pPr>
            <w:r>
              <w:t>La me</w:t>
            </w:r>
            <w:r w:rsidR="00C645E3">
              <w:t>dia RGB</w:t>
            </w:r>
          </w:p>
        </w:tc>
      </w:tr>
    </w:tbl>
    <w:p w:rsidR="00644411" w:rsidRDefault="00644411" w:rsidP="00551E9F">
      <w:pPr>
        <w:jc w:val="both"/>
      </w:pPr>
    </w:p>
    <w:p w:rsidR="00644411" w:rsidRDefault="00644411" w:rsidP="00551E9F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45E3" w:rsidRPr="00C645E3" w:rsidTr="00C645E3">
        <w:tc>
          <w:tcPr>
            <w:tcW w:w="4814" w:type="dxa"/>
          </w:tcPr>
          <w:p w:rsidR="00C645E3" w:rsidRPr="00644411" w:rsidRDefault="00C645E3" w:rsidP="00551E9F">
            <w:pPr>
              <w:jc w:val="both"/>
              <w:rPr>
                <w:lang w:val="en-GB"/>
              </w:rPr>
            </w:pPr>
            <w:r w:rsidRPr="00644411">
              <w:rPr>
                <w:lang w:val="en-GB"/>
              </w:rPr>
              <w:t xml:space="preserve">Average Hue </w:t>
            </w:r>
            <w:proofErr w:type="spellStart"/>
            <w:r w:rsidRPr="00644411">
              <w:rPr>
                <w:lang w:val="en-GB"/>
              </w:rPr>
              <w:t>color</w:t>
            </w:r>
            <w:proofErr w:type="spellEnd"/>
            <w:r w:rsidRPr="00644411">
              <w:rPr>
                <w:lang w:val="en-GB"/>
              </w:rPr>
              <w:t>, H mean</w:t>
            </w:r>
          </w:p>
        </w:tc>
        <w:tc>
          <w:tcPr>
            <w:tcW w:w="4814" w:type="dxa"/>
          </w:tcPr>
          <w:p w:rsidR="00C645E3" w:rsidRPr="00C645E3" w:rsidRDefault="00C645E3" w:rsidP="00551E9F">
            <w:pPr>
              <w:jc w:val="both"/>
            </w:pPr>
            <w:r w:rsidRPr="00C645E3">
              <w:t xml:space="preserve">Media dei valori in </w:t>
            </w:r>
            <w:proofErr w:type="spellStart"/>
            <w:r w:rsidRPr="00C645E3">
              <w:t>H</w:t>
            </w:r>
            <w:r>
              <w:t>ue</w:t>
            </w:r>
            <w:proofErr w:type="spellEnd"/>
          </w:p>
        </w:tc>
      </w:tr>
      <w:tr w:rsidR="00C645E3" w:rsidRPr="00C645E3" w:rsidTr="00C645E3">
        <w:tc>
          <w:tcPr>
            <w:tcW w:w="4814" w:type="dxa"/>
          </w:tcPr>
          <w:p w:rsidR="00C645E3" w:rsidRPr="00C645E3" w:rsidRDefault="00C645E3" w:rsidP="00551E9F">
            <w:pPr>
              <w:jc w:val="both"/>
              <w:rPr>
                <w:lang w:val="en-GB"/>
              </w:rPr>
            </w:pPr>
            <w:r w:rsidRPr="00DA2182">
              <w:rPr>
                <w:lang w:val="en-GB"/>
              </w:rPr>
              <w:t xml:space="preserve">Average </w:t>
            </w:r>
            <w:r>
              <w:rPr>
                <w:lang w:val="en-GB"/>
              </w:rPr>
              <w:t xml:space="preserve">Saturation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, S</w:t>
            </w:r>
            <w:r w:rsidRPr="00C645E3">
              <w:rPr>
                <w:lang w:val="en-GB"/>
              </w:rPr>
              <w:t xml:space="preserve"> mean</w:t>
            </w:r>
          </w:p>
        </w:tc>
        <w:tc>
          <w:tcPr>
            <w:tcW w:w="4814" w:type="dxa"/>
          </w:tcPr>
          <w:p w:rsidR="00C645E3" w:rsidRPr="00C645E3" w:rsidRDefault="00C645E3" w:rsidP="00551E9F">
            <w:pPr>
              <w:jc w:val="both"/>
            </w:pPr>
            <w:r w:rsidRPr="00C645E3">
              <w:t xml:space="preserve">Media dei valori in </w:t>
            </w:r>
            <w:proofErr w:type="spellStart"/>
            <w:r w:rsidRPr="00C645E3">
              <w:t>S</w:t>
            </w:r>
            <w:r>
              <w:t>aturation</w:t>
            </w:r>
            <w:proofErr w:type="spellEnd"/>
          </w:p>
        </w:tc>
      </w:tr>
      <w:tr w:rsidR="00C645E3" w:rsidRPr="00C645E3" w:rsidTr="00C645E3">
        <w:tc>
          <w:tcPr>
            <w:tcW w:w="4814" w:type="dxa"/>
          </w:tcPr>
          <w:p w:rsidR="00C645E3" w:rsidRPr="00C645E3" w:rsidRDefault="00C645E3" w:rsidP="00551E9F">
            <w:pPr>
              <w:jc w:val="both"/>
              <w:rPr>
                <w:lang w:val="en-GB"/>
              </w:rPr>
            </w:pPr>
            <w:r w:rsidRPr="00C645E3">
              <w:rPr>
                <w:lang w:val="en-GB"/>
              </w:rPr>
              <w:t xml:space="preserve">Average </w:t>
            </w:r>
            <w:r>
              <w:rPr>
                <w:lang w:val="en-GB"/>
              </w:rPr>
              <w:t xml:space="preserve">Brightness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, B</w:t>
            </w:r>
            <w:r w:rsidRPr="00C645E3">
              <w:rPr>
                <w:lang w:val="en-GB"/>
              </w:rPr>
              <w:t xml:space="preserve"> mean</w:t>
            </w:r>
          </w:p>
        </w:tc>
        <w:tc>
          <w:tcPr>
            <w:tcW w:w="4814" w:type="dxa"/>
          </w:tcPr>
          <w:p w:rsidR="00C645E3" w:rsidRPr="00C645E3" w:rsidRDefault="00C645E3" w:rsidP="00551E9F">
            <w:pPr>
              <w:jc w:val="both"/>
            </w:pPr>
            <w:r w:rsidRPr="00C645E3">
              <w:t xml:space="preserve">Media dei valori in </w:t>
            </w:r>
            <w:proofErr w:type="spellStart"/>
            <w:r w:rsidRPr="00C645E3">
              <w:t>B</w:t>
            </w:r>
            <w:r>
              <w:t>rightness</w:t>
            </w:r>
            <w:proofErr w:type="spellEnd"/>
          </w:p>
        </w:tc>
      </w:tr>
      <w:tr w:rsidR="00C645E3" w:rsidRPr="00C645E3" w:rsidTr="00C645E3">
        <w:tc>
          <w:tcPr>
            <w:tcW w:w="4814" w:type="dxa"/>
          </w:tcPr>
          <w:p w:rsidR="00C645E3" w:rsidRPr="00C645E3" w:rsidRDefault="00C645E3" w:rsidP="00551E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Hue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std</w:t>
            </w:r>
            <w:proofErr w:type="spellEnd"/>
            <w:r>
              <w:rPr>
                <w:lang w:val="en-GB"/>
              </w:rPr>
              <w:t xml:space="preserve"> deviation</w:t>
            </w:r>
          </w:p>
        </w:tc>
        <w:tc>
          <w:tcPr>
            <w:tcW w:w="4814" w:type="dxa"/>
          </w:tcPr>
          <w:p w:rsidR="00C645E3" w:rsidRPr="00C645E3" w:rsidRDefault="00C645E3" w:rsidP="00551E9F">
            <w:pPr>
              <w:jc w:val="both"/>
            </w:pPr>
            <w:r w:rsidRPr="00C645E3">
              <w:t xml:space="preserve">Deviazione standard dei valori in </w:t>
            </w:r>
            <w:proofErr w:type="spellStart"/>
            <w:r>
              <w:t>Hue</w:t>
            </w:r>
            <w:proofErr w:type="spellEnd"/>
          </w:p>
        </w:tc>
      </w:tr>
      <w:tr w:rsidR="00C645E3" w:rsidRPr="00C645E3" w:rsidTr="00C645E3">
        <w:tc>
          <w:tcPr>
            <w:tcW w:w="4814" w:type="dxa"/>
          </w:tcPr>
          <w:p w:rsidR="00C645E3" w:rsidRPr="00C645E3" w:rsidRDefault="00C645E3" w:rsidP="00551E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Saturation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std</w:t>
            </w:r>
            <w:proofErr w:type="spellEnd"/>
            <w:r>
              <w:rPr>
                <w:lang w:val="en-GB"/>
              </w:rPr>
              <w:t xml:space="preserve"> deviation</w:t>
            </w:r>
          </w:p>
        </w:tc>
        <w:tc>
          <w:tcPr>
            <w:tcW w:w="4814" w:type="dxa"/>
          </w:tcPr>
          <w:p w:rsidR="00C645E3" w:rsidRPr="00C645E3" w:rsidRDefault="00C645E3" w:rsidP="00551E9F">
            <w:pPr>
              <w:jc w:val="both"/>
            </w:pPr>
            <w:r w:rsidRPr="00C645E3">
              <w:t xml:space="preserve">Deviazione standard dei valori in </w:t>
            </w:r>
            <w:proofErr w:type="spellStart"/>
            <w:r w:rsidRPr="00C645E3">
              <w:t>S</w:t>
            </w:r>
            <w:r>
              <w:t>aturation</w:t>
            </w:r>
            <w:proofErr w:type="spellEnd"/>
          </w:p>
        </w:tc>
      </w:tr>
      <w:tr w:rsidR="00C645E3" w:rsidRPr="00C645E3" w:rsidTr="00C645E3">
        <w:tc>
          <w:tcPr>
            <w:tcW w:w="4814" w:type="dxa"/>
          </w:tcPr>
          <w:p w:rsidR="00C645E3" w:rsidRPr="00C645E3" w:rsidRDefault="00C645E3" w:rsidP="00551E9F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Intensity </w:t>
            </w:r>
            <w:proofErr w:type="spellStart"/>
            <w:r w:rsidRPr="005777F2">
              <w:rPr>
                <w:lang w:val="en-GB"/>
              </w:rPr>
              <w:t>color</w:t>
            </w:r>
            <w:proofErr w:type="spellEnd"/>
            <w:r w:rsidRPr="005777F2">
              <w:rPr>
                <w:lang w:val="en-GB"/>
              </w:rPr>
              <w:t xml:space="preserve"> </w:t>
            </w:r>
            <w:proofErr w:type="spellStart"/>
            <w:r w:rsidRPr="005777F2">
              <w:rPr>
                <w:lang w:val="en-GB"/>
              </w:rPr>
              <w:t>std</w:t>
            </w:r>
            <w:proofErr w:type="spellEnd"/>
            <w:r w:rsidRPr="005777F2">
              <w:rPr>
                <w:lang w:val="en-GB"/>
              </w:rPr>
              <w:t xml:space="preserve"> deviation</w:t>
            </w:r>
          </w:p>
        </w:tc>
        <w:tc>
          <w:tcPr>
            <w:tcW w:w="4814" w:type="dxa"/>
          </w:tcPr>
          <w:p w:rsidR="00C645E3" w:rsidRPr="00C645E3" w:rsidRDefault="00C645E3" w:rsidP="00551E9F">
            <w:pPr>
              <w:jc w:val="both"/>
            </w:pPr>
            <w:r w:rsidRPr="00C645E3">
              <w:t xml:space="preserve">Deviazione standard dei valori in </w:t>
            </w:r>
            <w:proofErr w:type="spellStart"/>
            <w:r w:rsidRPr="00C645E3">
              <w:t>B</w:t>
            </w:r>
            <w:r>
              <w:t>rightness</w:t>
            </w:r>
            <w:proofErr w:type="spellEnd"/>
          </w:p>
        </w:tc>
      </w:tr>
    </w:tbl>
    <w:p w:rsidR="00E07EB9" w:rsidRPr="00C645E3" w:rsidRDefault="00E07EB9" w:rsidP="00551E9F">
      <w:pPr>
        <w:jc w:val="both"/>
      </w:pPr>
    </w:p>
    <w:p w:rsidR="00E722C4" w:rsidRDefault="002F5DE2" w:rsidP="00551E9F">
      <w:pPr>
        <w:pStyle w:val="Titolo3"/>
        <w:jc w:val="both"/>
      </w:pPr>
      <w:r>
        <w:t>Utilizzo del Plugin</w:t>
      </w:r>
    </w:p>
    <w:p w:rsidR="00350520" w:rsidRDefault="00644411" w:rsidP="00551E9F">
      <w:pPr>
        <w:jc w:val="both"/>
      </w:pPr>
      <w:r>
        <w:t xml:space="preserve">Il Plugin dell’elaborato ha come scopo semplificare il più possibile il calcolo immediato delle misure riguardanti immagini biomediche. Per poter iniziare, bisogna settare l’immagine manualmente e individuarne le soglie. Nel caso di immagini bianche e nere e in grigio si procede accedendo al comando di </w:t>
      </w:r>
      <w:proofErr w:type="spellStart"/>
      <w:r>
        <w:t>ImageJ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Si accede attraverso la combinazione di tasti </w:t>
      </w:r>
      <w:proofErr w:type="spellStart"/>
      <w:r>
        <w:t>Ctrl+Maiusc+T</w:t>
      </w:r>
      <w:proofErr w:type="spellEnd"/>
      <w:r>
        <w:t xml:space="preserve"> oppure dal menu stess</w:t>
      </w:r>
      <w:r w:rsidR="002F5DE2">
        <w:t>o, selezionando Image&gt;&gt;</w:t>
      </w:r>
      <w:proofErr w:type="spellStart"/>
      <w:r w:rsidR="002F5DE2">
        <w:t>Adjust</w:t>
      </w:r>
      <w:proofErr w:type="spellEnd"/>
      <w:r w:rsidR="002F5DE2">
        <w:t xml:space="preserve"> &gt;&gt;</w:t>
      </w:r>
      <w:proofErr w:type="spellStart"/>
      <w:r w:rsidR="002F5DE2">
        <w:t>Threshold</w:t>
      </w:r>
      <w:proofErr w:type="spellEnd"/>
      <w:r w:rsidR="002F5DE2">
        <w:t xml:space="preserve">. </w:t>
      </w:r>
      <w:r w:rsidR="009A5E7E">
        <w:t>Per poter definire le soglie, si spostano i cursori e si settano a proprio piacimento le soglie e dunque le regioni di interesse come nell’esempio. Una volta decisi si esce tramite comando “X”. “</w:t>
      </w:r>
      <w:proofErr w:type="spellStart"/>
      <w:r w:rsidR="009A5E7E">
        <w:t>Apply</w:t>
      </w:r>
      <w:proofErr w:type="spellEnd"/>
      <w:r w:rsidR="009A5E7E">
        <w:t>”</w:t>
      </w:r>
      <w:r w:rsidR="002F5DE2">
        <w:t xml:space="preserve"> rende l’immagine bianco e nera e no</w:t>
      </w:r>
      <w:bookmarkStart w:id="0" w:name="_GoBack"/>
      <w:bookmarkEnd w:id="0"/>
      <w:r w:rsidR="002F5DE2">
        <w:t xml:space="preserve">n conserva le soglie indicate per le immagini in scala di grigio. </w:t>
      </w:r>
      <w:r w:rsidR="009A5E7E">
        <w:t xml:space="preserve">Per quanto riguarda la definizione delle soglie in una immagine a colori si sceglie dallo stesso menù “Color </w:t>
      </w:r>
      <w:proofErr w:type="spellStart"/>
      <w:r w:rsidR="009A5E7E">
        <w:t>Threshold</w:t>
      </w:r>
      <w:proofErr w:type="spellEnd"/>
      <w:r w:rsidR="009A5E7E">
        <w:t xml:space="preserve">”. Qui è possibile settare attraverso i valori di </w:t>
      </w:r>
      <w:proofErr w:type="spellStart"/>
      <w:r w:rsidR="009A5E7E">
        <w:t>Hue</w:t>
      </w:r>
      <w:proofErr w:type="spellEnd"/>
      <w:r w:rsidR="009A5E7E">
        <w:t xml:space="preserve">, </w:t>
      </w:r>
      <w:proofErr w:type="spellStart"/>
      <w:r w:rsidR="009A5E7E">
        <w:t>Saturation</w:t>
      </w:r>
      <w:proofErr w:type="spellEnd"/>
      <w:r w:rsidR="009A5E7E">
        <w:t xml:space="preserve"> e </w:t>
      </w:r>
      <w:proofErr w:type="spellStart"/>
      <w:r w:rsidR="009A5E7E">
        <w:t>Brightness</w:t>
      </w:r>
      <w:proofErr w:type="spellEnd"/>
      <w:r w:rsidR="009A5E7E">
        <w:t xml:space="preserve">, sempre spostando i cursori e </w:t>
      </w:r>
      <w:r w:rsidR="00350520">
        <w:t>poter scegliere altre opzioni a proprio piacimento. Terminato il settaggio si</w:t>
      </w:r>
      <w:r w:rsidR="002F5DE2">
        <w:t xml:space="preserve"> seleziona il comando “Select”</w:t>
      </w:r>
      <w:r w:rsidR="00350520">
        <w:t>.</w:t>
      </w:r>
      <w:r w:rsidR="002F5DE2">
        <w:t xml:space="preserve"> </w:t>
      </w:r>
      <w:r w:rsidR="00350520">
        <w:t>Una volta fatte queste operazioni preli</w:t>
      </w:r>
      <w:r w:rsidR="002F5DE2">
        <w:t>minari, è possibile avviare il P</w:t>
      </w:r>
      <w:r w:rsidR="00350520">
        <w:t>lugin dal menu Plugins&gt;&gt;Catch_Pariste3. Il primo menu che si presenta è possibile scegliere</w:t>
      </w:r>
      <w:r w:rsidR="00527B59">
        <w:t xml:space="preserve"> la grandezza </w:t>
      </w:r>
      <w:r w:rsidR="00651294">
        <w:t>minima dell’oggetto analizzato</w:t>
      </w:r>
      <w:r w:rsidR="00527B59">
        <w:t xml:space="preserve"> e a seguire quella massima e la sua circolarità. Attraverso il menu a tendina si può scegliere il </w:t>
      </w:r>
      <w:r w:rsidR="002F5DE2">
        <w:t xml:space="preserve">come visualizzare l’immagine al termine della esecuzione del Plugin. </w:t>
      </w:r>
      <w:r w:rsidR="00527B59">
        <w:t>Le scelte</w:t>
      </w:r>
      <w:r w:rsidR="002F5DE2">
        <w:t xml:space="preserve"> più utilizzate durante la stesura dell’elaborato</w:t>
      </w:r>
      <w:r w:rsidR="00527B59">
        <w:t xml:space="preserve"> sono: </w:t>
      </w:r>
      <w:r w:rsidR="002F5DE2">
        <w:t>“</w:t>
      </w:r>
      <w:proofErr w:type="spellStart"/>
      <w:r w:rsidR="00527B59">
        <w:t>n</w:t>
      </w:r>
      <w:r w:rsidR="00527B59" w:rsidRPr="00527B59">
        <w:t>othing</w:t>
      </w:r>
      <w:proofErr w:type="spellEnd"/>
      <w:r w:rsidR="002F5DE2">
        <w:t>”</w:t>
      </w:r>
      <w:r w:rsidR="00527B59">
        <w:t xml:space="preserve">, per cui l’immagine non viene trattata, </w:t>
      </w:r>
      <w:r w:rsidR="002F5DE2">
        <w:t>“</w:t>
      </w:r>
      <w:proofErr w:type="spellStart"/>
      <w:r w:rsidR="00527B59">
        <w:t>outlines</w:t>
      </w:r>
      <w:proofErr w:type="spellEnd"/>
      <w:r w:rsidR="002F5DE2">
        <w:t>”</w:t>
      </w:r>
      <w:r w:rsidR="00527B59">
        <w:t xml:space="preserve"> per cui l’immagine viene trattata e come risultato si ha una seconda immagina bianca dove si vedono solo ed esclusivamente i contorni </w:t>
      </w:r>
      <w:r w:rsidR="00527B59">
        <w:lastRenderedPageBreak/>
        <w:t>degli oggetti con una etichetta che sta ad indicare il numero dell’oggetto,</w:t>
      </w:r>
      <w:r w:rsidR="002F5DE2">
        <w:t xml:space="preserve"> ”</w:t>
      </w:r>
      <w:r w:rsidR="00527B59">
        <w:t xml:space="preserve">bare </w:t>
      </w:r>
      <w:proofErr w:type="spellStart"/>
      <w:r w:rsidR="00527B59">
        <w:t>outlines</w:t>
      </w:r>
      <w:proofErr w:type="spellEnd"/>
      <w:r w:rsidR="002F5DE2">
        <w:t>”</w:t>
      </w:r>
      <w:r w:rsidR="00527B59">
        <w:t xml:space="preserve"> per cui si vedono solo i contorni degli oggetti, </w:t>
      </w:r>
      <w:proofErr w:type="spellStart"/>
      <w:r w:rsidR="00527B59">
        <w:t>ellipses</w:t>
      </w:r>
      <w:proofErr w:type="spellEnd"/>
      <w:r w:rsidR="00527B59">
        <w:t xml:space="preserve"> per cui l’immagine risultante è a sfondo bianco con delle </w:t>
      </w:r>
      <w:r w:rsidR="002F5DE2">
        <w:t>“</w:t>
      </w:r>
      <w:proofErr w:type="spellStart"/>
      <w:r w:rsidR="00527B59">
        <w:t>ellipsi</w:t>
      </w:r>
      <w:proofErr w:type="spellEnd"/>
      <w:r w:rsidR="002F5DE2">
        <w:t>”</w:t>
      </w:r>
      <w:r w:rsidR="00527B59">
        <w:t xml:space="preserve"> orientate al posto degli oggetti individuati, </w:t>
      </w:r>
      <w:r w:rsidR="00435A77">
        <w:t>“</w:t>
      </w:r>
      <w:proofErr w:type="spellStart"/>
      <w:r w:rsidR="00527B59">
        <w:t>mask</w:t>
      </w:r>
      <w:proofErr w:type="spellEnd"/>
      <w:r w:rsidR="00435A77">
        <w:t>”</w:t>
      </w:r>
      <w:r w:rsidR="00527B59">
        <w:t xml:space="preserve"> che restituisce l’immagine della maschera in bianco e nero, nero per gli oggetti e bianco lo sfondo, </w:t>
      </w:r>
      <w:r w:rsidR="00435A77">
        <w:t>“</w:t>
      </w:r>
      <w:proofErr w:type="spellStart"/>
      <w:r w:rsidR="00527B59">
        <w:t>overlay</w:t>
      </w:r>
      <w:proofErr w:type="spellEnd"/>
      <w:r w:rsidR="00435A77">
        <w:t>”</w:t>
      </w:r>
      <w:r w:rsidR="00527B59">
        <w:t xml:space="preserve"> che riprendendo l’immagine originale etichetta gli oggetti e infine </w:t>
      </w:r>
      <w:r w:rsidR="00435A77">
        <w:t>“</w:t>
      </w:r>
      <w:proofErr w:type="spellStart"/>
      <w:r w:rsidR="00527B59">
        <w:t>overlay</w:t>
      </w:r>
      <w:proofErr w:type="spellEnd"/>
      <w:r w:rsidR="00527B59">
        <w:t xml:space="preserve"> </w:t>
      </w:r>
      <w:proofErr w:type="spellStart"/>
      <w:r w:rsidR="00527B59">
        <w:t>masks</w:t>
      </w:r>
      <w:proofErr w:type="spellEnd"/>
      <w:r w:rsidR="00435A77">
        <w:t>”</w:t>
      </w:r>
      <w:r w:rsidR="00527B59">
        <w:t xml:space="preserve"> che riprende l’immagine originale e nelle zone dove si trova la maschera individuata sostituisce con un colore celeste chiaro.</w:t>
      </w:r>
      <w:r w:rsidR="00864277">
        <w:t xml:space="preserve"> Le altre opzioni</w:t>
      </w:r>
      <w:r w:rsidR="00435A77">
        <w:t xml:space="preserve"> interessanti</w:t>
      </w:r>
      <w:r w:rsidR="00864277">
        <w:t xml:space="preserve"> </w:t>
      </w:r>
      <w:r w:rsidR="00435A77">
        <w:t xml:space="preserve">da </w:t>
      </w:r>
      <w:r w:rsidR="00864277">
        <w:t>settare attraverso check</w:t>
      </w:r>
      <w:r w:rsidR="00435A77">
        <w:t xml:space="preserve"> </w:t>
      </w:r>
      <w:r w:rsidR="00864277">
        <w:t xml:space="preserve">box sono </w:t>
      </w:r>
      <w:r w:rsidR="00435A77">
        <w:t>“</w:t>
      </w:r>
      <w:r w:rsidR="00864277">
        <w:t xml:space="preserve">display </w:t>
      </w:r>
      <w:proofErr w:type="spellStart"/>
      <w:r w:rsidR="00864277">
        <w:t>results</w:t>
      </w:r>
      <w:proofErr w:type="spellEnd"/>
      <w:r w:rsidR="00435A77">
        <w:t>” per visualizzare i risultati</w:t>
      </w:r>
      <w:r w:rsidR="00864277">
        <w:t xml:space="preserve">, </w:t>
      </w:r>
      <w:r w:rsidR="00435A77">
        <w:t>“</w:t>
      </w:r>
      <w:proofErr w:type="spellStart"/>
      <w:r w:rsidR="00864277">
        <w:t>clear</w:t>
      </w:r>
      <w:proofErr w:type="spellEnd"/>
      <w:r w:rsidR="00864277">
        <w:t xml:space="preserve"> </w:t>
      </w:r>
      <w:proofErr w:type="spellStart"/>
      <w:r w:rsidR="00864277">
        <w:t>results</w:t>
      </w:r>
      <w:proofErr w:type="spellEnd"/>
      <w:r w:rsidR="00435A77">
        <w:t>”</w:t>
      </w:r>
      <w:r w:rsidR="00864277">
        <w:t xml:space="preserve"> per cancellare i risultati precedenti.</w:t>
      </w:r>
      <w:r w:rsidR="002F5DE2">
        <w:t xml:space="preserve"> </w:t>
      </w:r>
      <w:r w:rsidR="00350520">
        <w:t xml:space="preserve">Selezionato “Ok” si apre un secondo </w:t>
      </w:r>
      <w:r w:rsidR="00435A77">
        <w:t xml:space="preserve">menu </w:t>
      </w:r>
      <w:r w:rsidR="00350520">
        <w:t>in cui s</w:t>
      </w:r>
      <w:r w:rsidR="00435A77">
        <w:t>i possono selezionare le misure. Esse sono ordinate in base a due fattori</w:t>
      </w:r>
      <w:r w:rsidR="00350520">
        <w:t xml:space="preserve">; le prime sono le misure presenti di default da </w:t>
      </w:r>
      <w:proofErr w:type="spellStart"/>
      <w:r w:rsidR="00350520">
        <w:t>ImageJ</w:t>
      </w:r>
      <w:proofErr w:type="spellEnd"/>
      <w:r w:rsidR="00350520">
        <w:t xml:space="preserve"> e dal Plugin Analyzer </w:t>
      </w:r>
      <w:proofErr w:type="spellStart"/>
      <w:r w:rsidR="00350520">
        <w:t>Particles</w:t>
      </w:r>
      <w:proofErr w:type="spellEnd"/>
      <w:r w:rsidR="00350520">
        <w:t xml:space="preserve"> che viene esteso dalla </w:t>
      </w:r>
      <w:proofErr w:type="spellStart"/>
      <w:r w:rsidR="00350520">
        <w:t>inner</w:t>
      </w:r>
      <w:proofErr w:type="spellEnd"/>
      <w:r w:rsidR="00350520">
        <w:t xml:space="preserve"> class del Plugin dell’elaborato. Dopo di che, seguono le misure implementate e aggiunte suddivise per tipologia di immagine e misura riguardante essa.</w:t>
      </w:r>
      <w:r w:rsidR="00435A77">
        <w:t xml:space="preserve"> Si possono anche selezionare tutte le misure o selezionare solo un gruppo di misure attraverso i check box con etichetta “Select </w:t>
      </w:r>
      <w:proofErr w:type="spellStart"/>
      <w:r w:rsidR="00435A77">
        <w:t>all</w:t>
      </w:r>
      <w:proofErr w:type="spellEnd"/>
      <w:r w:rsidR="00435A77">
        <w:t xml:space="preserve">”. A seconda della tipologia di immagine, se in scala di grigi o se a colori, alcune misure non sono disponibili. Dopo aver selezionato le misure, selezionando la voce “Ok”, il Plugin avvia il calcolo delle misure sulle regioni interesse individuate. Viene visualizzata una </w:t>
      </w:r>
      <w:proofErr w:type="spellStart"/>
      <w:r w:rsidR="00435A77">
        <w:t>ResultsTable</w:t>
      </w:r>
      <w:proofErr w:type="spellEnd"/>
      <w:r w:rsidR="00435A77">
        <w:t xml:space="preserve">, una tabella in cui vengono riportate le misure calcolate. Ogni colonna corrisponde ad una misura; nella prima riga differenziata </w:t>
      </w:r>
      <w:r w:rsidR="000F2656">
        <w:t>da un grigio più scuro, vengono riportati i nomi delle misure. La prima colonna invece, indica il numero della regione di interesse analizzata.</w:t>
      </w:r>
    </w:p>
    <w:p w:rsidR="00350520" w:rsidRDefault="00350520" w:rsidP="00551E9F">
      <w:pPr>
        <w:jc w:val="both"/>
      </w:pPr>
    </w:p>
    <w:p w:rsidR="00651294" w:rsidRPr="00D408DE" w:rsidRDefault="00651294" w:rsidP="00551E9F">
      <w:pPr>
        <w:jc w:val="both"/>
      </w:pPr>
    </w:p>
    <w:sectPr w:rsidR="00651294" w:rsidRPr="00D408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35ACEC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7C7942"/>
    <w:multiLevelType w:val="hybridMultilevel"/>
    <w:tmpl w:val="3D400A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72E0"/>
    <w:multiLevelType w:val="hybridMultilevel"/>
    <w:tmpl w:val="B1F0D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71"/>
    <w:rsid w:val="00037EC3"/>
    <w:rsid w:val="000413E2"/>
    <w:rsid w:val="00085869"/>
    <w:rsid w:val="000F14D5"/>
    <w:rsid w:val="000F2656"/>
    <w:rsid w:val="001125C5"/>
    <w:rsid w:val="00153208"/>
    <w:rsid w:val="0016268C"/>
    <w:rsid w:val="001E4D1E"/>
    <w:rsid w:val="00244BB6"/>
    <w:rsid w:val="002550C9"/>
    <w:rsid w:val="002C0B74"/>
    <w:rsid w:val="002E0C5C"/>
    <w:rsid w:val="002F5DE2"/>
    <w:rsid w:val="00350520"/>
    <w:rsid w:val="003B1FB9"/>
    <w:rsid w:val="003D5E71"/>
    <w:rsid w:val="00435A77"/>
    <w:rsid w:val="004801AA"/>
    <w:rsid w:val="004A6718"/>
    <w:rsid w:val="004B2D06"/>
    <w:rsid w:val="004C3C36"/>
    <w:rsid w:val="004C49A3"/>
    <w:rsid w:val="00517F78"/>
    <w:rsid w:val="00527B59"/>
    <w:rsid w:val="00551E9F"/>
    <w:rsid w:val="005777F2"/>
    <w:rsid w:val="005B29BE"/>
    <w:rsid w:val="005C60FA"/>
    <w:rsid w:val="00600995"/>
    <w:rsid w:val="0060773C"/>
    <w:rsid w:val="00640FBC"/>
    <w:rsid w:val="00644411"/>
    <w:rsid w:val="00651294"/>
    <w:rsid w:val="0066462C"/>
    <w:rsid w:val="0067560E"/>
    <w:rsid w:val="006B25A1"/>
    <w:rsid w:val="006C7AF9"/>
    <w:rsid w:val="00745169"/>
    <w:rsid w:val="007624A6"/>
    <w:rsid w:val="007A7C56"/>
    <w:rsid w:val="007E1BC4"/>
    <w:rsid w:val="00864277"/>
    <w:rsid w:val="008B32D2"/>
    <w:rsid w:val="008F444D"/>
    <w:rsid w:val="00973974"/>
    <w:rsid w:val="00975C6C"/>
    <w:rsid w:val="009858C5"/>
    <w:rsid w:val="009A5E7E"/>
    <w:rsid w:val="009B4CFF"/>
    <w:rsid w:val="009C48AF"/>
    <w:rsid w:val="00A349EE"/>
    <w:rsid w:val="00A94517"/>
    <w:rsid w:val="00AA275B"/>
    <w:rsid w:val="00BC7B93"/>
    <w:rsid w:val="00C247EB"/>
    <w:rsid w:val="00C551FA"/>
    <w:rsid w:val="00C645E3"/>
    <w:rsid w:val="00CA26CB"/>
    <w:rsid w:val="00D0276F"/>
    <w:rsid w:val="00D3112B"/>
    <w:rsid w:val="00D408DE"/>
    <w:rsid w:val="00D62D3A"/>
    <w:rsid w:val="00D62EDB"/>
    <w:rsid w:val="00D832FE"/>
    <w:rsid w:val="00DA2182"/>
    <w:rsid w:val="00E07EB9"/>
    <w:rsid w:val="00E55F15"/>
    <w:rsid w:val="00E722C4"/>
    <w:rsid w:val="00EC6085"/>
    <w:rsid w:val="00F941E8"/>
    <w:rsid w:val="00FC1ED6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D41B"/>
  <w15:chartTrackingRefBased/>
  <w15:docId w15:val="{6EEC998D-9683-4050-8B44-62531EAC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B32D2"/>
  </w:style>
  <w:style w:type="paragraph" w:styleId="Titolo1">
    <w:name w:val="heading 1"/>
    <w:basedOn w:val="Normale"/>
    <w:next w:val="Normale"/>
    <w:link w:val="Titolo1Carattere"/>
    <w:uiPriority w:val="9"/>
    <w:qFormat/>
    <w:rsid w:val="008B32D2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32D2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B32D2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32D2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32D2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2D2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2D2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2D2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2D2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32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B32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B32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32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32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32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32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32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32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B32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2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2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32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32D2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B32D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B32D2"/>
    <w:rPr>
      <w:i/>
      <w:iCs/>
      <w:color w:val="auto"/>
    </w:rPr>
  </w:style>
  <w:style w:type="paragraph" w:styleId="Nessunaspaziatura">
    <w:name w:val="No Spacing"/>
    <w:uiPriority w:val="1"/>
    <w:qFormat/>
    <w:rsid w:val="008B32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B32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32D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32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32D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B32D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B32D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B32D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B32D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B32D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B32D2"/>
    <w:pPr>
      <w:outlineLvl w:val="9"/>
    </w:pPr>
  </w:style>
  <w:style w:type="paragraph" w:styleId="Paragrafoelenco">
    <w:name w:val="List Paragraph"/>
    <w:basedOn w:val="Normale"/>
    <w:uiPriority w:val="34"/>
    <w:qFormat/>
    <w:rsid w:val="004B2D06"/>
    <w:pPr>
      <w:ind w:left="720"/>
      <w:contextualSpacing/>
    </w:pPr>
    <w:rPr>
      <w:rFonts w:cs="Mangal"/>
      <w:szCs w:val="20"/>
    </w:rPr>
  </w:style>
  <w:style w:type="table" w:styleId="Grigliatabella">
    <w:name w:val="Table Grid"/>
    <w:basedOn w:val="Tabellanormale"/>
    <w:uiPriority w:val="39"/>
    <w:rsid w:val="0086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02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zat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9</Pages>
  <Words>4191</Words>
  <Characters>23890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Pibiri</dc:creator>
  <cp:keywords/>
  <dc:description/>
  <cp:lastModifiedBy>Marta Pibiri</cp:lastModifiedBy>
  <cp:revision>4</cp:revision>
  <dcterms:created xsi:type="dcterms:W3CDTF">2018-06-27T15:20:00Z</dcterms:created>
  <dcterms:modified xsi:type="dcterms:W3CDTF">2018-06-29T15:54:00Z</dcterms:modified>
</cp:coreProperties>
</file>