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E96BE"/>
          <w:sz w:val="20"/>
          <w:szCs w:val="20"/>
        </w:rPr>
        <w:t xml:space="preserve">FUNDACIÓN UNIDOS POR EL DEPORTE</w:t>
      </w:r>
    </w:p>
    <w:p>
      <w:pPr>
        <w:spacing w:after="60"/>
      </w:pPr>
      <w:r>
        <w:rPr>
          <w:rFonts w:ascii="Arial" w:cs="Arial" w:eastAsia="Arial" w:hAnsi="Arial"/>
          <w:color w:val="647189"/>
          <w:sz w:val="18"/>
          <w:szCs w:val="18"/>
        </w:rPr>
        <w:t xml:space="preserve">Identidad de marca — Documento complementario</w:t>
      </w:r>
    </w:p>
    <w:p>
      <w:pPr>
        <w:pBdr>
          <w:bottom w:val="single" w:color="7E96BE" w:sz="6" w:space="1"/>
        </w:pBdr>
        <w:spacing w:after="300"/>
      </w:pPr>
    </w:p>
    <w:p>
      <w:pPr>
        <w:pStyle w:val="Heading1"/>
      </w:pPr>
      <w:r>
        <w:t xml:space="preserve">Actualización de paleta de colores v1.1</w:t>
      </w:r>
    </w:p>
    <w:p>
      <w:pPr>
        <w:spacing w:after="40"/>
      </w:pPr>
      <w:r>
        <w:rPr>
          <w:b/>
          <w:bCs/>
          <w:color w:val="647189"/>
          <w:sz w:val="20"/>
          <w:szCs w:val="20"/>
        </w:rPr>
        <w:t xml:space="preserve">Fecha: </w:t>
      </w:r>
      <w:r>
        <w:rPr>
          <w:color w:val="647189"/>
          <w:sz w:val="20"/>
          <w:szCs w:val="20"/>
        </w:rPr>
        <w:t xml:space="preserve">Marzo 2026</w:t>
      </w:r>
    </w:p>
    <w:p>
      <w:pPr>
        <w:spacing w:after="40"/>
      </w:pPr>
      <w:r>
        <w:rPr>
          <w:b/>
          <w:bCs/>
          <w:color w:val="647189"/>
          <w:sz w:val="20"/>
          <w:szCs w:val="20"/>
        </w:rPr>
        <w:t xml:space="preserve">Alcance: </w:t>
      </w:r>
      <w:r>
        <w:rPr>
          <w:color w:val="647189"/>
          <w:sz w:val="20"/>
          <w:szCs w:val="20"/>
        </w:rPr>
        <w:t xml:space="preserve">Incorporación de color de acción (Durazno vibrante) a la paleta institucional</w:t>
      </w:r>
    </w:p>
    <w:p>
      <w:pPr>
        <w:spacing w:after="40"/>
      </w:pPr>
      <w:r>
        <w:rPr>
          <w:b/>
          <w:bCs/>
          <w:color w:val="647189"/>
          <w:sz w:val="20"/>
          <w:szCs w:val="20"/>
        </w:rPr>
        <w:t xml:space="preserve">Referencia: </w:t>
      </w:r>
      <w:r>
        <w:rPr>
          <w:color w:val="647189"/>
          <w:sz w:val="20"/>
          <w:szCs w:val="20"/>
        </w:rPr>
        <w:t xml:space="preserve">Narrativa de marca UPED (documento fundacional, noviembre 2024)</w:t>
      </w:r>
    </w:p>
    <w:p>
      <w:pPr>
        <w:spacing w:after="300"/>
      </w:pPr>
      <w:r>
        <w:rPr>
          <w:b/>
          <w:bCs/>
          <w:color w:val="647189"/>
          <w:sz w:val="20"/>
          <w:szCs w:val="20"/>
        </w:rPr>
        <w:t xml:space="preserve">Estado: </w:t>
      </w:r>
      <w:r>
        <w:rPr>
          <w:color w:val="647189"/>
          <w:sz w:val="20"/>
          <w:szCs w:val="20"/>
        </w:rPr>
        <w:t xml:space="preserve">Aprobado</w:t>
      </w:r>
    </w:p>
    <w:p>
      <w:pPr>
        <w:pStyle w:val="Heading2"/>
      </w:pPr>
      <w:r>
        <w:t xml:space="preserve">1. Contexto y fundamento</w:t>
      </w:r>
    </w:p>
    <w:p>
      <w:pPr>
        <w:spacing w:after="160"/>
      </w:pPr>
      <w:r>
        <w:rPr>
          <w:sz w:val="22"/>
          <w:szCs w:val="22"/>
        </w:rPr>
        <w:t xml:space="preserve">La paleta original de Unidos por el Deporte fue diseñada con tonos azules y grises para transmitir confianza, cercanía y profesionalismo institucional. Estos valores siguen siendo centrales a la identidad de la fundación y no cambian.</w:t>
      </w:r>
    </w:p>
    <w:p>
      <w:pPr>
        <w:spacing w:after="160"/>
      </w:pPr>
      <w:r>
        <w:rPr>
          <w:sz w:val="22"/>
          <w:szCs w:val="22"/>
        </w:rPr>
        <w:t xml:space="preserve">Sin embargo, durante el proceso de desarrollo del sitio web institucional, se identificó que la paleta compuesta exclusivamente por tonos fríos carecía de un color de acción capaz de transmitir la energía, el movimiento y la urgencia positiva que caracterizan la misión de UPED. El propio ícono del logo —una llama deportiva— evoca calor y dinamismo que la paleta no acompañaba visualmente.</w:t>
      </w:r>
    </w:p>
    <w:p>
      <w:pPr>
        <w:spacing w:after="200"/>
      </w:pPr>
      <w:r>
        <w:rPr>
          <w:sz w:val="22"/>
          <w:szCs w:val="22"/>
        </w:rPr>
        <w:t xml:space="preserve">La incorporación de un tono cálido responde a un principio básico de teoría del color: el naranja es el complementario natural del azul. Juntos comunican </w:t>
      </w:r>
      <w:r>
        <w:rPr>
          <w:b/>
          <w:bCs/>
          <w:sz w:val="22"/>
          <w:szCs w:val="22"/>
        </w:rPr>
        <w:t xml:space="preserve">confianza + energía</w:t>
      </w:r>
      <w:r>
        <w:rPr>
          <w:sz w:val="22"/>
          <w:szCs w:val="22"/>
        </w:rPr>
        <w:t xml:space="preserve">, que es esencialmente lo que la fundación busca transmitir: “confiá en nosotros, y vamos juntos”.</w:t>
      </w:r>
    </w:p>
    <w:p>
      <w:pPr>
        <w:pStyle w:val="Heading2"/>
      </w:pPr>
      <w:r>
        <w:t xml:space="preserve">2. Nuevo color: Durazno vibrante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0D0D0" w:sz="1"/>
              <w:left w:val="single" w:color="D0D0D0" w:sz="1"/>
              <w:bottom w:val="single" w:color="D0D0D0" w:sz="1"/>
              <w:right w:val="single" w:color="D0D0D0" w:sz="1"/>
            </w:tcBorders>
            <w:shd w:fill="F4A261" w:val="clear"/>
            <w:tcMar>
              <w:top w:type="dxa" w:w="80"/>
              <w:left w:type="dxa" w:w="120"/>
              <w:bottom w:type="dxa" w:w="80"/>
              <w:right w:type="dxa" w:w="120"/>
            </w:tcMar>
            <w:vAlign w:val="center"/>
          </w:tcPr>
          <w:p>
            <w:pPr>
              <w:jc w:val="center"/>
            </w:pPr>
            <w:r>
              <w:rPr>
                <w:color w:val="FFFFFF"/>
                <w:sz w:val="22"/>
                <w:szCs w:val="22"/>
              </w:rPr>
              <w:t xml:space="preserve"> </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center"/>
            </w:pPr>
            <w:r>
              <w:rPr>
                <w:rFonts w:ascii="Courier New" w:cs="Courier New" w:eastAsia="Courier New" w:hAnsi="Courier New"/>
                <w:b/>
                <w:bCs/>
                <w:sz w:val="22"/>
                <w:szCs w:val="22"/>
              </w:rPr>
              <w:t xml:space="preserve">#F4A261</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r>
              <w:rPr>
                <w:b/>
                <w:bCs/>
                <w:sz w:val="22"/>
                <w:szCs w:val="22"/>
              </w:rPr>
              <w:t xml:space="preserve">Durazno vibrante</w:t>
            </w:r>
          </w:p>
          <w:p>
            <w:pPr>
              <w:spacing w:before="40"/>
            </w:pPr>
            <w:r>
              <w:rPr>
                <w:color w:val="647189"/>
                <w:sz w:val="20"/>
                <w:szCs w:val="20"/>
              </w:rPr>
              <w:t xml:space="preserve">RGB: 244, 162, 97 — Luminoso, cálido y accesible. Equilibra energía deportiva con amabilidad comunitaria.</w:t>
            </w:r>
          </w:p>
        </w:tc>
      </w:tr>
    </w:tbl>
    <w:p>
      <w:pPr>
        <w:spacing w:after="200"/>
      </w:pPr>
    </w:p>
    <w:p>
      <w:pPr>
        <w:pStyle w:val="Heading2"/>
      </w:pPr>
      <w:r>
        <w:t xml:space="preserve">3. Paleta completa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5760"/>
      </w:tblGrid>
      <w:tr>
        <w:tc>
          <w:tcPr>
            <w:tcW w:type="dxa" w:w="800"/>
            <w:tcBorders>
              <w:top w:val="single" w:color="D0D0D0" w:sz="1"/>
              <w:left w:val="single" w:color="D0D0D0" w:sz="1"/>
              <w:bottom w:val="single" w:color="D0D0D0" w:sz="1"/>
              <w:right w:val="single" w:color="D0D0D0" w:sz="1"/>
            </w:tcBorders>
            <w:shd w:fill="4A4D55" w:val="clear"/>
            <w:tcMar>
              <w:top w:type="dxa" w:w="80"/>
              <w:left w:type="dxa" w:w="120"/>
              <w:bottom w:type="dxa" w:w="80"/>
              <w:right w:type="dxa" w:w="120"/>
            </w:tcMar>
          </w:tcPr>
          <w:p>
            <w:pPr>
              <w:jc w:val="center"/>
            </w:pPr>
            <w:r>
              <w:rPr>
                <w:b/>
                <w:bCs/>
                <w:color w:val="FFFFFF"/>
                <w:sz w:val="18"/>
                <w:szCs w:val="18"/>
              </w:rPr>
              <w:t xml:space="preserve"> </w:t>
            </w:r>
          </w:p>
        </w:tc>
        <w:tc>
          <w:tcPr>
            <w:tcW w:type="dxa" w:w="1600"/>
            <w:tcBorders>
              <w:top w:val="single" w:color="D0D0D0" w:sz="1"/>
              <w:left w:val="single" w:color="D0D0D0" w:sz="1"/>
              <w:bottom w:val="single" w:color="D0D0D0" w:sz="1"/>
              <w:right w:val="single" w:color="D0D0D0" w:sz="1"/>
            </w:tcBorders>
            <w:shd w:fill="4A4D55" w:val="clear"/>
            <w:tcMar>
              <w:top w:type="dxa" w:w="80"/>
              <w:left w:type="dxa" w:w="120"/>
              <w:bottom w:type="dxa" w:w="80"/>
              <w:right w:type="dxa" w:w="120"/>
            </w:tcMar>
          </w:tcPr>
          <w:p>
            <w:r>
              <w:rPr>
                <w:b/>
                <w:bCs/>
                <w:color w:val="FFFFFF"/>
                <w:sz w:val="18"/>
                <w:szCs w:val="18"/>
              </w:rPr>
              <w:t xml:space="preserve">Color</w:t>
            </w:r>
          </w:p>
        </w:tc>
        <w:tc>
          <w:tcPr>
            <w:tcW w:type="dxa" w:w="1200"/>
            <w:tcBorders>
              <w:top w:val="single" w:color="D0D0D0" w:sz="1"/>
              <w:left w:val="single" w:color="D0D0D0" w:sz="1"/>
              <w:bottom w:val="single" w:color="D0D0D0" w:sz="1"/>
              <w:right w:val="single" w:color="D0D0D0" w:sz="1"/>
            </w:tcBorders>
            <w:shd w:fill="4A4D55" w:val="clear"/>
            <w:tcMar>
              <w:top w:type="dxa" w:w="80"/>
              <w:left w:type="dxa" w:w="120"/>
              <w:bottom w:type="dxa" w:w="80"/>
              <w:right w:type="dxa" w:w="120"/>
            </w:tcMar>
          </w:tcPr>
          <w:p>
            <w:r>
              <w:rPr>
                <w:b/>
                <w:bCs/>
                <w:color w:val="FFFFFF"/>
                <w:sz w:val="18"/>
                <w:szCs w:val="18"/>
              </w:rPr>
              <w:t xml:space="preserve">Hex</w:t>
            </w:r>
          </w:p>
        </w:tc>
        <w:tc>
          <w:tcPr>
            <w:tcW w:type="dxa" w:w="5760"/>
            <w:tcBorders>
              <w:top w:val="single" w:color="D0D0D0" w:sz="1"/>
              <w:left w:val="single" w:color="D0D0D0" w:sz="1"/>
              <w:bottom w:val="single" w:color="D0D0D0" w:sz="1"/>
              <w:right w:val="single" w:color="D0D0D0" w:sz="1"/>
            </w:tcBorders>
            <w:shd w:fill="4A4D55" w:val="clear"/>
            <w:tcMar>
              <w:top w:type="dxa" w:w="80"/>
              <w:left w:type="dxa" w:w="120"/>
              <w:bottom w:type="dxa" w:w="80"/>
              <w:right w:type="dxa" w:w="120"/>
            </w:tcMar>
          </w:tcPr>
          <w:p>
            <w:r>
              <w:rPr>
                <w:b/>
                <w:bCs/>
                <w:color w:val="FFFFFF"/>
                <w:sz w:val="18"/>
                <w:szCs w:val="18"/>
              </w:rPr>
              <w:t xml:space="preserve">Rol en la marca</w:t>
            </w:r>
          </w:p>
        </w:tc>
      </w:tr>
      <w:tr>
        <w:tc>
          <w:tcPr>
            <w:tcW w:type="dxa" w:w="800"/>
            <w:tcBorders>
              <w:top w:val="single" w:color="D0D0D0" w:sz="1"/>
              <w:left w:val="single" w:color="D0D0D0" w:sz="1"/>
              <w:bottom w:val="single" w:color="D0D0D0" w:sz="1"/>
              <w:right w:val="single" w:color="D0D0D0" w:sz="1"/>
            </w:tcBorders>
            <w:shd w:fill="4A4D55"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Grafito</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#4A4D55</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Textos principales, títulos, elementos de alto contraste. Reemplaza al negro puro.</w:t>
            </w:r>
          </w:p>
        </w:tc>
      </w:tr>
      <w:tr>
        <w:tc>
          <w:tcPr>
            <w:tcW w:type="dxa" w:w="800"/>
            <w:tcBorders>
              <w:top w:val="single" w:color="D0D0D0" w:sz="1"/>
              <w:left w:val="single" w:color="D0D0D0" w:sz="1"/>
              <w:bottom w:val="single" w:color="D0D0D0" w:sz="1"/>
              <w:right w:val="single" w:color="D0D0D0" w:sz="1"/>
            </w:tcBorders>
            <w:shd w:fill="647189"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Pizarra</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#647189</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Textos secundarios, descripciones, metadatos. Jerarquía sin competir con el contenido principal.</w:t>
            </w:r>
          </w:p>
        </w:tc>
      </w:tr>
      <w:tr>
        <w:tc>
          <w:tcPr>
            <w:tcW w:type="dxa" w:w="800"/>
            <w:tcBorders>
              <w:top w:val="single" w:color="D0D0D0" w:sz="1"/>
              <w:left w:val="single" w:color="D0D0D0" w:sz="1"/>
              <w:bottom w:val="single" w:color="D0D0D0" w:sz="1"/>
              <w:right w:val="single" w:color="D0D0D0" w:sz="1"/>
            </w:tcBorders>
            <w:shd w:fill="7E96BE"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Azul marca</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#7E96BE</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Color primario de marca. Logo, headers, identidad institucional, elementos principales de interfaz.</w:t>
            </w:r>
          </w:p>
        </w:tc>
      </w:tr>
      <w:tr>
        <w:tc>
          <w:tcPr>
            <w:tcW w:type="dxa" w:w="800"/>
            <w:tcBorders>
              <w:top w:val="single" w:color="D0D0D0" w:sz="1"/>
              <w:left w:val="single" w:color="D0D0D0" w:sz="1"/>
              <w:bottom w:val="single" w:color="D0D0D0" w:sz="1"/>
              <w:right w:val="single" w:color="D0D0D0" w:sz="1"/>
            </w:tcBorders>
            <w:shd w:fill="F4A261"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Durazno vibrante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#F4A261</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Color de acción. CTAs, botones de donación, highlights de impacto, badges, elementos que invitan a actuar. NUEVO.</w:t>
            </w:r>
          </w:p>
        </w:tc>
      </w:tr>
      <w:tr>
        <w:tc>
          <w:tcPr>
            <w:tcW w:type="dxa" w:w="800"/>
            <w:tcBorders>
              <w:top w:val="single" w:color="D0D0D0" w:sz="1"/>
              <w:left w:val="single" w:color="D0D0D0" w:sz="1"/>
              <w:bottom w:val="single" w:color="D0D0D0" w:sz="1"/>
              <w:right w:val="single" w:color="D0D0D0" w:sz="1"/>
            </w:tcBorders>
            <w:shd w:fill="98BBF3"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Celeste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#98BBF3</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Fondos destacados, versiones sobre fondo oscuro, elementos secundarios de interfaz.</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sz w:val="18"/>
                <w:szCs w:val="18"/>
              </w:rPr>
              <w:t xml:space="preserve"> </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b/>
                <w:bCs/>
                <w:sz w:val="20"/>
                <w:szCs w:val="20"/>
              </w:rPr>
              <w:t xml:space="preserve">Blanco</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Courier New" w:cs="Courier New" w:eastAsia="Courier New" w:hAnsi="Courier New"/>
                <w:sz w:val="20"/>
                <w:szCs w:val="20"/>
              </w:rPr>
              <w:t xml:space="preserve">#FCFCFC</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color w:val="647189"/>
                <w:sz w:val="20"/>
                <w:szCs w:val="20"/>
              </w:rPr>
              <w:t xml:space="preserve">Fondos principales, espacios de respiro, contraste con tonos oscuros.</w:t>
            </w:r>
          </w:p>
        </w:tc>
      </w:tr>
    </w:tbl>
    <w:p>
      <w:pPr>
        <w:spacing w:after="200"/>
      </w:pPr>
    </w:p>
    <w:p>
      <w:pPr>
        <w:pStyle w:val="Heading2"/>
      </w:pPr>
      <w:r>
        <w:t xml:space="preserve">4. Reglas de uso del nuevo color</w:t>
      </w:r>
    </w:p>
    <w:p>
      <w:pPr>
        <w:pStyle w:val="Heading3"/>
      </w:pPr>
      <w:r>
        <w:t xml:space="preserve">El azul marca sigue siendo el color principal</w:t>
      </w:r>
    </w:p>
    <w:p>
      <w:pPr>
        <w:spacing w:after="160"/>
      </w:pPr>
      <w:r>
        <w:rPr>
          <w:sz w:val="22"/>
          <w:szCs w:val="22"/>
        </w:rPr>
        <w:t xml:space="preserve">El Durazno vibrante no reemplaza ni compite con el Azul marca (#7E96BE). El azul sigue siendo el color del logo, de los encabezados institucionales y de la identidad general. El naranja entra como complemento estratégico, no como protagonista.</w:t>
      </w:r>
    </w:p>
    <w:p>
      <w:pPr>
        <w:pStyle w:val="Heading3"/>
      </w:pPr>
      <w:r>
        <w:t xml:space="preserve">El durazno es el color de acción</w:t>
      </w:r>
    </w:p>
    <w:p>
      <w:pPr>
        <w:spacing w:after="100"/>
      </w:pPr>
      <w:r>
        <w:rPr>
          <w:sz w:val="22"/>
          <w:szCs w:val="22"/>
        </w:rPr>
        <w:t xml:space="preserve">Usar Durazno vibrante en los siguientes contextos:</w:t>
      </w:r>
    </w:p>
    <w:p>
      <w:pPr>
        <w:spacing w:after="60"/>
        <w:ind w:left="360"/>
      </w:pPr>
      <w:r>
        <w:rPr>
          <w:sz w:val="22"/>
          <w:szCs w:val="22"/>
        </w:rPr>
        <w:t xml:space="preserve">• </w:t>
      </w:r>
      <w:r>
        <w:rPr>
          <w:sz w:val="22"/>
          <w:szCs w:val="22"/>
        </w:rPr>
        <w:t xml:space="preserve">Botones de llamada a la acción (CTAs): “Donar ahora”, “Sumate”, “Inscribite”.</w:t>
      </w:r>
    </w:p>
    <w:p>
      <w:pPr>
        <w:spacing w:after="60"/>
        <w:ind w:left="360"/>
      </w:pPr>
      <w:r>
        <w:rPr>
          <w:sz w:val="22"/>
          <w:szCs w:val="22"/>
        </w:rPr>
        <w:t xml:space="preserve">• </w:t>
      </w:r>
      <w:r>
        <w:rPr>
          <w:sz w:val="22"/>
          <w:szCs w:val="22"/>
        </w:rPr>
        <w:t xml:space="preserve">Badges y etiquetas de impacto: números destacados, estadísticas, logros.</w:t>
      </w:r>
    </w:p>
    <w:p>
      <w:pPr>
        <w:spacing w:after="60"/>
        <w:ind w:left="360"/>
      </w:pPr>
      <w:r>
        <w:rPr>
          <w:sz w:val="22"/>
          <w:szCs w:val="22"/>
        </w:rPr>
        <w:t xml:space="preserve">• </w:t>
      </w:r>
      <w:r>
        <w:rPr>
          <w:sz w:val="22"/>
          <w:szCs w:val="22"/>
        </w:rPr>
        <w:t xml:space="preserve">Elementos de urgencia positiva: banners de campaña, alertas de eventos, contadores.</w:t>
      </w:r>
    </w:p>
    <w:p>
      <w:pPr>
        <w:spacing w:after="60"/>
        <w:ind w:left="360"/>
      </w:pPr>
      <w:r>
        <w:rPr>
          <w:sz w:val="22"/>
          <w:szCs w:val="22"/>
        </w:rPr>
        <w:t xml:space="preserve">• </w:t>
      </w:r>
      <w:r>
        <w:rPr>
          <w:sz w:val="22"/>
          <w:szCs w:val="22"/>
        </w:rPr>
        <w:t xml:space="preserve">Acentos en tarjetas y componentes: bordes laterales, íconos de acción, indicadores de estado activo.</w:t>
      </w:r>
    </w:p>
    <w:p>
      <w:pPr>
        <w:spacing w:after="60"/>
        <w:ind w:left="360"/>
      </w:pPr>
      <w:r>
        <w:rPr>
          <w:sz w:val="22"/>
          <w:szCs w:val="22"/>
        </w:rPr>
        <w:t xml:space="preserve">• </w:t>
      </w:r>
      <w:r>
        <w:rPr>
          <w:sz w:val="22"/>
          <w:szCs w:val="22"/>
        </w:rPr>
        <w:t xml:space="preserve">Gradientes combinados: transiciones de Durazno a Azul marca para barras de CTA y hero sections.</w:t>
      </w:r>
    </w:p>
    <w:p>
      <w:pPr>
        <w:spacing w:after="100"/>
      </w:pPr>
    </w:p>
    <w:p>
      <w:pPr>
        <w:pStyle w:val="Heading3"/>
      </w:pPr>
      <w:r>
        <w:t xml:space="preserve">No usar Durazno vibrante en</w:t>
      </w:r>
    </w:p>
    <w:p>
      <w:pPr>
        <w:spacing w:after="60"/>
        <w:ind w:left="360"/>
      </w:pPr>
      <w:r>
        <w:rPr>
          <w:sz w:val="22"/>
          <w:szCs w:val="22"/>
        </w:rPr>
        <w:t xml:space="preserve">• </w:t>
      </w:r>
      <w:r>
        <w:rPr>
          <w:sz w:val="22"/>
          <w:szCs w:val="22"/>
        </w:rPr>
        <w:t xml:space="preserve">El logo de la fundación (el ícono sigue siendo Azul marca).</w:t>
      </w:r>
    </w:p>
    <w:p>
      <w:pPr>
        <w:spacing w:after="60"/>
        <w:ind w:left="360"/>
      </w:pPr>
      <w:r>
        <w:rPr>
          <w:sz w:val="22"/>
          <w:szCs w:val="22"/>
        </w:rPr>
        <w:t xml:space="preserve">• </w:t>
      </w:r>
      <w:r>
        <w:rPr>
          <w:sz w:val="22"/>
          <w:szCs w:val="22"/>
        </w:rPr>
        <w:t xml:space="preserve">Textos corridos o párrafos (el naranja no es color de lectura).</w:t>
      </w:r>
    </w:p>
    <w:p>
      <w:pPr>
        <w:spacing w:after="60"/>
        <w:ind w:left="360"/>
      </w:pPr>
      <w:r>
        <w:rPr>
          <w:sz w:val="22"/>
          <w:szCs w:val="22"/>
        </w:rPr>
        <w:t xml:space="preserve">• </w:t>
      </w:r>
      <w:r>
        <w:rPr>
          <w:sz w:val="22"/>
          <w:szCs w:val="22"/>
        </w:rPr>
        <w:t xml:space="preserve">Fondos extensos (puede resultar agresivo en grandes superficies; reservar para acentos).</w:t>
      </w:r>
    </w:p>
    <w:p>
      <w:pPr>
        <w:spacing w:after="60"/>
        <w:ind w:left="360"/>
      </w:pPr>
      <w:r>
        <w:rPr>
          <w:sz w:val="22"/>
          <w:szCs w:val="22"/>
        </w:rPr>
        <w:t xml:space="preserve">• </w:t>
      </w:r>
      <w:r>
        <w:rPr>
          <w:sz w:val="22"/>
          <w:szCs w:val="22"/>
        </w:rPr>
        <w:t xml:space="preserve">Combinación directa con el Celeste (#98BBF3) sin un separador neutro (pueden competir visualmente).</w:t>
      </w:r>
    </w:p>
    <w:p>
      <w:pPr>
        <w:spacing w:after="200"/>
      </w:pPr>
    </w:p>
    <w:p>
      <w:pPr>
        <w:pStyle w:val="Heading2"/>
      </w:pPr>
      <w:r>
        <w:t xml:space="preserve">5. Implementación en CSS</w:t>
      </w:r>
    </w:p>
    <w:p>
      <w:pPr>
        <w:spacing w:after="100"/>
      </w:pPr>
      <w:r>
        <w:rPr>
          <w:sz w:val="22"/>
          <w:szCs w:val="22"/>
        </w:rPr>
        <w:t xml:space="preserve">Para desarrollo web, la paleta se define como variables CSS en el :root del sitio:</w:t>
      </w:r>
    </w:p>
    <w:p>
      <w:pPr>
        <w:shd w:fill="F5F5F5" w:val="clear"/>
        <w:spacing w:after="40"/>
        <w:ind w:left="240" w:right="240"/>
      </w:pPr>
      <w:r>
        <w:rPr>
          <w:rFonts w:ascii="Courier New" w:cs="Courier New" w:eastAsia="Courier New" w:hAnsi="Courier New"/>
          <w:color w:val="4A4D55"/>
          <w:sz w:val="20"/>
          <w:szCs w:val="20"/>
        </w:rPr>
        <w:t xml:space="preserve">:root {</w:t>
      </w:r>
    </w:p>
    <w:p>
      <w:pPr>
        <w:shd w:fill="F5F5F5" w:val="clear"/>
        <w:ind w:left="240" w:right="240"/>
      </w:pPr>
      <w:r>
        <w:rPr>
          <w:rFonts w:ascii="Courier New" w:cs="Courier New" w:eastAsia="Courier New" w:hAnsi="Courier New"/>
          <w:color w:val="647189"/>
          <w:sz w:val="20"/>
          <w:szCs w:val="20"/>
        </w:rPr>
        <w:t xml:space="preserve">  --color-white: #fcfcfc;  /* Blanco */</w:t>
      </w:r>
    </w:p>
    <w:p>
      <w:pPr>
        <w:shd w:fill="F5F5F5" w:val="clear"/>
        <w:ind w:left="240" w:right="240"/>
      </w:pPr>
      <w:r>
        <w:rPr>
          <w:rFonts w:ascii="Courier New" w:cs="Courier New" w:eastAsia="Courier New" w:hAnsi="Courier New"/>
          <w:color w:val="647189"/>
          <w:sz w:val="20"/>
          <w:szCs w:val="20"/>
        </w:rPr>
        <w:t xml:space="preserve">  --color-dark: #4a4d55;  /* Grafito */</w:t>
      </w:r>
    </w:p>
    <w:p>
      <w:pPr>
        <w:shd w:fill="F5F5F5" w:val="clear"/>
        <w:ind w:left="240" w:right="240"/>
      </w:pPr>
      <w:r>
        <w:rPr>
          <w:rFonts w:ascii="Courier New" w:cs="Courier New" w:eastAsia="Courier New" w:hAnsi="Courier New"/>
          <w:color w:val="647189"/>
          <w:sz w:val="20"/>
          <w:szCs w:val="20"/>
        </w:rPr>
        <w:t xml:space="preserve">  --color-slate: #647189;  /* Pizarra */</w:t>
      </w:r>
    </w:p>
    <w:p>
      <w:pPr>
        <w:shd w:fill="F5F5F5" w:val="clear"/>
        <w:ind w:left="240" w:right="240"/>
      </w:pPr>
      <w:r>
        <w:rPr>
          <w:rFonts w:ascii="Courier New" w:cs="Courier New" w:eastAsia="Courier New" w:hAnsi="Courier New"/>
          <w:color w:val="647189"/>
          <w:sz w:val="20"/>
          <w:szCs w:val="20"/>
        </w:rPr>
        <w:t xml:space="preserve">  --color-blue: #7e96be;  /* Azul marca */</w:t>
      </w:r>
    </w:p>
    <w:p>
      <w:pPr>
        <w:shd w:fill="F5F5F5" w:val="clear"/>
        <w:ind w:left="240" w:right="240"/>
      </w:pPr>
      <w:r>
        <w:rPr>
          <w:rFonts w:ascii="Courier New" w:cs="Courier New" w:eastAsia="Courier New" w:hAnsi="Courier New"/>
          <w:color w:val="647189"/>
          <w:sz w:val="20"/>
          <w:szCs w:val="20"/>
        </w:rPr>
        <w:t xml:space="preserve">  --color-accent: #F4A261;  /* Durazno vibrante — NUEVO */</w:t>
      </w:r>
    </w:p>
    <w:p>
      <w:pPr>
        <w:shd w:fill="F5F5F5" w:val="clear"/>
        <w:ind w:left="240" w:right="240"/>
      </w:pPr>
      <w:r>
        <w:rPr>
          <w:rFonts w:ascii="Courier New" w:cs="Courier New" w:eastAsia="Courier New" w:hAnsi="Courier New"/>
          <w:color w:val="647189"/>
          <w:sz w:val="20"/>
          <w:szCs w:val="20"/>
        </w:rPr>
        <w:t xml:space="preserve">  --color-light: #98bbf3;  /* Celeste */</w:t>
      </w:r>
    </w:p>
    <w:p>
      <w:pPr>
        <w:shd w:fill="F5F5F5" w:val="clear"/>
        <w:spacing w:after="200"/>
        <w:ind w:left="240" w:right="240"/>
      </w:pPr>
      <w:r>
        <w:rPr>
          <w:rFonts w:ascii="Courier New" w:cs="Courier New" w:eastAsia="Courier New" w:hAnsi="Courier New"/>
          <w:color w:val="4A4D55"/>
          <w:sz w:val="20"/>
          <w:szCs w:val="20"/>
        </w:rPr>
        <w:t xml:space="preserve">}</w:t>
      </w:r>
    </w:p>
    <w:p>
      <w:pPr>
        <w:pStyle w:val="Heading2"/>
      </w:pPr>
      <w:r>
        <w:t xml:space="preserve">6. Compatibilidad y accesibilidad</w:t>
      </w:r>
    </w:p>
    <w:p>
      <w:pPr>
        <w:spacing w:after="160"/>
      </w:pPr>
      <w:r>
        <w:rPr>
          <w:b/>
          <w:bCs/>
          <w:sz w:val="22"/>
          <w:szCs w:val="22"/>
        </w:rPr>
        <w:t xml:space="preserve">Durazno vibrante sobre fondo blanco (#FCFCFC):</w:t>
      </w:r>
      <w:r>
        <w:rPr>
          <w:sz w:val="22"/>
          <w:szCs w:val="22"/>
        </w:rPr>
        <w:t xml:space="preserve"> Ratio de contraste 2.5:1. No apto para texto pequeño. Usar para elementos decorativos, íconos y botones con texto blanco superpuesto.</w:t>
      </w:r>
    </w:p>
    <w:p>
      <w:pPr>
        <w:spacing w:after="160"/>
      </w:pPr>
      <w:r>
        <w:rPr>
          <w:b/>
          <w:bCs/>
          <w:sz w:val="22"/>
          <w:szCs w:val="22"/>
        </w:rPr>
        <w:t xml:space="preserve">Texto blanco sobre Durazno vibrante:</w:t>
      </w:r>
      <w:r>
        <w:rPr>
          <w:sz w:val="22"/>
          <w:szCs w:val="22"/>
        </w:rPr>
        <w:t xml:space="preserve"> Ratio 2.5:1. Apto para botones y badges en tamaño grande (18px+, bold). Para texto más pequeño, usar Grafito sobre Durazno.</w:t>
      </w:r>
    </w:p>
    <w:p>
      <w:pPr>
        <w:spacing w:after="160"/>
      </w:pPr>
      <w:r>
        <w:rPr>
          <w:b/>
          <w:bCs/>
          <w:sz w:val="22"/>
          <w:szCs w:val="22"/>
        </w:rPr>
        <w:t xml:space="preserve">Texto Grafito sobre Durazno vibrante:</w:t>
      </w:r>
      <w:r>
        <w:rPr>
          <w:sz w:val="22"/>
          <w:szCs w:val="22"/>
        </w:rPr>
        <w:t xml:space="preserve"> Ratio 4.8:1. Cumple WCAG AA. Usar cuando se necesite texto legible sobre fondo naranja.</w:t>
      </w:r>
    </w:p>
    <w:p>
      <w:pPr>
        <w:spacing w:after="200"/>
      </w:pPr>
      <w:r>
        <w:rPr>
          <w:b/>
          <w:bCs/>
          <w:sz w:val="22"/>
          <w:szCs w:val="22"/>
        </w:rPr>
        <w:t xml:space="preserve">Recomendación general:</w:t>
      </w:r>
      <w:r>
        <w:rPr>
          <w:sz w:val="22"/>
          <w:szCs w:val="22"/>
        </w:rPr>
        <w:t xml:space="preserve"> Para CTAs y botones, usar texto blanco en bold a 14px o más. Para etiquetas informativas, usar texto Grafito sobre fondo Durazno. Nunca usar Durazno como color de texto sobre fondo claro.</w:t>
      </w:r>
    </w:p>
    <w:p>
      <w:pPr>
        <w:pStyle w:val="Heading2"/>
      </w:pPr>
      <w:r>
        <w:t xml:space="preserve">7. Notas</w:t>
      </w:r>
    </w:p>
    <w:p>
      <w:pPr>
        <w:spacing w:after="160"/>
      </w:pPr>
      <w:r>
        <w:rPr>
          <w:sz w:val="22"/>
          <w:szCs w:val="22"/>
        </w:rPr>
        <w:t xml:space="preserve">Este addendum complementa la Narrativa de marca UPED y no la reemplaza. Todos los lineamientos de voz, tono, audiencias y posicionamiento definidos en el documento fundacional siguen vigentes sin modificación.</w:t>
      </w:r>
    </w:p>
    <w:p>
      <w:pPr>
        <w:spacing w:after="160"/>
      </w:pPr>
      <w:r>
        <w:rPr>
          <w:sz w:val="22"/>
          <w:szCs w:val="22"/>
        </w:rPr>
        <w:t xml:space="preserve">El logo de la fundación no se modifica. El ícono (manos/llama deportiva) mantiene su color Azul marca. El Durazno vibrante se aplica exclusivamente a la interfaz, comunicación y materiales de campaña.</w:t>
      </w:r>
    </w:p>
    <w:p>
      <w:pPr>
        <w:pBdr>
          <w:top w:val="single" w:color="7E96BE" w:sz="4" w:space="8"/>
        </w:pBdr>
        <w:spacing w:before="400"/>
        <w:jc w:val="center"/>
      </w:pPr>
      <w:r>
        <w:rPr>
          <w:color w:val="647189"/>
          <w:sz w:val="18"/>
          <w:szCs w:val="18"/>
        </w:rPr>
        <w:t xml:space="preserve">Fundación Unidos por el Deporte — Corrientes, Argentina</w:t>
      </w:r>
    </w:p>
    <w:p>
      <w:pPr>
        <w:spacing w:after="0"/>
        <w:jc w:val="center"/>
      </w:pPr>
      <w:r>
        <w:rPr>
          <w:i/>
          <w:iCs/>
          <w:color w:val="7E96BE"/>
          <w:sz w:val="18"/>
          <w:szCs w:val="18"/>
        </w:rPr>
        <w:t xml:space="preserve">El deporte nos une.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D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A4D5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4D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471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2026-03-09T16:16:36.835Z</dcterms:created>
  <dcterms:modified xsi:type="dcterms:W3CDTF">2026-03-09T16:16:36.836Z</dcterms:modified>
</cp:coreProperties>
</file>

<file path=docProps/custom.xml><?xml version="1.0" encoding="utf-8"?>
<Properties xmlns="http://schemas.openxmlformats.org/officeDocument/2006/custom-properties" xmlns:vt="http://schemas.openxmlformats.org/officeDocument/2006/docPropsVTypes"/>
</file>