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0" w:line="276" w:lineRule="auto"/>
        <w:ind w:left="0" w:firstLine="0"/>
        <w:jc w:val="left"/>
        <w:rPr/>
      </w:pPr>
      <w:r w:rsidDel="00000000" w:rsidR="00000000" w:rsidRPr="00000000">
        <w:rPr>
          <w:rtl w:val="0"/>
        </w:rPr>
      </w:r>
    </w:p>
    <w:p w:rsidR="00000000" w:rsidDel="00000000" w:rsidP="00000000" w:rsidRDefault="00000000" w:rsidRPr="00000000" w14:paraId="00000002">
      <w:pPr>
        <w:pStyle w:val="Title"/>
        <w:rPr/>
      </w:pPr>
      <w:bookmarkStart w:colFirst="0" w:colLast="0" w:name="_e5odcy3pnral" w:id="0"/>
      <w:bookmarkEnd w:id="0"/>
      <w:r w:rsidDel="00000000" w:rsidR="00000000" w:rsidRPr="00000000">
        <w:rPr>
          <w:rtl w:val="0"/>
        </w:rPr>
      </w:r>
    </w:p>
    <w:p w:rsidR="00000000" w:rsidDel="00000000" w:rsidP="00000000" w:rsidRDefault="00000000" w:rsidRPr="00000000" w14:paraId="00000003">
      <w:pPr>
        <w:pStyle w:val="Title"/>
        <w:rPr/>
      </w:pPr>
      <w:bookmarkStart w:colFirst="0" w:colLast="0" w:name="_evz8hk8q7zi4" w:id="1"/>
      <w:bookmarkEnd w:id="1"/>
      <w:r w:rsidDel="00000000" w:rsidR="00000000" w:rsidRPr="00000000">
        <w:rPr>
          <w:rtl w:val="0"/>
        </w:rPr>
        <w:t xml:space="preserve">Projeto Segurança Viária no Brasil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firstLine="0"/>
        <w:rPr/>
      </w:pPr>
      <w:r w:rsidDel="00000000" w:rsidR="00000000" w:rsidRPr="00000000">
        <w:rPr>
          <w:rtl w:val="0"/>
        </w:rPr>
        <w:t xml:space="preserve">André Luiz Raymundo Alves</w:t>
      </w:r>
    </w:p>
    <w:p w:rsidR="00000000" w:rsidDel="00000000" w:rsidP="00000000" w:rsidRDefault="00000000" w:rsidRPr="00000000" w14:paraId="00000006">
      <w:pPr>
        <w:ind w:left="0" w:firstLine="284"/>
        <w:rPr>
          <w:color w:val="0000ff"/>
        </w:rPr>
      </w:pPr>
      <w:hyperlink r:id="rId6">
        <w:r w:rsidDel="00000000" w:rsidR="00000000" w:rsidRPr="00000000">
          <w:rPr>
            <w:color w:val="0000ff"/>
            <w:u w:val="single"/>
            <w:rtl w:val="0"/>
          </w:rPr>
          <w:t xml:space="preserve">https://www.linkedin.com/in/andre-alves-a20a691bb</w:t>
        </w:r>
      </w:hyperlink>
      <w:r w:rsidDel="00000000" w:rsidR="00000000" w:rsidRPr="00000000">
        <w:rPr>
          <w:rtl w:val="0"/>
        </w:rPr>
      </w:r>
    </w:p>
    <w:p w:rsidR="00000000" w:rsidDel="00000000" w:rsidP="00000000" w:rsidRDefault="00000000" w:rsidRPr="00000000" w14:paraId="00000007">
      <w:pPr>
        <w:ind w:firstLine="0"/>
        <w:rPr/>
      </w:pPr>
      <w:r w:rsidDel="00000000" w:rsidR="00000000" w:rsidRPr="00000000">
        <w:rPr>
          <w:rtl w:val="0"/>
        </w:rPr>
        <w:t xml:space="preserve">Anny Spadari Corsi Ohashi</w:t>
      </w:r>
    </w:p>
    <w:p w:rsidR="00000000" w:rsidDel="00000000" w:rsidP="00000000" w:rsidRDefault="00000000" w:rsidRPr="00000000" w14:paraId="00000008">
      <w:pPr>
        <w:ind w:firstLine="0"/>
        <w:rPr>
          <w:color w:val="0000ff"/>
        </w:rPr>
      </w:pPr>
      <w:hyperlink r:id="rId7">
        <w:r w:rsidDel="00000000" w:rsidR="00000000" w:rsidRPr="00000000">
          <w:rPr>
            <w:color w:val="0000ff"/>
            <w:u w:val="single"/>
            <w:rtl w:val="0"/>
          </w:rPr>
          <w:t xml:space="preserve">https://www.linkedin.com/in/anny-corsi-6744a82b9?utm_source=share&amp;utm_campaign=share_via&amp;utm_content=profile&amp;utm_medium=android_app</w:t>
        </w:r>
      </w:hyperlink>
      <w:r w:rsidDel="00000000" w:rsidR="00000000" w:rsidRPr="00000000">
        <w:rPr>
          <w:rtl w:val="0"/>
        </w:rPr>
      </w:r>
    </w:p>
    <w:p w:rsidR="00000000" w:rsidDel="00000000" w:rsidP="00000000" w:rsidRDefault="00000000" w:rsidRPr="00000000" w14:paraId="00000009">
      <w:pPr>
        <w:ind w:firstLine="0"/>
        <w:rPr/>
      </w:pPr>
      <w:r w:rsidDel="00000000" w:rsidR="00000000" w:rsidRPr="00000000">
        <w:rPr>
          <w:rtl w:val="0"/>
        </w:rPr>
        <w:t xml:space="preserve">Fabrina Camargo dos Santos</w:t>
      </w:r>
    </w:p>
    <w:p w:rsidR="00000000" w:rsidDel="00000000" w:rsidP="00000000" w:rsidRDefault="00000000" w:rsidRPr="00000000" w14:paraId="0000000A">
      <w:pPr>
        <w:ind w:firstLine="0"/>
        <w:rPr/>
      </w:pPr>
      <w:hyperlink r:id="rId8">
        <w:r w:rsidDel="00000000" w:rsidR="00000000" w:rsidRPr="00000000">
          <w:rPr>
            <w:color w:val="0000ff"/>
            <w:u w:val="single"/>
            <w:rtl w:val="0"/>
          </w:rPr>
          <w:t xml:space="preserve">https://www.linkedin.com/in/fabrina-camargo-385703302?utm_source=share&amp;utm_campaign=share_via&amp;utm_content=profile&amp;utm_medium=android_app</w:t>
        </w:r>
      </w:hyperlink>
      <w:r w:rsidDel="00000000" w:rsidR="00000000" w:rsidRPr="00000000">
        <w:rPr>
          <w:rtl w:val="0"/>
        </w:rPr>
      </w:r>
    </w:p>
    <w:p w:rsidR="00000000" w:rsidDel="00000000" w:rsidP="00000000" w:rsidRDefault="00000000" w:rsidRPr="00000000" w14:paraId="0000000B">
      <w:pPr>
        <w:ind w:firstLine="0"/>
        <w:rPr/>
      </w:pPr>
      <w:r w:rsidDel="00000000" w:rsidR="00000000" w:rsidRPr="00000000">
        <w:rPr>
          <w:rtl w:val="0"/>
        </w:rPr>
        <w:t xml:space="preserve">Felipe Pereira</w:t>
      </w:r>
    </w:p>
    <w:p w:rsidR="00000000" w:rsidDel="00000000" w:rsidP="00000000" w:rsidRDefault="00000000" w:rsidRPr="00000000" w14:paraId="0000000C">
      <w:pPr>
        <w:ind w:firstLine="0"/>
        <w:rPr>
          <w:color w:val="0000ff"/>
        </w:rPr>
      </w:pPr>
      <w:r w:rsidDel="00000000" w:rsidR="00000000" w:rsidRPr="00000000">
        <w:rPr>
          <w:color w:val="0000ff"/>
          <w:rtl w:val="0"/>
        </w:rPr>
        <w:t xml:space="preserve">https://www.linkedin.com/in/felipe-pereira-186536269/?trk=opento_sprofile_topcard</w:t>
      </w:r>
    </w:p>
    <w:p w:rsidR="00000000" w:rsidDel="00000000" w:rsidP="00000000" w:rsidRDefault="00000000" w:rsidRPr="00000000" w14:paraId="0000000D">
      <w:pPr>
        <w:ind w:firstLine="0"/>
        <w:rPr/>
      </w:pPr>
      <w:r w:rsidDel="00000000" w:rsidR="00000000" w:rsidRPr="00000000">
        <w:rPr>
          <w:rtl w:val="0"/>
        </w:rPr>
        <w:t xml:space="preserve">Lara Vitória de Almeida Fernandes</w:t>
      </w:r>
    </w:p>
    <w:p w:rsidR="00000000" w:rsidDel="00000000" w:rsidP="00000000" w:rsidRDefault="00000000" w:rsidRPr="00000000" w14:paraId="0000000E">
      <w:pPr>
        <w:ind w:firstLine="0"/>
        <w:rPr/>
      </w:pPr>
      <w:hyperlink r:id="rId9">
        <w:r w:rsidDel="00000000" w:rsidR="00000000" w:rsidRPr="00000000">
          <w:rPr>
            <w:color w:val="0000ff"/>
            <w:u w:val="single"/>
            <w:rtl w:val="0"/>
          </w:rPr>
          <w:t xml:space="preserve">https://www.linkedin.com/in/lara-vit%C3%B3ria-almeida-fernandes-83599b2a4?utm_source=share&amp;utm_campaign=share_via&amp;utm_content=profile&amp;utm_medium=android_app</w:t>
        </w:r>
      </w:hyperlink>
      <w:r w:rsidDel="00000000" w:rsidR="00000000" w:rsidRPr="00000000">
        <w:rPr>
          <w:rtl w:val="0"/>
        </w:rPr>
      </w:r>
    </w:p>
    <w:p w:rsidR="00000000" w:rsidDel="00000000" w:rsidP="00000000" w:rsidRDefault="00000000" w:rsidRPr="00000000" w14:paraId="0000000F">
      <w:pPr>
        <w:ind w:firstLine="0"/>
        <w:rPr/>
      </w:pPr>
      <w:r w:rsidDel="00000000" w:rsidR="00000000" w:rsidRPr="00000000">
        <w:rPr>
          <w:rtl w:val="0"/>
        </w:rPr>
        <w:t xml:space="preserve">Núbia Rosa Pereira</w:t>
      </w:r>
    </w:p>
    <w:p w:rsidR="00000000" w:rsidDel="00000000" w:rsidP="00000000" w:rsidRDefault="00000000" w:rsidRPr="00000000" w14:paraId="00000010">
      <w:pPr>
        <w:ind w:firstLine="0"/>
        <w:rPr>
          <w:color w:val="0000ff"/>
        </w:rPr>
      </w:pPr>
      <w:r w:rsidDel="00000000" w:rsidR="00000000" w:rsidRPr="00000000">
        <w:rPr>
          <w:color w:val="0000ff"/>
          <w:rtl w:val="0"/>
        </w:rPr>
        <w:t xml:space="preserve">https://www.linkedin.com/in/nubia-rosa-pereira-023667285?utm_source=share&amp;utm_campaign=share_via&amp;utm_content=profile&amp;utm_medium=android_</w:t>
      </w:r>
    </w:p>
    <w:p w:rsidR="00000000" w:rsidDel="00000000" w:rsidP="00000000" w:rsidRDefault="00000000" w:rsidRPr="00000000" w14:paraId="00000011">
      <w:pPr>
        <w:ind w:firstLine="0"/>
        <w:rPr>
          <w:color w:val="1e48fa"/>
        </w:rPr>
      </w:pPr>
      <w:r w:rsidDel="00000000" w:rsidR="00000000" w:rsidRPr="00000000">
        <w:rPr>
          <w:rtl w:val="0"/>
        </w:rPr>
      </w:r>
    </w:p>
    <w:p w:rsidR="00000000" w:rsidDel="00000000" w:rsidP="00000000" w:rsidRDefault="00000000" w:rsidRPr="00000000" w14:paraId="00000012">
      <w:pPr>
        <w:ind w:left="0" w:firstLine="284"/>
        <w:rPr/>
      </w:pPr>
      <w:r w:rsidDel="00000000" w:rsidR="00000000" w:rsidRPr="00000000">
        <w:rPr>
          <w:rtl w:val="0"/>
        </w:rPr>
        <w:t xml:space="preserve">Professor M2: Jean Carlos Lourenço Costa</w:t>
      </w:r>
    </w:p>
    <w:p w:rsidR="00000000" w:rsidDel="00000000" w:rsidP="00000000" w:rsidRDefault="00000000" w:rsidRPr="00000000" w14:paraId="00000013">
      <w:pPr>
        <w:ind w:left="0" w:firstLine="284"/>
        <w:rPr/>
      </w:pPr>
      <w:r w:rsidDel="00000000" w:rsidR="00000000" w:rsidRPr="00000000">
        <w:rPr>
          <w:rtl w:val="0"/>
        </w:rPr>
        <w:t xml:space="preserve">Professor P2: Marcus Vinícius do Nascimento</w:t>
      </w:r>
    </w:p>
    <w:p w:rsidR="00000000" w:rsidDel="00000000" w:rsidP="00000000" w:rsidRDefault="00000000" w:rsidRPr="00000000" w14:paraId="00000014">
      <w:pPr>
        <w:spacing w:line="360" w:lineRule="auto"/>
        <w:ind w:left="0" w:firstLine="0"/>
        <w:rPr/>
      </w:pPr>
      <w:r w:rsidDel="00000000" w:rsidR="00000000" w:rsidRPr="00000000">
        <w:rPr>
          <w:rtl w:val="0"/>
        </w:rPr>
      </w:r>
    </w:p>
    <w:p w:rsidR="00000000" w:rsidDel="00000000" w:rsidP="00000000" w:rsidRDefault="00000000" w:rsidRPr="00000000" w14:paraId="00000015">
      <w:pPr>
        <w:spacing w:line="360" w:lineRule="auto"/>
        <w:ind w:left="0" w:firstLine="0"/>
        <w:rPr/>
      </w:pPr>
      <w:r w:rsidDel="00000000" w:rsidR="00000000" w:rsidRPr="00000000">
        <w:rPr>
          <w:rtl w:val="0"/>
        </w:rPr>
        <w:t xml:space="preserve">     Resumo do projeto:</w:t>
      </w:r>
    </w:p>
    <w:p w:rsidR="00000000" w:rsidDel="00000000" w:rsidP="00000000" w:rsidRDefault="00000000" w:rsidRPr="00000000" w14:paraId="00000016">
      <w:pPr>
        <w:spacing w:after="160" w:before="0" w:line="360" w:lineRule="auto"/>
        <w:ind w:firstLine="0"/>
        <w:rPr>
          <w:sz w:val="21"/>
          <w:szCs w:val="21"/>
        </w:rPr>
      </w:pPr>
      <w:bookmarkStart w:colFirst="0" w:colLast="0" w:name="_9h99s1s5ejra" w:id="2"/>
      <w:bookmarkEnd w:id="2"/>
      <w:r w:rsidDel="00000000" w:rsidR="00000000" w:rsidRPr="00000000">
        <w:rPr>
          <w:sz w:val="21"/>
          <w:szCs w:val="21"/>
          <w:rtl w:val="0"/>
        </w:rPr>
        <w:t xml:space="preserve">O presente estudo tem como propósito analisar a segurança viária no Brasil no período de 2015 a 2024, destacando a evolução dos indicadores de sinistros de trânsito, mortes e lesões, bem como os impactos sociais, econômicos e institucionais associados a essas ocorrências. A segurança no tráfego brasileiro representa um dos maiores desafios de saúde pública e mobilidade urbana, visto que o país ainda apresenta elevados índices de vítimas no trânsito.</w:t>
      </w:r>
    </w:p>
    <w:p w:rsidR="00000000" w:rsidDel="00000000" w:rsidP="00000000" w:rsidRDefault="00000000" w:rsidRPr="00000000" w14:paraId="00000017">
      <w:pPr>
        <w:spacing w:after="160" w:before="0" w:line="360" w:lineRule="auto"/>
        <w:ind w:firstLine="0"/>
        <w:rPr>
          <w:sz w:val="21"/>
          <w:szCs w:val="21"/>
        </w:rPr>
      </w:pPr>
      <w:r w:rsidDel="00000000" w:rsidR="00000000" w:rsidRPr="00000000">
        <w:rPr>
          <w:sz w:val="21"/>
          <w:szCs w:val="21"/>
          <w:rtl w:val="0"/>
        </w:rPr>
        <w:t xml:space="preserve">Esses números refletem uma combinação de fatores, como infraestrutura rodoviária deficiente, comportamento inadequado dos condutores e pedestres, nível de fiscalização e eficácia das políticas públicas de prevenção e controle.</w:t>
      </w:r>
    </w:p>
    <w:p w:rsidR="00000000" w:rsidDel="00000000" w:rsidP="00000000" w:rsidRDefault="00000000" w:rsidRPr="00000000" w14:paraId="00000018">
      <w:pPr>
        <w:spacing w:after="160" w:before="0" w:line="360" w:lineRule="auto"/>
        <w:ind w:firstLine="0"/>
        <w:rPr>
          <w:sz w:val="21"/>
          <w:szCs w:val="21"/>
        </w:rPr>
      </w:pPr>
      <w:r w:rsidDel="00000000" w:rsidR="00000000" w:rsidRPr="00000000">
        <w:rPr>
          <w:sz w:val="21"/>
          <w:szCs w:val="21"/>
          <w:rtl w:val="0"/>
        </w:rPr>
        <w:t xml:space="preserve">Durante a última década, o Brasil passou por mudanças significativas na gestão da segurança viária, especialmente com a modernização do Código de Trânsito Brasileiro (CTB), a ampliação das campanhas educativas nacionais e o avanço tecnológico dos sistemas de fiscalização e monitoramento eletrônico.</w:t>
      </w:r>
    </w:p>
    <w:p w:rsidR="00000000" w:rsidDel="00000000" w:rsidP="00000000" w:rsidRDefault="00000000" w:rsidRPr="00000000" w14:paraId="00000019">
      <w:pPr>
        <w:spacing w:after="160" w:before="0" w:line="360" w:lineRule="auto"/>
        <w:ind w:firstLine="0"/>
        <w:rPr>
          <w:sz w:val="21"/>
          <w:szCs w:val="21"/>
        </w:rPr>
      </w:pPr>
      <w:r w:rsidDel="00000000" w:rsidR="00000000" w:rsidRPr="00000000">
        <w:rPr>
          <w:sz w:val="21"/>
          <w:szCs w:val="21"/>
          <w:rtl w:val="0"/>
        </w:rPr>
        <w:t xml:space="preserve">A atuação de órgãos federais foi essencial para a coleta e análise de informações que embasam este estudo. A Polícia Rodoviária Federal (PRF) contribuiu com dados sobre sinistros e ocorrências em rodovias federais, permitindo compreender padrões de gravidade e causas predominantes. O Departamento de Informática do Sistema Único de Saúde (DATASUS) forneceu informações sobre mortalidade e internações hospitalares decorrentes de acidentes de trânsito, possibilitando avaliar o impacto na saúde pública. Já a Secretaria Nacional de Trânsito (SENATRAN) e o Registro Nacional de Acidentes e Estatísticas de Trânsito (RENAEST) disponibilizaram bases estatísticas fundamentais sobre frota veicular, condutores e registros de sinistros em todo o território nacional.</w:t>
      </w:r>
    </w:p>
    <w:p w:rsidR="00000000" w:rsidDel="00000000" w:rsidP="00000000" w:rsidRDefault="00000000" w:rsidRPr="00000000" w14:paraId="0000001A">
      <w:pPr>
        <w:spacing w:after="160" w:before="0" w:line="360" w:lineRule="auto"/>
        <w:ind w:firstLine="0"/>
        <w:rPr>
          <w:sz w:val="21"/>
          <w:szCs w:val="21"/>
        </w:rPr>
      </w:pPr>
      <w:r w:rsidDel="00000000" w:rsidR="00000000" w:rsidRPr="00000000">
        <w:rPr>
          <w:sz w:val="21"/>
          <w:szCs w:val="21"/>
          <w:rtl w:val="0"/>
        </w:rPr>
        <w:t xml:space="preserve">O estudo busca compreender os principais fatores associados aos acidentes de trânsito, considerando o tipo de veículo envolvido, o perfil das vítimas, a distribuição geográfica das ocorrências e os períodos de maior incidência. Também propõe uma reflexão crítica sobre a efetividade das campanhas educativas e políticas públicas de segurança viária, avaliando seus resultados sobre o comportamento dos usuários e a preservação da vida.</w:t>
      </w:r>
    </w:p>
    <w:p w:rsidR="00000000" w:rsidDel="00000000" w:rsidP="00000000" w:rsidRDefault="00000000" w:rsidRPr="00000000" w14:paraId="0000001B">
      <w:pPr>
        <w:spacing w:after="160" w:before="0" w:line="360" w:lineRule="auto"/>
        <w:ind w:firstLine="0"/>
        <w:rPr>
          <w:sz w:val="21"/>
          <w:szCs w:val="21"/>
        </w:rPr>
      </w:pPr>
      <w:r w:rsidDel="00000000" w:rsidR="00000000" w:rsidRPr="00000000">
        <w:rPr>
          <w:sz w:val="21"/>
          <w:szCs w:val="21"/>
          <w:rtl w:val="0"/>
        </w:rPr>
        <w:t xml:space="preserve">O período analisado apresenta duas fases distintas: entre 2015 e 2019, observou-se redução gradual no número de mortes e lesões no trânsito, resultado de investimentos em fiscalização, aprimoramento das vias e intensificação das campanhas educativas. Entretanto, entre 2020 e 2024, houve reversão dessa tendência, com aumento expressivo dos sinistros e das fatalidades. Essa elevação está relacionada, entre outros fatores, aos impactos da pandemia de COVID-19, ao crescimento do uso de motocicletas como meio de trabalho e transporte e ao aumento da frota veicular em circulação.</w:t>
      </w:r>
    </w:p>
    <w:p w:rsidR="00000000" w:rsidDel="00000000" w:rsidP="00000000" w:rsidRDefault="00000000" w:rsidRPr="00000000" w14:paraId="0000001C">
      <w:pPr>
        <w:spacing w:after="160" w:before="0" w:line="360" w:lineRule="auto"/>
        <w:ind w:firstLine="0"/>
        <w:rPr>
          <w:sz w:val="21"/>
          <w:szCs w:val="21"/>
        </w:rPr>
      </w:pPr>
      <w:r w:rsidDel="00000000" w:rsidR="00000000" w:rsidRPr="00000000">
        <w:rPr>
          <w:sz w:val="21"/>
          <w:szCs w:val="21"/>
          <w:rtl w:val="0"/>
        </w:rPr>
        <w:t xml:space="preserve">Diante desse cenário, o presente relatório visa apresentar um panorama histórico e estatístico da segurança viária no Brasil, fundamentado em bases oficiais da PRF, DATASUS, SENATRAN e RENAEST, com o intuito de subsidiar políticas públicas mais eficazes e integradas, que priorizem uma mobilidade segura, sustentável e centrada na preservação da vida.</w:t>
      </w:r>
    </w:p>
    <w:p w:rsidR="00000000" w:rsidDel="00000000" w:rsidP="00000000" w:rsidRDefault="00000000" w:rsidRPr="00000000" w14:paraId="0000001D">
      <w:pPr>
        <w:spacing w:after="160" w:before="0" w:line="360" w:lineRule="auto"/>
        <w:ind w:firstLine="0"/>
        <w:rPr>
          <w:sz w:val="21"/>
          <w:szCs w:val="21"/>
        </w:rPr>
      </w:pPr>
      <w:r w:rsidDel="00000000" w:rsidR="00000000" w:rsidRPr="00000000">
        <w:rPr>
          <w:sz w:val="21"/>
          <w:szCs w:val="21"/>
          <w:rtl w:val="0"/>
        </w:rPr>
        <w:t xml:space="preserve">O objetivo final é contribuir para o aprimoramento das estratégias nacionais de redução das mortes e lesões no trânsito, em conformidade com os compromissos internacionais assumidos pelo Brasil no âmbito da segurança viária.</w:t>
      </w:r>
    </w:p>
    <w:p w:rsidR="00000000" w:rsidDel="00000000" w:rsidP="00000000" w:rsidRDefault="00000000" w:rsidRPr="00000000" w14:paraId="0000001E">
      <w:pPr>
        <w:spacing w:after="160" w:before="0" w:line="360" w:lineRule="auto"/>
        <w:ind w:firstLine="0"/>
        <w:rPr>
          <w:sz w:val="21"/>
          <w:szCs w:val="21"/>
        </w:rPr>
      </w:pPr>
      <w:r w:rsidDel="00000000" w:rsidR="00000000" w:rsidRPr="00000000">
        <w:rPr>
          <w:sz w:val="20"/>
          <w:szCs w:val="20"/>
          <w:rtl w:val="0"/>
        </w:rPr>
        <w:t xml:space="preserve">Palavras-chave: Segurança viária; sinistros de trânsito; mortalidade no trânsito; políticas públicas; fiscalização; campanhas educativas.</w:t>
      </w:r>
      <w:r w:rsidDel="00000000" w:rsidR="00000000" w:rsidRPr="00000000">
        <w:rPr>
          <w:rtl w:val="0"/>
        </w:rPr>
      </w:r>
    </w:p>
    <w:p w:rsidR="00000000" w:rsidDel="00000000" w:rsidP="00000000" w:rsidRDefault="00000000" w:rsidRPr="00000000" w14:paraId="0000001F">
      <w:pPr>
        <w:spacing w:line="360" w:lineRule="auto"/>
        <w:ind w:firstLine="0"/>
        <w:rPr/>
      </w:pPr>
      <w:r w:rsidDel="00000000" w:rsidR="00000000" w:rsidRPr="00000000">
        <w:rPr>
          <w:rtl w:val="0"/>
        </w:rPr>
        <w:t xml:space="preserve">Abstract:</w:t>
      </w:r>
    </w:p>
    <w:p w:rsidR="00000000" w:rsidDel="00000000" w:rsidP="00000000" w:rsidRDefault="00000000" w:rsidRPr="00000000" w14:paraId="00000020">
      <w:pPr>
        <w:spacing w:after="160" w:before="0" w:line="360" w:lineRule="auto"/>
        <w:ind w:firstLine="0"/>
        <w:rPr>
          <w:sz w:val="20"/>
          <w:szCs w:val="20"/>
        </w:rPr>
      </w:pPr>
      <w:r w:rsidDel="00000000" w:rsidR="00000000" w:rsidRPr="00000000">
        <w:rPr>
          <w:sz w:val="20"/>
          <w:szCs w:val="20"/>
          <w:rtl w:val="0"/>
        </w:rPr>
        <w:t xml:space="preserve">The present study aims to analyze road safety in Brazil during the period from 2015 to 2024, highlighting the evolution of traffic crash indicators, deaths, and injuries, as well as the social, economic, and institutional impacts associated with these occurrences.</w:t>
        <w:br w:type="textWrapping"/>
        <w:t xml:space="preserve">Traffic safety in Brazil represents one of the greatest challenges in public health and urban mobility, as the country still presents high rates of traffic-related victims.</w:t>
      </w:r>
    </w:p>
    <w:p w:rsidR="00000000" w:rsidDel="00000000" w:rsidP="00000000" w:rsidRDefault="00000000" w:rsidRPr="00000000" w14:paraId="00000021">
      <w:pPr>
        <w:spacing w:after="160" w:before="0" w:line="360" w:lineRule="auto"/>
        <w:ind w:firstLine="0"/>
        <w:rPr>
          <w:sz w:val="20"/>
          <w:szCs w:val="20"/>
        </w:rPr>
      </w:pPr>
      <w:r w:rsidDel="00000000" w:rsidR="00000000" w:rsidRPr="00000000">
        <w:rPr>
          <w:sz w:val="20"/>
          <w:szCs w:val="20"/>
          <w:rtl w:val="0"/>
        </w:rPr>
        <w:t xml:space="preserve">These numbers reflect a combination of factors, such as deficient road infrastructure, inappropriate behavior of drivers and pedestrians, the level of enforcement, and the effectiveness of public policies for prevention and control.</w:t>
      </w:r>
    </w:p>
    <w:p w:rsidR="00000000" w:rsidDel="00000000" w:rsidP="00000000" w:rsidRDefault="00000000" w:rsidRPr="00000000" w14:paraId="00000022">
      <w:pPr>
        <w:spacing w:after="160" w:before="0" w:line="360" w:lineRule="auto"/>
        <w:ind w:firstLine="0"/>
        <w:rPr>
          <w:sz w:val="20"/>
          <w:szCs w:val="20"/>
        </w:rPr>
      </w:pPr>
      <w:r w:rsidDel="00000000" w:rsidR="00000000" w:rsidRPr="00000000">
        <w:rPr>
          <w:sz w:val="20"/>
          <w:szCs w:val="20"/>
          <w:rtl w:val="0"/>
        </w:rPr>
        <w:t xml:space="preserve">Over the past decade, Brazil has undergone significant changes in road safety management, especially with the modernization of the Brazilian Traffic Code (CTB), the expansion of national educational campaigns, and the technological advancement of electronic monitoring and enforcement systems.</w:t>
      </w:r>
    </w:p>
    <w:p w:rsidR="00000000" w:rsidDel="00000000" w:rsidP="00000000" w:rsidRDefault="00000000" w:rsidRPr="00000000" w14:paraId="00000023">
      <w:pPr>
        <w:spacing w:after="160" w:before="0" w:line="360" w:lineRule="auto"/>
        <w:ind w:firstLine="0"/>
        <w:rPr>
          <w:sz w:val="20"/>
          <w:szCs w:val="20"/>
        </w:rPr>
      </w:pPr>
      <w:r w:rsidDel="00000000" w:rsidR="00000000" w:rsidRPr="00000000">
        <w:rPr>
          <w:sz w:val="20"/>
          <w:szCs w:val="20"/>
          <w:rtl w:val="0"/>
        </w:rPr>
        <w:t xml:space="preserve">The role of federal agencies was essential for the collection and analysis of the information that supports this study. The Federal Highway Police (PRF) contributed with data on crashes and occurrences on federal highways, allowing the identification of patterns of severity and predominant causes. The Department of Informatics of the Unified Health System (DATASUS) provided information on mortality and hospital admissions resulting from traffic accidents, making it possible to assess their impact on public health. The National Traffic Secretariat (SENATRAN) and the National Registry of Traffic Accidents and Statistics (RENAEST) provided fundamental statistical databases on vehicle fleet, drivers, and crash records throughout the national territory.</w:t>
      </w:r>
    </w:p>
    <w:p w:rsidR="00000000" w:rsidDel="00000000" w:rsidP="00000000" w:rsidRDefault="00000000" w:rsidRPr="00000000" w14:paraId="00000024">
      <w:pPr>
        <w:spacing w:after="160" w:before="0" w:line="360" w:lineRule="auto"/>
        <w:ind w:firstLine="0"/>
        <w:rPr>
          <w:sz w:val="20"/>
          <w:szCs w:val="20"/>
        </w:rPr>
      </w:pPr>
      <w:r w:rsidDel="00000000" w:rsidR="00000000" w:rsidRPr="00000000">
        <w:rPr>
          <w:sz w:val="20"/>
          <w:szCs w:val="20"/>
          <w:rtl w:val="0"/>
        </w:rPr>
        <w:t xml:space="preserve">The study seeks to understand the main factors associated with traffic accidents, considering the type of vehicle involved, the victims’ profiles, the geographical distribution of occurrences, and the periods of highest incidence. It also proposes a critical reflection on the effectiveness of educational campaigns and public road safety policies, evaluating their results on user behavior and life preservation.</w:t>
      </w:r>
    </w:p>
    <w:p w:rsidR="00000000" w:rsidDel="00000000" w:rsidP="00000000" w:rsidRDefault="00000000" w:rsidRPr="00000000" w14:paraId="00000025">
      <w:pPr>
        <w:spacing w:after="160" w:before="0" w:line="360" w:lineRule="auto"/>
        <w:ind w:firstLine="0"/>
        <w:rPr>
          <w:sz w:val="20"/>
          <w:szCs w:val="20"/>
        </w:rPr>
      </w:pPr>
      <w:r w:rsidDel="00000000" w:rsidR="00000000" w:rsidRPr="00000000">
        <w:rPr>
          <w:sz w:val="20"/>
          <w:szCs w:val="20"/>
          <w:rtl w:val="0"/>
        </w:rPr>
        <w:t xml:space="preserve">The analyzed period presents two distinct phases: between 2015 and 2019, a gradual reduction was observed in the number of deaths and injuries in traffic, resulting from investments in enforcement, road improvement, and the intensification of educational campaigns. However, between 2020 and 2024, this trend reversed, with a significant increase in crashes and fatalities. This rise is related, among other factors, to the impacts of the COVID-19 pandemic, the growth of motorcycle use as a means of work and transportation, and the increase in the vehicle fleet in circulation.</w:t>
      </w:r>
    </w:p>
    <w:p w:rsidR="00000000" w:rsidDel="00000000" w:rsidP="00000000" w:rsidRDefault="00000000" w:rsidRPr="00000000" w14:paraId="00000026">
      <w:pPr>
        <w:spacing w:line="360" w:lineRule="auto"/>
        <w:ind w:firstLine="0"/>
        <w:rPr>
          <w:sz w:val="20"/>
          <w:szCs w:val="20"/>
        </w:rPr>
      </w:pPr>
      <w:r w:rsidDel="00000000" w:rsidR="00000000" w:rsidRPr="00000000">
        <w:rPr>
          <w:sz w:val="20"/>
          <w:szCs w:val="20"/>
          <w:rtl w:val="0"/>
        </w:rPr>
        <w:t xml:space="preserve">Keywords: Road safety; traffic crashes; traffic mortality; public policies; enforcement; educational campaigns.</w:t>
      </w:r>
    </w:p>
    <w:p w:rsidR="00000000" w:rsidDel="00000000" w:rsidP="00000000" w:rsidRDefault="00000000" w:rsidRPr="00000000" w14:paraId="00000027">
      <w:pPr>
        <w:spacing w:after="160" w:before="0" w:line="278.00000000000006" w:lineRule="auto"/>
        <w:ind w:left="0" w:firstLine="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57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Contextualização do projeto</w:t>
      </w:r>
    </w:p>
    <w:p w:rsidR="00000000" w:rsidDel="00000000" w:rsidP="00000000" w:rsidRDefault="00000000" w:rsidRPr="00000000" w14:paraId="00000029">
      <w:pPr>
        <w:spacing w:after="160" w:before="0" w:lineRule="auto"/>
        <w:ind w:firstLine="286"/>
        <w:rPr/>
      </w:pPr>
      <w:r w:rsidDel="00000000" w:rsidR="00000000" w:rsidRPr="00000000">
        <w:rPr>
          <w:rtl w:val="0"/>
        </w:rPr>
        <w:t xml:space="preserve">    A segurança viária tem se consolidado como um dos eixos prioritários nas políticas públicas globais de saúde e mobilidade sustentável. A Organização Mundial da Saúde (OMS), por meio do </w:t>
      </w:r>
      <w:r w:rsidDel="00000000" w:rsidR="00000000" w:rsidRPr="00000000">
        <w:rPr>
          <w:i w:val="1"/>
          <w:iCs w:val="1"/>
          <w:rtl w:val="0"/>
        </w:rPr>
        <w:t xml:space="preserve">Global Status Report on Road Safety 2023</w:t>
      </w:r>
      <w:r w:rsidDel="00000000" w:rsidR="00000000" w:rsidRPr="00000000">
        <w:rPr>
          <w:rtl w:val="0"/>
        </w:rPr>
        <w:t xml:space="preserve">, destaca que os acidentes de trânsito representam uma das principais causas de morte entre jovens de 5 a 29 anos, configurando-se como uma epidemia silenciosa de grande impacto social e econômico.</w:t>
      </w:r>
    </w:p>
    <w:p w:rsidR="00000000" w:rsidDel="00000000" w:rsidP="00000000" w:rsidRDefault="00000000" w:rsidRPr="00000000" w14:paraId="0000002A">
      <w:pPr>
        <w:spacing w:after="160" w:before="0" w:lineRule="auto"/>
        <w:ind w:firstLine="286"/>
        <w:rPr/>
      </w:pPr>
      <w:r w:rsidDel="00000000" w:rsidR="00000000" w:rsidRPr="00000000">
        <w:rPr>
          <w:rtl w:val="0"/>
        </w:rPr>
        <w:t xml:space="preserve">   No contexto brasileiro, o tema assume especial relevância devido à extensão territorial, à diversidade dos modais de transporte e às desigualdades regionais de infraestrutura. Apesar de avanços obtidos entre 2015 e 2019, o Brasil ainda figura entre os países com maiores taxas de mortalidade no trânsito, superando em até 15 vezes os índices observados em nações como Noruega e Suécia.</w:t>
      </w:r>
    </w:p>
    <w:p w:rsidR="00000000" w:rsidDel="00000000" w:rsidP="00000000" w:rsidRDefault="00000000" w:rsidRPr="00000000" w14:paraId="0000002B">
      <w:pPr>
        <w:spacing w:after="160" w:before="0" w:lineRule="auto"/>
        <w:ind w:firstLine="286"/>
        <w:rPr/>
      </w:pPr>
      <w:r w:rsidDel="00000000" w:rsidR="00000000" w:rsidRPr="00000000">
        <w:rPr>
          <w:rtl w:val="0"/>
        </w:rPr>
        <w:t xml:space="preserve">   A consolidação de bancos de dados nacionais, como os da PRF, DATASUS, SENATRAN e RENAEST, tem sido fundamental para o monitoramento contínuo dos indicadores de sinistralidade e mortalidade. Esses sistemas oferecem subsídios técnicos para a formulação de políticas públicas, avaliação de resultados e identificação de fatores de risco emergentes, como o aumento do uso de motocicletas e o comportamento imprudente dos condutores.</w:t>
      </w:r>
    </w:p>
    <w:p w:rsidR="00000000" w:rsidDel="00000000" w:rsidP="00000000" w:rsidRDefault="00000000" w:rsidRPr="00000000" w14:paraId="0000002C">
      <w:pPr>
        <w:spacing w:after="160" w:before="0" w:lineRule="auto"/>
        <w:ind w:firstLine="286"/>
        <w:rPr/>
      </w:pPr>
      <w:r w:rsidDel="00000000" w:rsidR="00000000" w:rsidRPr="00000000">
        <w:rPr>
          <w:rtl w:val="0"/>
        </w:rPr>
        <w:t xml:space="preserve">   Dessa forma, a presente pesquisa se insere em um contexto de análise técnica e multidimensional da segurança viária brasileira, buscando integrar informações sobre comportamento humano, infraestrutura, legislação e gestão pública. O estudo pretende contribuir com a formulação de estratégias integradas, orientadas por evidências, para reduzir as mortes no trânsito e promover um sistema de mobilidade mais seguro e eficiente.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57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Objetivos do projeto</w:t>
      </w:r>
    </w:p>
    <w:p w:rsidR="00000000" w:rsidDel="00000000" w:rsidP="00000000" w:rsidRDefault="00000000" w:rsidRPr="00000000" w14:paraId="0000002E">
      <w:pPr>
        <w:spacing w:after="160" w:before="0" w:lineRule="auto"/>
        <w:ind w:firstLine="286"/>
        <w:rPr/>
      </w:pPr>
      <w:r w:rsidDel="00000000" w:rsidR="00000000" w:rsidRPr="00000000">
        <w:rPr>
          <w:rtl w:val="0"/>
        </w:rPr>
        <w:t xml:space="preserve">   A pesquisa foi desenvolvida com base na análise de dados secundários provenientes de fontes oficiais e públicas, a fim de garantir a fidedignidade, a consistência e a comparabilidade das informações utilizadas.</w:t>
      </w:r>
    </w:p>
    <w:p w:rsidR="00000000" w:rsidDel="00000000" w:rsidP="00000000" w:rsidRDefault="00000000" w:rsidRPr="00000000" w14:paraId="0000002F">
      <w:pPr>
        <w:spacing w:after="160" w:before="0" w:lineRule="auto"/>
        <w:ind w:firstLine="286"/>
        <w:rPr/>
      </w:pPr>
      <w:r w:rsidDel="00000000" w:rsidR="00000000" w:rsidRPr="00000000">
        <w:rPr>
          <w:rtl w:val="0"/>
        </w:rPr>
        <w:t xml:space="preserve">   Os dados referentes aos sinistros de trânsito, vítimas e tipos de veículos envolvidos foram obtidos nos bancos de dados da Polícia Rodoviária Federal (PRF), que mantém registros detalhados das ocorrências em rodovias federais. As informações da PRF possibilitam identificar padrões de gravidade, causas predominantes, horários críticos e perfis dos envolvidos.</w:t>
      </w:r>
    </w:p>
    <w:p w:rsidR="00000000" w:rsidDel="00000000" w:rsidP="00000000" w:rsidRDefault="00000000" w:rsidRPr="00000000" w14:paraId="00000030">
      <w:pPr>
        <w:spacing w:after="160" w:before="0" w:lineRule="auto"/>
        <w:ind w:firstLine="286"/>
        <w:rPr/>
      </w:pPr>
      <w:r w:rsidDel="00000000" w:rsidR="00000000" w:rsidRPr="00000000">
        <w:rPr>
          <w:rtl w:val="0"/>
        </w:rPr>
        <w:t xml:space="preserve">   As informações sobre mortalidade, lesões e internações hospitalares decorrentes de acidentes de trânsito foram extraídas do Departamento de Informática do Sistema Único de Saúde (DATASUS), que reúne dados hospitalares e de mortalidade de todo o território nacional. A integração desses dados permite avaliar os impactos sociais, econômicos e de saúde pública.</w:t>
      </w:r>
    </w:p>
    <w:p w:rsidR="00000000" w:rsidDel="00000000" w:rsidP="00000000" w:rsidRDefault="00000000" w:rsidRPr="00000000" w14:paraId="00000031">
      <w:pPr>
        <w:spacing w:after="160" w:before="0" w:lineRule="auto"/>
        <w:ind w:firstLine="286"/>
        <w:rPr/>
      </w:pPr>
      <w:r w:rsidDel="00000000" w:rsidR="00000000" w:rsidRPr="00000000">
        <w:rPr>
          <w:rtl w:val="0"/>
        </w:rPr>
        <w:t xml:space="preserve">   Complementarmente, foram consultadas as bases estatísticas da Secretaria Nacional de Trânsito (SENATRAN) e do Registro Nacional de Acidentes e Estatísticas de Trânsito (RENAEST), que fornecem informações consolidadas sobre frota veicular, condutores habilitados, registros de infrações e estatísticas agregadas de sinistros.</w:t>
      </w:r>
    </w:p>
    <w:p w:rsidR="00000000" w:rsidDel="00000000" w:rsidP="00000000" w:rsidRDefault="00000000" w:rsidRPr="00000000" w14:paraId="00000032">
      <w:pPr>
        <w:spacing w:after="160" w:before="0" w:lineRule="auto"/>
        <w:ind w:firstLine="286"/>
        <w:rPr/>
      </w:pPr>
      <w:r w:rsidDel="00000000" w:rsidR="00000000" w:rsidRPr="00000000">
        <w:rPr>
          <w:rtl w:val="0"/>
        </w:rPr>
        <w:t xml:space="preserve">   O recorte temporal — de 2015 a 2024 — foi definido por representar um período de transição e reestruturação nas políticas públicas de segurança viária, marcado por mudanças legislativas e tecnológicas.</w:t>
      </w:r>
    </w:p>
    <w:p w:rsidR="00000000" w:rsidDel="00000000" w:rsidP="00000000" w:rsidRDefault="00000000" w:rsidRPr="00000000" w14:paraId="00000033">
      <w:pPr>
        <w:spacing w:after="160" w:before="0" w:lineRule="auto"/>
        <w:ind w:firstLine="286"/>
        <w:rPr/>
      </w:pPr>
      <w:r w:rsidDel="00000000" w:rsidR="00000000" w:rsidRPr="00000000">
        <w:rPr>
          <w:rtl w:val="0"/>
        </w:rPr>
        <w:t xml:space="preserve">   Os dados foram organizados em séries históricas, análises comparativas e indicadores de desempenho, permitindo a identificação de tendências, vulnerabilidades e padrões regionais. A abordagem foi quantitativa e interpretativa, buscando correlacionar fatores humanos, estruturais e institucionais que influenciam os índices de acidentes e mortalidade no trânsito.</w:t>
      </w:r>
    </w:p>
    <w:p w:rsidR="00000000" w:rsidDel="00000000" w:rsidP="00000000" w:rsidRDefault="00000000" w:rsidRPr="00000000" w14:paraId="00000034">
      <w:pPr>
        <w:pStyle w:val="Heading1"/>
        <w:numPr>
          <w:ilvl w:val="0"/>
          <w:numId w:val="1"/>
        </w:numPr>
        <w:ind w:left="570" w:hanging="360"/>
        <w:rPr/>
      </w:pPr>
      <w:r w:rsidDel="00000000" w:rsidR="00000000" w:rsidRPr="00000000">
        <w:rPr>
          <w:rtl w:val="0"/>
        </w:rPr>
        <w:t xml:space="preserve">Fundamentação dos métodos analíticos e das tecnologias utilizadas</w:t>
      </w:r>
    </w:p>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4" w:right="0" w:firstLine="567"/>
        <w:jc w:val="both"/>
        <w:rPr>
          <w:rFonts w:ascii="Calibri" w:cs="Calibri" w:eastAsia="Calibri" w:hAnsi="Calibri"/>
          <w:b w:val="1"/>
          <w:bCs w:val="1"/>
          <w:i w:val="0"/>
          <w:iCs w:val="0"/>
          <w:smallCaps w:val="0"/>
          <w:strike w:val="0"/>
          <w:color w:val="000000"/>
          <w:sz w:val="20"/>
          <w:szCs w:val="20"/>
          <w:u w:val="none"/>
          <w:shd w:fill="auto" w:val="clear"/>
          <w:vertAlign w:val="baseline"/>
        </w:rPr>
      </w:pPr>
      <w:bookmarkStart w:colFirst="0" w:colLast="0" w:name="_rawyilwffzd5" w:id="3"/>
      <w:bookmarkEnd w:id="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Tabela 1 – Tabela de referências</w:t>
      </w:r>
    </w:p>
    <w:tbl>
      <w:tblPr>
        <w:tblStyle w:val="Table1"/>
        <w:tblW w:w="9072.0" w:type="dxa"/>
        <w:jc w:val="left"/>
        <w:tblLayout w:type="fixed"/>
        <w:tblLook w:val="0400"/>
      </w:tblPr>
      <w:tblGrid>
        <w:gridCol w:w="2094"/>
        <w:gridCol w:w="1909"/>
        <w:gridCol w:w="1555"/>
        <w:gridCol w:w="3514"/>
        <w:tblGridChange w:id="0">
          <w:tblGrid>
            <w:gridCol w:w="2094"/>
            <w:gridCol w:w="1909"/>
            <w:gridCol w:w="1555"/>
            <w:gridCol w:w="3514"/>
          </w:tblGrid>
        </w:tblGridChange>
      </w:tblGrid>
      <w:tr>
        <w:trPr>
          <w:cantSplit w:val="0"/>
          <w:trHeight w:val="320" w:hRule="atLeast"/>
          <w:tblHeader w:val="0"/>
        </w:trPr>
        <w:tc>
          <w:tcPr>
            <w:tcBorders>
              <w:top w:color="000000" w:space="0" w:sz="0" w:val="nil"/>
              <w:left w:color="000000" w:space="0" w:sz="0" w:val="nil"/>
              <w:bottom w:color="000000" w:space="0" w:sz="8" w:val="single"/>
              <w:right w:color="000000" w:space="0" w:sz="0" w:val="nil"/>
            </w:tcBorders>
            <w:shd w:fill="d9d9d9" w:val="clear"/>
            <w:vAlign w:val="center"/>
          </w:tcPr>
          <w:p w:rsidR="00000000" w:rsidDel="00000000" w:rsidP="00000000" w:rsidRDefault="00000000" w:rsidRPr="00000000" w14:paraId="00000036">
            <w:pPr>
              <w:spacing w:after="0" w:before="0"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Autor(es)</w:t>
            </w:r>
          </w:p>
        </w:tc>
        <w:tc>
          <w:tcPr>
            <w:tcBorders>
              <w:top w:color="000000" w:space="0" w:sz="0" w:val="nil"/>
              <w:left w:color="000000" w:space="0" w:sz="0" w:val="nil"/>
              <w:bottom w:color="000000" w:space="0" w:sz="8" w:val="single"/>
              <w:right w:color="000000" w:space="0" w:sz="0" w:val="nil"/>
            </w:tcBorders>
            <w:shd w:fill="d9d9d9" w:val="clear"/>
            <w:vAlign w:val="center"/>
          </w:tcPr>
          <w:p w:rsidR="00000000" w:rsidDel="00000000" w:rsidP="00000000" w:rsidRDefault="00000000" w:rsidRPr="00000000" w14:paraId="00000037">
            <w:pPr>
              <w:spacing w:after="0" w:before="0"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Métodos de análise</w:t>
            </w:r>
          </w:p>
        </w:tc>
        <w:tc>
          <w:tcPr>
            <w:tcBorders>
              <w:top w:color="000000" w:space="0" w:sz="0" w:val="nil"/>
              <w:left w:color="000000" w:space="0" w:sz="0" w:val="nil"/>
              <w:bottom w:color="000000" w:space="0" w:sz="8" w:val="single"/>
              <w:right w:color="000000" w:space="0" w:sz="0" w:val="nil"/>
            </w:tcBorders>
            <w:shd w:fill="d9d9d9" w:val="clear"/>
            <w:vAlign w:val="center"/>
          </w:tcPr>
          <w:p w:rsidR="00000000" w:rsidDel="00000000" w:rsidP="00000000" w:rsidRDefault="00000000" w:rsidRPr="00000000" w14:paraId="00000038">
            <w:pPr>
              <w:spacing w:after="0" w:before="0"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Dados utilizados</w:t>
            </w:r>
          </w:p>
        </w:tc>
        <w:tc>
          <w:tcPr>
            <w:tcBorders>
              <w:top w:color="000000" w:space="0" w:sz="0" w:val="nil"/>
              <w:left w:color="000000" w:space="0" w:sz="0" w:val="nil"/>
              <w:bottom w:color="000000" w:space="0" w:sz="8" w:val="single"/>
              <w:right w:color="000000" w:space="0" w:sz="0" w:val="nil"/>
            </w:tcBorders>
            <w:shd w:fill="d9d9d9" w:val="clear"/>
            <w:vAlign w:val="center"/>
          </w:tcPr>
          <w:p w:rsidR="00000000" w:rsidDel="00000000" w:rsidP="00000000" w:rsidRDefault="00000000" w:rsidRPr="00000000" w14:paraId="00000039">
            <w:pPr>
              <w:spacing w:after="0" w:before="0"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Principais conclusões</w:t>
            </w:r>
          </w:p>
        </w:tc>
      </w:tr>
      <w:tr>
        <w:trPr>
          <w:cantSplit w:val="0"/>
          <w:trHeight w:val="2520" w:hRule="atLeast"/>
          <w:tblHeader w:val="0"/>
        </w:trPr>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03A">
            <w:pPr>
              <w:spacing w:after="0" w:before="0"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Polícia Rodoviária Federal (PRF) (2015–2024)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03B">
            <w:pPr>
              <w:spacing w:after="0" w:before="0"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Análise estatística descritiva e séries históricas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03C">
            <w:pPr>
              <w:spacing w:after="0" w:before="0"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Dados de sinistros e ocorrências em rodovias federais brasileiras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03D">
            <w:pPr>
              <w:spacing w:after="0" w:before="0" w:lineRule="auto"/>
              <w:ind w:lef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 Houve redução gradual dos acidentes e mortes entre 2015 e 2019, seguida de aumento entre 2020 e 2024.</w:t>
              <w:br w:type="textWrapping"/>
              <w:t xml:space="preserve">- Crescimento de 15% nos sinistros e 16% nas fatalidades após a pandemia.</w:t>
              <w:br w:type="textWrapping"/>
              <w:t xml:space="preserve">- As rodovias BR-101, BR-116 e BR-381 concentram os maiores índices de acidentes.</w:t>
              <w:br w:type="textWrapping"/>
              <w:t xml:space="preserve">- Motocicletas são responsáveis por mais de 36% dos acidentes fatais.</w:t>
            </w:r>
            <w:r w:rsidDel="00000000" w:rsidR="00000000" w:rsidRPr="00000000">
              <w:rPr>
                <w:rtl w:val="0"/>
              </w:rPr>
            </w:r>
          </w:p>
        </w:tc>
      </w:tr>
      <w:tr>
        <w:trPr>
          <w:cantSplit w:val="0"/>
          <w:trHeight w:val="2520" w:hRule="atLeast"/>
          <w:tblHeader w:val="0"/>
        </w:trPr>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03E">
            <w:pPr>
              <w:spacing w:after="0" w:before="0"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Análise Integrada – PRF, DATASUS, SENATRAN e RENAEST (2015–2024)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03F">
            <w:pPr>
              <w:spacing w:after="0" w:before="0"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Análise estatística descritiva e comparativa; indicadores de desempenho; correlação multivariada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040">
            <w:pPr>
              <w:spacing w:after="0" w:before="0"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Integração de dados nacionais de sinistros, mortalidade, frota e perfis das vítimas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041">
            <w:pPr>
              <w:spacing w:after="0" w:before="0" w:lineRule="auto"/>
              <w:ind w:lef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 Entre 2015 e 2019 houve queda consistente das mortes, revertida a partir de 2020.</w:t>
              <w:br w:type="textWrapping"/>
              <w:t xml:space="preserve">- O uso de motocicletas e o crescimento dos serviços de entrega aumentaram a exposição ao risco.</w:t>
              <w:br w:type="textWrapping"/>
              <w:t xml:space="preserve">- Custos socioeconômicos anuais ultrapassam R$ 55 bilhões, com projeção de R$ 650 bilhões até 2027.</w:t>
              <w:br w:type="textWrapping"/>
              <w:t xml:space="preserve">- Políticas isoladas não são sustentáveis: é necessária integração entre órgãos, uso de tecnologia e foco na educação viária.</w:t>
              <w:br w:type="textWrapping"/>
              <w:t xml:space="preserve">- O objetivo é atingir a meta da OMS de reduzir para 6 mortes por 100 mil habitantes até 2030.</w:t>
            </w:r>
            <w:r w:rsidDel="00000000" w:rsidR="00000000" w:rsidRPr="00000000">
              <w:rPr>
                <w:rtl w:val="0"/>
              </w:rPr>
            </w:r>
          </w:p>
        </w:tc>
      </w:tr>
      <w:tr>
        <w:trPr>
          <w:cantSplit w:val="0"/>
          <w:trHeight w:val="1960" w:hRule="atLeast"/>
          <w:tblHeader w:val="0"/>
        </w:trPr>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042">
            <w:pPr>
              <w:spacing w:after="0" w:before="0"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Secretaria Nacional de Trânsito – SENATRAN (2024)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043">
            <w:pPr>
              <w:spacing w:after="0" w:before="0"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Análise comparativa de indicadores e políticas públicas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044">
            <w:pPr>
              <w:spacing w:after="0" w:before="0"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Bases estatísticas de condutores, frota veicular e campanhas educativas nacionais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9d9d9" w:val="clear"/>
            <w:vAlign w:val="center"/>
          </w:tcPr>
          <w:p w:rsidR="00000000" w:rsidDel="00000000" w:rsidP="00000000" w:rsidRDefault="00000000" w:rsidRPr="00000000" w14:paraId="00000045">
            <w:pPr>
              <w:spacing w:after="0" w:before="0" w:lineRule="auto"/>
              <w:ind w:lef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 Entre 2015 e 2024, a frota nacional cresceu 28%, atingindo 120 milhões de veículos.</w:t>
              <w:br w:type="textWrapping"/>
              <w:t xml:space="preserve">- As motocicletas representaram 48% do crescimento total da frota.</w:t>
              <w:br w:type="textWrapping"/>
              <w:t xml:space="preserve">- Regiões Norte e Nordeste registraram as maiores taxas proporcionais de mortalidade.</w:t>
              <w:br w:type="textWrapping"/>
              <w:t xml:space="preserve">- As campanhas educativas e a modernização do CTB contribuíram para a redução de mortes até 2019.</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numPr>
          <w:ilvl w:val="1"/>
          <w:numId w:val="1"/>
        </w:numPr>
        <w:ind w:left="757" w:hanging="360"/>
        <w:rPr/>
      </w:pPr>
      <w:r w:rsidDel="00000000" w:rsidR="00000000" w:rsidRPr="00000000">
        <w:rPr>
          <w:rtl w:val="0"/>
        </w:rPr>
        <w:t xml:space="preserve">Tecnologias da Informação</w:t>
      </w:r>
    </w:p>
    <w:p w:rsidR="00000000" w:rsidDel="00000000" w:rsidP="00000000" w:rsidRDefault="00000000" w:rsidRPr="00000000" w14:paraId="00000048">
      <w:pPr>
        <w:spacing w:after="160" w:before="0" w:line="278.00000000000006" w:lineRule="auto"/>
        <w:ind w:firstLine="436"/>
        <w:rPr/>
      </w:pPr>
      <w:r w:rsidDel="00000000" w:rsidR="00000000" w:rsidRPr="00000000">
        <w:rPr>
          <w:rtl w:val="0"/>
        </w:rPr>
        <w:t xml:space="preserve">No projeto sobre segurança viária foram utilizadas diversas tecnologias da informação para apoiar a coleta, análise e apresentação dos dados.</w:t>
      </w:r>
    </w:p>
    <w:p w:rsidR="00000000" w:rsidDel="00000000" w:rsidP="00000000" w:rsidRDefault="00000000" w:rsidRPr="00000000" w14:paraId="00000049">
      <w:pPr>
        <w:spacing w:after="160" w:before="0" w:lineRule="auto"/>
        <w:ind w:firstLine="436"/>
        <w:rPr/>
      </w:pPr>
      <w:r w:rsidDel="00000000" w:rsidR="00000000" w:rsidRPr="00000000">
        <w:rPr>
          <w:rtl w:val="0"/>
        </w:rPr>
        <w:t xml:space="preserve">   O Google Drive foi usado para armazenar e compartilhar arquivos entre os integrantes do grupo, facilitando o trabalho em equipe.</w:t>
      </w:r>
    </w:p>
    <w:p w:rsidR="00000000" w:rsidDel="00000000" w:rsidP="00000000" w:rsidRDefault="00000000" w:rsidRPr="00000000" w14:paraId="0000004A">
      <w:pPr>
        <w:spacing w:after="160" w:before="0" w:lineRule="auto"/>
        <w:ind w:firstLine="436"/>
        <w:rPr/>
      </w:pPr>
      <w:r w:rsidDel="00000000" w:rsidR="00000000" w:rsidRPr="00000000">
        <w:rPr>
          <w:rtl w:val="0"/>
        </w:rPr>
        <w:t xml:space="preserve">   O Canva ajudou na criação dos materiais visuais e na elaboração dos slides de apresentação, deixando o conteúdo mais claro e atrativo.</w:t>
      </w:r>
    </w:p>
    <w:p w:rsidR="00000000" w:rsidDel="00000000" w:rsidP="00000000" w:rsidRDefault="00000000" w:rsidRPr="00000000" w14:paraId="0000004B">
      <w:pPr>
        <w:spacing w:after="160" w:before="0" w:lineRule="auto"/>
        <w:ind w:firstLine="436"/>
        <w:rPr/>
      </w:pPr>
      <w:r w:rsidDel="00000000" w:rsidR="00000000" w:rsidRPr="00000000">
        <w:rPr>
          <w:rtl w:val="0"/>
        </w:rPr>
        <w:t xml:space="preserve">   O Power BI foi usado para montar painéis e gráficos interativos que mostraram de forma visual os dados sobre os acidentes e indicadores viários.</w:t>
      </w:r>
    </w:p>
    <w:p w:rsidR="00000000" w:rsidDel="00000000" w:rsidP="00000000" w:rsidRDefault="00000000" w:rsidRPr="00000000" w14:paraId="0000004C">
      <w:pPr>
        <w:spacing w:after="280" w:before="280" w:lineRule="auto"/>
        <w:ind w:firstLine="436"/>
        <w:rPr>
          <w:rFonts w:ascii="Calibri" w:cs="Calibri" w:eastAsia="Calibri" w:hAnsi="Calibri"/>
        </w:rPr>
      </w:pPr>
      <w:r w:rsidDel="00000000" w:rsidR="00000000" w:rsidRPr="00000000">
        <w:rPr>
          <w:rFonts w:ascii="Calibri" w:cs="Calibri" w:eastAsia="Calibri" w:hAnsi="Calibri"/>
          <w:rtl w:val="0"/>
        </w:rPr>
        <w:t xml:space="preserve">   O Google Colab foi utilizado para tratar e organizar os dados obtidos das fontes oficiais, permitindo a execução de análises em ambiente online e colaborativo. A plataforma facilitou o compartilhamento do código e dos resultados entre os integrantes da equipe, tornando o processo mais dinâmico e acessível.</w:t>
      </w:r>
    </w:p>
    <w:p w:rsidR="00000000" w:rsidDel="00000000" w:rsidP="00000000" w:rsidRDefault="00000000" w:rsidRPr="00000000" w14:paraId="0000004D">
      <w:pPr>
        <w:spacing w:after="280" w:before="280" w:lineRule="auto"/>
        <w:ind w:firstLine="436"/>
        <w:rPr>
          <w:rFonts w:ascii="Calibri" w:cs="Calibri" w:eastAsia="Calibri" w:hAnsi="Calibri"/>
        </w:rPr>
      </w:pPr>
      <w:r w:rsidDel="00000000" w:rsidR="00000000" w:rsidRPr="00000000">
        <w:rPr>
          <w:rFonts w:ascii="Calibri" w:cs="Calibri" w:eastAsia="Calibri" w:hAnsi="Calibri"/>
          <w:rtl w:val="0"/>
        </w:rPr>
        <w:t xml:space="preserve">   O Python foi a principal linguagem empregada nas etapas de análise e visualização dos dados. As bibliotecas Pandas e Matplotlib foram essenciais para a manipulação das bases, a geração de gráficos e a construção das séries históricas. Embora tenham ocorrido algumas dificuldades iniciais com a programação, essas ferramentas foram fundamentais para garantir precisão e qualidade às análises realizadas.</w:t>
      </w:r>
    </w:p>
    <w:p w:rsidR="00000000" w:rsidDel="00000000" w:rsidP="00000000" w:rsidRDefault="00000000" w:rsidRPr="00000000" w14:paraId="0000004E">
      <w:pPr>
        <w:spacing w:after="160" w:before="0" w:lineRule="auto"/>
        <w:ind w:firstLine="436"/>
        <w:rPr/>
      </w:pPr>
      <w:r w:rsidDel="00000000" w:rsidR="00000000" w:rsidRPr="00000000">
        <w:rPr>
          <w:rtl w:val="0"/>
        </w:rPr>
        <w:t xml:space="preserve">   O Microsoft Office (Word e Excel) foi utilizado para escrever o relatório e organizar planilhas com informações do projeto.</w:t>
      </w:r>
    </w:p>
    <w:p w:rsidR="00000000" w:rsidDel="00000000" w:rsidP="00000000" w:rsidRDefault="00000000" w:rsidRPr="00000000" w14:paraId="0000004F">
      <w:pPr>
        <w:spacing w:after="160" w:before="0" w:lineRule="auto"/>
        <w:ind w:firstLine="436"/>
        <w:rPr/>
      </w:pPr>
      <w:r w:rsidDel="00000000" w:rsidR="00000000" w:rsidRPr="00000000">
        <w:rPr>
          <w:rtl w:val="0"/>
        </w:rPr>
        <w:t xml:space="preserve">   O GitHub serviu para guardar versões dos arquivos e acompanhar as atualizações feitas pela equipe.</w:t>
      </w:r>
    </w:p>
    <w:p w:rsidR="00000000" w:rsidDel="00000000" w:rsidP="00000000" w:rsidRDefault="00000000" w:rsidRPr="00000000" w14:paraId="00000050">
      <w:pPr>
        <w:spacing w:after="160" w:before="0" w:lineRule="auto"/>
        <w:ind w:firstLine="436"/>
        <w:rPr>
          <w:color w:val="ff0000"/>
        </w:rPr>
      </w:pPr>
      <w:r w:rsidDel="00000000" w:rsidR="00000000" w:rsidRPr="00000000">
        <w:rPr>
          <w:rtl w:val="0"/>
        </w:rPr>
        <w:t xml:space="preserve">WhatsApp foi utilizado para garantir comunicação rápida e prática entre os membros do grupo, facilitando o compartilhamento de informações e a organização das atividades.</w:t>
      </w:r>
      <w:r w:rsidDel="00000000" w:rsidR="00000000" w:rsidRPr="00000000">
        <w:rPr>
          <w:rtl w:val="0"/>
        </w:rPr>
      </w:r>
    </w:p>
    <w:p w:rsidR="00000000" w:rsidDel="00000000" w:rsidP="00000000" w:rsidRDefault="00000000" w:rsidRPr="00000000" w14:paraId="00000051">
      <w:pPr>
        <w:spacing w:after="160" w:before="0" w:lineRule="auto"/>
        <w:ind w:firstLine="436"/>
        <w:rPr/>
      </w:pPr>
      <w:r w:rsidDel="00000000" w:rsidR="00000000" w:rsidRPr="00000000">
        <w:rPr>
          <w:rtl w:val="0"/>
        </w:rPr>
        <w:t xml:space="preserve">   Essas tecnologias ajudaram a manter o projeto organizado, colaborativo e com melhor qualidade nas análises e apresentações dos resultados.</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pStyle w:val="Heading1"/>
        <w:numPr>
          <w:ilvl w:val="0"/>
          <w:numId w:val="1"/>
        </w:numPr>
        <w:ind w:left="570" w:hanging="360"/>
        <w:rPr/>
      </w:pPr>
      <w:bookmarkStart w:colFirst="0" w:colLast="0" w:name="_rmp4v5iqk8pz" w:id="4"/>
      <w:bookmarkEnd w:id="4"/>
      <w:r w:rsidDel="00000000" w:rsidR="00000000" w:rsidRPr="00000000">
        <w:rPr>
          <w:rtl w:val="0"/>
        </w:rPr>
        <w:t xml:space="preserve">Coleta e descrição dos dados utilizados</w:t>
      </w:r>
    </w:p>
    <w:p w:rsidR="00000000" w:rsidDel="00000000" w:rsidP="00000000" w:rsidRDefault="00000000" w:rsidRPr="00000000" w14:paraId="00000054">
      <w:pPr>
        <w:rPr>
          <w:sz w:val="18"/>
          <w:szCs w:val="18"/>
        </w:rPr>
      </w:pPr>
      <w:r w:rsidDel="00000000" w:rsidR="00000000" w:rsidRPr="00000000">
        <w:rPr>
          <w:rtl w:val="0"/>
        </w:rPr>
      </w:r>
    </w:p>
    <w:p w:rsidR="00000000" w:rsidDel="00000000" w:rsidP="00000000" w:rsidRDefault="00000000" w:rsidRPr="00000000" w14:paraId="00000055">
      <w:pPr>
        <w:spacing w:after="0" w:before="0" w:lineRule="auto"/>
        <w:ind w:left="0" w:firstLine="0"/>
        <w:rPr>
          <w:rFonts w:ascii="Calibri" w:cs="Calibri" w:eastAsia="Calibri" w:hAnsi="Calibri"/>
          <w:b w:val="1"/>
          <w:bCs w:val="1"/>
          <w:sz w:val="20"/>
          <w:szCs w:val="20"/>
        </w:rPr>
      </w:pPr>
      <w:r w:rsidDel="00000000" w:rsidR="00000000" w:rsidRPr="00000000">
        <w:rPr>
          <w:rFonts w:ascii="Aptos" w:cs="Aptos" w:eastAsia="Aptos" w:hAnsi="Aptos"/>
          <w:b w:val="1"/>
          <w:bCs w:val="1"/>
          <w:rtl w:val="0"/>
        </w:rPr>
        <w:t xml:space="preserve">           </w:t>
      </w:r>
      <w:r w:rsidDel="00000000" w:rsidR="00000000" w:rsidRPr="00000000">
        <w:rPr>
          <w:rFonts w:ascii="Calibri" w:cs="Calibri" w:eastAsia="Calibri" w:hAnsi="Calibri"/>
          <w:b w:val="1"/>
          <w:bCs w:val="1"/>
          <w:sz w:val="20"/>
          <w:szCs w:val="20"/>
          <w:rtl w:val="0"/>
        </w:rPr>
        <w:t xml:space="preserve">Evolução Geral dos Sinistros e Mortalidade (2015–2024)</w:t>
      </w:r>
    </w:p>
    <w:tbl>
      <w:tblPr>
        <w:tblStyle w:val="Table2"/>
        <w:tblpPr w:leftFromText="141" w:rightFromText="141" w:topFromText="0" w:bottomFromText="0" w:vertAnchor="text" w:horzAnchor="text" w:tblpX="0" w:tblpY="79"/>
        <w:tblW w:w="5280.0" w:type="dxa"/>
        <w:jc w:val="left"/>
        <w:tblLayout w:type="fixed"/>
        <w:tblLook w:val="0400"/>
      </w:tblPr>
      <w:tblGrid>
        <w:gridCol w:w="1398"/>
        <w:gridCol w:w="2098"/>
        <w:gridCol w:w="1784"/>
        <w:tblGridChange w:id="0">
          <w:tblGrid>
            <w:gridCol w:w="1398"/>
            <w:gridCol w:w="2098"/>
            <w:gridCol w:w="1784"/>
          </w:tblGrid>
        </w:tblGridChange>
      </w:tblGrid>
      <w:tr>
        <w:trPr>
          <w:cantSplit w:val="0"/>
          <w:trHeight w:val="29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6">
            <w:pPr>
              <w:spacing w:after="0" w:before="0" w:lineRule="auto"/>
              <w:ind w:left="0" w:firstLine="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Ano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57">
            <w:pPr>
              <w:spacing w:after="0" w:before="0" w:lineRule="auto"/>
              <w:ind w:left="0" w:firstLine="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Sinistros registrados</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58">
            <w:pPr>
              <w:spacing w:after="0" w:before="0" w:lineRule="auto"/>
              <w:ind w:left="0" w:firstLine="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Mortes no trânsito</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A">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162.102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B">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7.680</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158.701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E">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7.412</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0">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153.246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6.834</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164.474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4">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5.864</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167.398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7">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5.332</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9">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63.585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A">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5.292</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64.567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D">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5.397</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F">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64.606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5.441</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67.766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3">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5.627</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73.156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6">
            <w:pPr>
              <w:spacing w:after="0" w:before="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6.160</w:t>
            </w:r>
          </w:p>
        </w:tc>
      </w:tr>
      <w:tr>
        <w:trPr>
          <w:cantSplit w:val="0"/>
          <w:trHeight w:val="6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7">
            <w:pPr>
              <w:spacing w:after="0" w:before="0" w:lineRule="auto"/>
              <w:ind w:left="0" w:firstLine="0"/>
              <w:jc w:val="center"/>
              <w:rPr>
                <w:rFonts w:ascii="Aptos" w:cs="Aptos" w:eastAsia="Aptos" w:hAnsi="Aptos"/>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8">
            <w:pPr>
              <w:spacing w:after="0" w:before="0" w:lineRule="auto"/>
              <w:ind w:lef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9">
            <w:pPr>
              <w:spacing w:after="0" w:before="0" w:lineRule="auto"/>
              <w:ind w:left="0" w:firstLine="0"/>
              <w:jc w:val="lef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7A">
      <w:pPr>
        <w:spacing w:line="360" w:lineRule="auto"/>
        <w:ind w:left="0" w:firstLine="0"/>
        <w:rPr/>
      </w:pPr>
      <w:bookmarkStart w:colFirst="0" w:colLast="0" w:name="_cjp0dqhew1w7" w:id="5"/>
      <w:bookmarkEnd w:id="5"/>
      <w:r w:rsidDel="00000000" w:rsidR="00000000" w:rsidRPr="00000000">
        <w:rPr>
          <w:rtl w:val="0"/>
        </w:rPr>
        <w:tab/>
        <w:tab/>
        <w:tab/>
        <w:tab/>
        <w:tab/>
        <w:tab/>
        <w:tab/>
        <w:tab/>
        <w:tab/>
        <w:tab/>
        <w:tab/>
        <w:tab/>
      </w:r>
    </w:p>
    <w:p w:rsidR="00000000" w:rsidDel="00000000" w:rsidP="00000000" w:rsidRDefault="00000000" w:rsidRPr="00000000" w14:paraId="0000007B">
      <w:pPr>
        <w:spacing w:line="360" w:lineRule="auto"/>
        <w:ind w:firstLine="0"/>
        <w:rPr>
          <w:b w:val="1"/>
          <w:bCs w:val="1"/>
        </w:rPr>
      </w:pPr>
      <w:r w:rsidDel="00000000" w:rsidR="00000000" w:rsidRPr="00000000">
        <w:rPr>
          <w:rtl w:val="0"/>
        </w:rPr>
      </w:r>
    </w:p>
    <w:p w:rsidR="00000000" w:rsidDel="00000000" w:rsidP="00000000" w:rsidRDefault="00000000" w:rsidRPr="00000000" w14:paraId="0000007C">
      <w:pPr>
        <w:spacing w:line="360" w:lineRule="auto"/>
        <w:ind w:firstLine="0"/>
        <w:rPr>
          <w:b w:val="1"/>
          <w:bCs w:val="1"/>
        </w:rPr>
      </w:pPr>
      <w:r w:rsidDel="00000000" w:rsidR="00000000" w:rsidRPr="00000000">
        <w:rPr>
          <w:rtl w:val="0"/>
        </w:rPr>
      </w:r>
    </w:p>
    <w:p w:rsidR="00000000" w:rsidDel="00000000" w:rsidP="00000000" w:rsidRDefault="00000000" w:rsidRPr="00000000" w14:paraId="0000007D">
      <w:pPr>
        <w:spacing w:line="360" w:lineRule="auto"/>
        <w:ind w:firstLine="0"/>
        <w:rPr>
          <w:b w:val="1"/>
          <w:bCs w:val="1"/>
        </w:rPr>
      </w:pPr>
      <w:r w:rsidDel="00000000" w:rsidR="00000000" w:rsidRPr="00000000">
        <w:rPr>
          <w:rtl w:val="0"/>
        </w:rPr>
      </w:r>
    </w:p>
    <w:p w:rsidR="00000000" w:rsidDel="00000000" w:rsidP="00000000" w:rsidRDefault="00000000" w:rsidRPr="00000000" w14:paraId="0000007E">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7F">
      <w:pPr>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Fonte:</w:t>
      </w:r>
      <w:r w:rsidDel="00000000" w:rsidR="00000000" w:rsidRPr="00000000">
        <w:rPr>
          <w:rFonts w:ascii="Calibri" w:cs="Calibri" w:eastAsia="Calibri" w:hAnsi="Calibri"/>
          <w:sz w:val="20"/>
          <w:szCs w:val="20"/>
          <w:rtl w:val="0"/>
        </w:rPr>
        <w:t xml:space="preserve"> Polícia Rodoviária Federal (PRF, 2015–2024); Departamento de Informática do   Sistema Único de Saúde — DATASUS (2024); Secretaria Nacional de Trânsito — SENATRAN (2024); Registro Nacional de Acidentes e Estatísticas de Trânsito — RENAEST (2024).</w:t>
      </w:r>
    </w:p>
    <w:p w:rsidR="00000000" w:rsidDel="00000000" w:rsidP="00000000" w:rsidRDefault="00000000" w:rsidRPr="00000000" w14:paraId="00000080">
      <w:pPr>
        <w:spacing w:after="160" w:before="0" w:line="278.00000000000006" w:lineRule="auto"/>
        <w:rPr/>
      </w:pPr>
      <w:r w:rsidDel="00000000" w:rsidR="00000000" w:rsidRPr="00000000">
        <w:rPr>
          <w:rtl w:val="0"/>
        </w:rPr>
      </w:r>
    </w:p>
    <w:p w:rsidR="00000000" w:rsidDel="00000000" w:rsidP="00000000" w:rsidRDefault="00000000" w:rsidRPr="00000000" w14:paraId="00000081">
      <w:pPr>
        <w:spacing w:after="160" w:before="0" w:lineRule="auto"/>
        <w:ind w:firstLine="436"/>
        <w:rPr/>
      </w:pPr>
      <w:r w:rsidDel="00000000" w:rsidR="00000000" w:rsidRPr="00000000">
        <w:rPr>
          <w:rtl w:val="0"/>
        </w:rPr>
        <w:t xml:space="preserve">   Entre 2015 e 2019, observou-se uma redução progressiva no número de mortes e sinistros de trânsito no Brasil, resultado direto do fortalecimento das políticas de fiscalização da Polícia Rodoviária Federal (PRF), das campanhas educativas coordenadas pela SENATRAN e da ampliação dos investimentos em tecnologia veicular e monitoramento eletrônico.</w:t>
      </w:r>
    </w:p>
    <w:p w:rsidR="00000000" w:rsidDel="00000000" w:rsidP="00000000" w:rsidRDefault="00000000" w:rsidRPr="00000000" w14:paraId="00000082">
      <w:pPr>
        <w:spacing w:after="160" w:before="0" w:lineRule="auto"/>
        <w:ind w:firstLine="436"/>
        <w:rPr/>
      </w:pPr>
      <w:r w:rsidDel="00000000" w:rsidR="00000000" w:rsidRPr="00000000">
        <w:rPr>
          <w:rtl w:val="0"/>
        </w:rPr>
        <w:t xml:space="preserve">   Entretanto, entre 2020 e 2024, essa tendência foi parcialmente revertida, com um aumento estimado de 16,4% no número de óbitos e 15% no total de sinistros registrados, conforme dados integrados da PRF, DATASUS e RENAEST.</w:t>
      </w:r>
    </w:p>
    <w:p w:rsidR="00000000" w:rsidDel="00000000" w:rsidP="00000000" w:rsidRDefault="00000000" w:rsidRPr="00000000" w14:paraId="00000083">
      <w:pPr>
        <w:spacing w:after="160" w:before="0" w:lineRule="auto"/>
        <w:ind w:firstLine="436"/>
        <w:rPr/>
      </w:pPr>
      <w:r w:rsidDel="00000000" w:rsidR="00000000" w:rsidRPr="00000000">
        <w:rPr>
          <w:rtl w:val="0"/>
        </w:rPr>
        <w:t xml:space="preserve">   Esse comportamento está fortemente associado às mudanças nos padrões de mobilidade durante e após a pandemia de COVID-19, período em que houve crescimento expressivo do uso de motocicletas para entregas e transporte individual, acompanhado de maior exposição ao risco. O cenário demonstra que, apesar dos avanços obtidos na última década em segurança e educação para o trânsito, o país ainda enfrenta desafios estruturais e comportamentais, sobretudo nas regiões com infraestrutura viária precária, fiscalização limitada e alta dependência de modais individuais.</w:t>
      </w:r>
    </w:p>
    <w:p w:rsidR="00000000" w:rsidDel="00000000" w:rsidP="00000000" w:rsidRDefault="00000000" w:rsidRPr="00000000" w14:paraId="00000084">
      <w:pPr>
        <w:spacing w:after="160" w:line="278.00000000000006" w:lineRule="auto"/>
        <w:rPr/>
      </w:pPr>
      <w:r w:rsidDel="00000000" w:rsidR="00000000" w:rsidRPr="00000000">
        <w:rPr>
          <w:rtl w:val="0"/>
        </w:rPr>
      </w:r>
    </w:p>
    <w:p w:rsidR="00000000" w:rsidDel="00000000" w:rsidP="00000000" w:rsidRDefault="00000000" w:rsidRPr="00000000" w14:paraId="00000085">
      <w:pPr>
        <w:spacing w:after="160" w:before="0" w:lineRule="auto"/>
        <w:ind w:left="0" w:firstLine="0"/>
        <w:rPr>
          <w:i w:val="1"/>
          <w:iCs w:val="1"/>
        </w:rPr>
      </w:pPr>
      <w:r w:rsidDel="00000000" w:rsidR="00000000" w:rsidRPr="00000000">
        <w:rPr>
          <w:i w:val="1"/>
          <w:iCs w:val="1"/>
          <w:rtl w:val="0"/>
        </w:rPr>
        <w:t xml:space="preserve">      4.1 Tipos de Veículos Mais Envolvidos</w:t>
      </w:r>
    </w:p>
    <w:p w:rsidR="00000000" w:rsidDel="00000000" w:rsidP="00000000" w:rsidRDefault="00000000" w:rsidRPr="00000000" w14:paraId="00000086">
      <w:pPr>
        <w:spacing w:after="160" w:before="0" w:line="278.00000000000006" w:lineRule="auto"/>
        <w:ind w:firstLine="0"/>
        <w:rPr/>
      </w:pPr>
      <w:r w:rsidDel="00000000" w:rsidR="00000000" w:rsidRPr="00000000">
        <w:rPr>
          <w:rtl w:val="0"/>
        </w:rPr>
        <w:t xml:space="preserve">As motocicletas continuam sendo o tipo de veículo mais envolvido em sinistros com vítimas, respondendo por mais de 36% dos acidentes fatais e por cerca de 29% das ocorrências registradas pela PRF em 2024.Apesar de representarem uma parcela menor da frota nacional, as motocicletas estão diretamente relacionadas ao aumento dos acidentes graves, principalmente em áreas urbanas e rodovias de tráfego misto.</w:t>
      </w:r>
    </w:p>
    <w:p w:rsidR="00000000" w:rsidDel="00000000" w:rsidP="00000000" w:rsidRDefault="00000000" w:rsidRPr="00000000" w14:paraId="00000087">
      <w:pPr>
        <w:spacing w:after="160" w:before="0" w:line="278.00000000000006" w:lineRule="auto"/>
        <w:ind w:firstLine="0"/>
        <w:rPr/>
      </w:pPr>
      <w:r w:rsidDel="00000000" w:rsidR="00000000" w:rsidRPr="00000000">
        <w:rPr>
          <w:rtl w:val="0"/>
        </w:rPr>
        <w:t xml:space="preserve">Durante a pandemia, o crescimento dos serviços de entrega e o aumento da frota de motocicletas registrados no RENAEST e SENATRAN ampliaram o número de condutores expostos diariamente ao risco. Em 2020, o risco de morte de um motociclista foi 3,4 vezes maior do que o de ocupantes de automóveis, segundo a PRF e o DATASUS.</w:t>
        <w:br w:type="textWrapping"/>
        <w:t xml:space="preserve">As regiões Norte e Nordeste mantêm as maiores taxas de mortalidade proporcional entre motociclistas, representando 39% das mortes no grupo, tendência que se manteve até 2024.</w:t>
      </w:r>
    </w:p>
    <w:p w:rsidR="00000000" w:rsidDel="00000000" w:rsidP="00000000" w:rsidRDefault="00000000" w:rsidRPr="00000000" w14:paraId="00000088">
      <w:pPr>
        <w:spacing w:after="160" w:line="278.00000000000006" w:lineRule="auto"/>
        <w:rPr/>
      </w:pPr>
      <w:r w:rsidDel="00000000" w:rsidR="00000000" w:rsidRPr="00000000">
        <w:rPr>
          <w:rtl w:val="0"/>
        </w:rPr>
      </w:r>
    </w:p>
    <w:p w:rsidR="00000000" w:rsidDel="00000000" w:rsidP="00000000" w:rsidRDefault="00000000" w:rsidRPr="00000000" w14:paraId="00000089">
      <w:pPr>
        <w:spacing w:after="160" w:before="0" w:lineRule="auto"/>
        <w:ind w:left="0" w:firstLine="0"/>
        <w:rPr>
          <w:i w:val="1"/>
          <w:iCs w:val="1"/>
        </w:rPr>
      </w:pPr>
      <w:r w:rsidDel="00000000" w:rsidR="00000000" w:rsidRPr="00000000">
        <w:rPr>
          <w:i w:val="1"/>
          <w:iCs w:val="1"/>
          <w:rtl w:val="0"/>
        </w:rPr>
        <w:t xml:space="preserve">      4.2 Perfil das Vítimas</w:t>
      </w:r>
    </w:p>
    <w:p w:rsidR="00000000" w:rsidDel="00000000" w:rsidP="00000000" w:rsidRDefault="00000000" w:rsidRPr="00000000" w14:paraId="0000008A">
      <w:pPr>
        <w:spacing w:after="160" w:before="0" w:lineRule="auto"/>
        <w:ind w:firstLine="436"/>
        <w:rPr/>
      </w:pPr>
      <w:r w:rsidDel="00000000" w:rsidR="00000000" w:rsidRPr="00000000">
        <w:rPr>
          <w:rtl w:val="0"/>
        </w:rPr>
        <w:t xml:space="preserve">   O perfil das vítimas permanece predominantemente masculino, com homens representando cerca de 78% das mortes no trânsito brasileiro, conforme os registros da SENATRAN e DATASUS (2023). As mulheres correspondem a aproximadamente 22% das fatalidades.</w:t>
      </w:r>
    </w:p>
    <w:p w:rsidR="00000000" w:rsidDel="00000000" w:rsidP="00000000" w:rsidRDefault="00000000" w:rsidRPr="00000000" w14:paraId="0000008B">
      <w:pPr>
        <w:spacing w:after="160" w:before="0" w:lineRule="auto"/>
        <w:ind w:firstLine="436"/>
        <w:rPr/>
      </w:pPr>
      <w:r w:rsidDel="00000000" w:rsidR="00000000" w:rsidRPr="00000000">
        <w:rPr>
          <w:rtl w:val="0"/>
        </w:rPr>
        <w:t xml:space="preserve">   A faixa etária entre 18 e 35 anos continua sendo a mais atingida — grupo que coincide com a população economicamente ativa e apresenta comportamentos de risco como excesso de velocidade, consumo de álcool e uso do celular ao volante.</w:t>
      </w:r>
    </w:p>
    <w:p w:rsidR="00000000" w:rsidDel="00000000" w:rsidP="00000000" w:rsidRDefault="00000000" w:rsidRPr="00000000" w14:paraId="0000008C">
      <w:pPr>
        <w:spacing w:after="160" w:before="0" w:lineRule="auto"/>
        <w:ind w:firstLine="436"/>
        <w:rPr/>
      </w:pPr>
      <w:r w:rsidDel="00000000" w:rsidR="00000000" w:rsidRPr="00000000">
        <w:rPr>
          <w:rtl w:val="0"/>
        </w:rPr>
        <w:t xml:space="preserve">   Motociclistas e ciclistas seguem entre os grupos mais vulneráveis, seguidos por pedestres, especialmente nas áreas urbanas periféricas, onde há menor sinalização e ausência de passarelas seguras. Acidentes envolvendo veículos pesados (caminhões e ônibus) aumentam significativamente o risco de morte — os impactos em ciclistas, por exemplo, são até 10 vezes mais letais do que colisões entre automóveis.</w:t>
      </w:r>
    </w:p>
    <w:p w:rsidR="00000000" w:rsidDel="00000000" w:rsidP="00000000" w:rsidRDefault="00000000" w:rsidRPr="00000000" w14:paraId="0000008D">
      <w:pPr>
        <w:spacing w:after="160" w:line="278.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160" w:before="0" w:lineRule="auto"/>
        <w:ind w:left="0" w:firstLine="0"/>
        <w:rPr>
          <w:i w:val="1"/>
          <w:iCs w:val="1"/>
        </w:rPr>
      </w:pPr>
      <w:r w:rsidDel="00000000" w:rsidR="00000000" w:rsidRPr="00000000">
        <w:rPr>
          <w:i w:val="1"/>
          <w:iCs w:val="1"/>
          <w:rtl w:val="0"/>
        </w:rPr>
        <w:t xml:space="preserve">      4.3 Localização e Regiões Críticas</w:t>
      </w:r>
    </w:p>
    <w:p w:rsidR="00000000" w:rsidDel="00000000" w:rsidP="00000000" w:rsidRDefault="00000000" w:rsidRPr="00000000" w14:paraId="0000008F">
      <w:pPr>
        <w:spacing w:after="160" w:before="0" w:lineRule="auto"/>
        <w:ind w:firstLine="436"/>
        <w:rPr/>
      </w:pPr>
      <w:r w:rsidDel="00000000" w:rsidR="00000000" w:rsidRPr="00000000">
        <w:rPr>
          <w:rtl w:val="0"/>
        </w:rPr>
        <w:t xml:space="preserve">   As rodovias federais BR-101, BR-116 e BR-381 permanecem entre as vias com maior número de sinistros, segundo levantamentos da PRF e SENATRAN (2024).</w:t>
        <w:br w:type="textWrapping"/>
        <w:t xml:space="preserve">Essas rodovias cortam regiões densamente povoadas, com alto fluxo de veículos de carga e transporte intermunicipal, o que amplia o potencial de acidentes.</w:t>
      </w:r>
    </w:p>
    <w:p w:rsidR="00000000" w:rsidDel="00000000" w:rsidP="00000000" w:rsidRDefault="00000000" w:rsidRPr="00000000" w14:paraId="00000090">
      <w:pPr>
        <w:spacing w:after="160" w:before="0" w:lineRule="auto"/>
        <w:ind w:firstLine="436"/>
        <w:rPr/>
      </w:pPr>
      <w:r w:rsidDel="00000000" w:rsidR="00000000" w:rsidRPr="00000000">
        <w:rPr>
          <w:rtl w:val="0"/>
        </w:rPr>
        <w:t xml:space="preserve">   As regiões Sudeste e Sul continuam liderando em número absoluto de acidentes, mas com menores índices de letalidade, reflexo da melhor infraestrutura e presença de sistemas de fiscalização eletrônica. Já as regiões Norte e Nordeste apresentam as piores taxas relativas de mortalidade, com destaque para rodovias não duplicadas e trechos com manutenção deficiente.</w:t>
      </w:r>
    </w:p>
    <w:p w:rsidR="00000000" w:rsidDel="00000000" w:rsidP="00000000" w:rsidRDefault="00000000" w:rsidRPr="00000000" w14:paraId="00000091">
      <w:pPr>
        <w:spacing w:after="160" w:before="0" w:lineRule="auto"/>
        <w:ind w:firstLine="436"/>
        <w:rPr/>
      </w:pPr>
      <w:r w:rsidDel="00000000" w:rsidR="00000000" w:rsidRPr="00000000">
        <w:rPr>
          <w:rtl w:val="0"/>
        </w:rPr>
        <w:t xml:space="preserve">   A Região Sudeste apresentou a maior redução estimada nos custos de sinistros (47%), impulsionada pelos resultados positivos de São Paulo e Minas Gerais.</w:t>
        <w:br w:type="textWrapping"/>
        <w:t xml:space="preserve">Em contrapartida, as regiões Norte e Nordeste registraram aumento dos custos projetados em 20% e 12%, respectivamente, evidenciando as desigualdades regionais no combate à sinistralidade viária.</w:t>
      </w:r>
    </w:p>
    <w:p w:rsidR="00000000" w:rsidDel="00000000" w:rsidP="00000000" w:rsidRDefault="00000000" w:rsidRPr="00000000" w14:paraId="00000092">
      <w:pPr>
        <w:spacing w:after="160" w:before="0" w:line="278.00000000000006" w:lineRule="auto"/>
        <w:ind w:firstLine="0"/>
        <w:rPr/>
      </w:pPr>
      <w:r w:rsidDel="00000000" w:rsidR="00000000" w:rsidRPr="00000000">
        <w:rPr>
          <w:rtl w:val="0"/>
        </w:rPr>
      </w:r>
    </w:p>
    <w:p w:rsidR="00000000" w:rsidDel="00000000" w:rsidP="00000000" w:rsidRDefault="00000000" w:rsidRPr="00000000" w14:paraId="00000093">
      <w:pPr>
        <w:spacing w:after="160" w:before="0" w:line="278.00000000000006" w:lineRule="auto"/>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094">
      <w:pPr>
        <w:spacing w:after="160" w:before="0" w:lineRule="auto"/>
        <w:ind w:left="0" w:firstLine="0"/>
        <w:rPr>
          <w:i w:val="1"/>
          <w:iCs w:val="1"/>
        </w:rPr>
      </w:pPr>
      <w:r w:rsidDel="00000000" w:rsidR="00000000" w:rsidRPr="00000000">
        <w:rPr>
          <w:b w:val="1"/>
          <w:bCs w:val="1"/>
          <w:rtl w:val="0"/>
        </w:rPr>
        <w:t xml:space="preserve">   </w:t>
      </w:r>
      <w:r w:rsidDel="00000000" w:rsidR="00000000" w:rsidRPr="00000000">
        <w:rPr>
          <w:i w:val="1"/>
          <w:iCs w:val="1"/>
          <w:rtl w:val="0"/>
        </w:rPr>
        <w:t xml:space="preserve">  4.4 Taxa de Mortes por 100 Mil Habitantes (2024)</w:t>
      </w:r>
    </w:p>
    <w:p w:rsidR="00000000" w:rsidDel="00000000" w:rsidP="00000000" w:rsidRDefault="00000000" w:rsidRPr="00000000" w14:paraId="00000095">
      <w:pPr>
        <w:spacing w:after="160" w:before="0" w:lineRule="auto"/>
        <w:ind w:left="0" w:firstLine="720"/>
        <w:rPr>
          <w:sz w:val="20"/>
          <w:szCs w:val="20"/>
        </w:rPr>
      </w:pPr>
      <w:r w:rsidDel="00000000" w:rsidR="00000000" w:rsidRPr="00000000">
        <w:rPr>
          <w:b w:val="1"/>
          <w:bCs w:val="1"/>
          <w:sz w:val="20"/>
          <w:szCs w:val="20"/>
          <w:rtl w:val="0"/>
        </w:rPr>
        <w:t xml:space="preserve">Média nacional (2024):</w:t>
      </w:r>
      <w:r w:rsidDel="00000000" w:rsidR="00000000" w:rsidRPr="00000000">
        <w:rPr>
          <w:sz w:val="20"/>
          <w:szCs w:val="20"/>
          <w:rtl w:val="0"/>
        </w:rPr>
        <w:t xml:space="preserve"> 14,2 mortes por 100 mil habitantes.</w:t>
        <w:br w:type="textWrapping"/>
      </w:r>
      <w:r w:rsidDel="00000000" w:rsidR="00000000" w:rsidRPr="00000000">
        <w:rPr>
          <w:b w:val="1"/>
          <w:bCs w:val="1"/>
          <w:sz w:val="20"/>
          <w:szCs w:val="20"/>
          <w:rtl w:val="0"/>
        </w:rPr>
        <w:t xml:space="preserve"> </w:t>
        <w:tab/>
        <w:t xml:space="preserve">Meta OMS 2030:</w:t>
      </w:r>
      <w:r w:rsidDel="00000000" w:rsidR="00000000" w:rsidRPr="00000000">
        <w:rPr>
          <w:sz w:val="20"/>
          <w:szCs w:val="20"/>
          <w:rtl w:val="0"/>
        </w:rPr>
        <w:t xml:space="preserve"> reduzir para 6 mortes por 100 mil habitantes.</w:t>
      </w:r>
    </w:p>
    <w:tbl>
      <w:tblPr>
        <w:tblStyle w:val="Table3"/>
        <w:tblW w:w="87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9"/>
        <w:gridCol w:w="4389"/>
        <w:tblGridChange w:id="0">
          <w:tblGrid>
            <w:gridCol w:w="4389"/>
            <w:gridCol w:w="4389"/>
          </w:tblGrid>
        </w:tblGridChange>
      </w:tblGrid>
      <w:tr>
        <w:trPr>
          <w:cantSplit w:val="0"/>
          <w:tblHeader w:val="0"/>
        </w:trPr>
        <w:tc>
          <w:tcPr>
            <w:vAlign w:val="center"/>
          </w:tcPr>
          <w:p w:rsidR="00000000" w:rsidDel="00000000" w:rsidP="00000000" w:rsidRDefault="00000000" w:rsidRPr="00000000" w14:paraId="00000096">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r w:rsidDel="00000000" w:rsidR="00000000" w:rsidRPr="00000000">
              <w:rPr>
                <w:rtl w:val="0"/>
              </w:rPr>
            </w:r>
          </w:p>
        </w:tc>
        <w:tc>
          <w:tcPr>
            <w:vAlign w:val="center"/>
          </w:tcPr>
          <w:p w:rsidR="00000000" w:rsidDel="00000000" w:rsidP="00000000" w:rsidRDefault="00000000" w:rsidRPr="00000000" w14:paraId="00000097">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Taxa   (por 10mil habitantes)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Piauí</w:t>
            </w:r>
          </w:p>
        </w:tc>
        <w:tc>
          <w:tcPr>
            <w:vAlign w:val="center"/>
          </w:tcPr>
          <w:p w:rsidR="00000000" w:rsidDel="00000000" w:rsidP="00000000" w:rsidRDefault="00000000" w:rsidRPr="00000000" w14:paraId="00000099">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23,5%</w:t>
            </w:r>
          </w:p>
        </w:tc>
      </w:tr>
      <w:tr>
        <w:trPr>
          <w:cantSplit w:val="0"/>
          <w:tblHeader w:val="0"/>
        </w:trPr>
        <w:tc>
          <w:tcPr>
            <w:vAlign w:val="center"/>
          </w:tcPr>
          <w:p w:rsidR="00000000" w:rsidDel="00000000" w:rsidP="00000000" w:rsidRDefault="00000000" w:rsidRPr="00000000" w14:paraId="0000009A">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Maranhão</w:t>
            </w:r>
          </w:p>
        </w:tc>
        <w:tc>
          <w:tcPr>
            <w:vAlign w:val="center"/>
          </w:tcPr>
          <w:p w:rsidR="00000000" w:rsidDel="00000000" w:rsidP="00000000" w:rsidRDefault="00000000" w:rsidRPr="00000000" w14:paraId="0000009B">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21,8%</w:t>
            </w:r>
          </w:p>
        </w:tc>
      </w:tr>
      <w:tr>
        <w:trPr>
          <w:cantSplit w:val="0"/>
          <w:tblHeader w:val="0"/>
        </w:trPr>
        <w:tc>
          <w:tcPr>
            <w:vAlign w:val="center"/>
          </w:tcPr>
          <w:p w:rsidR="00000000" w:rsidDel="00000000" w:rsidP="00000000" w:rsidRDefault="00000000" w:rsidRPr="00000000" w14:paraId="0000009C">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Tocantins</w:t>
            </w:r>
          </w:p>
        </w:tc>
        <w:tc>
          <w:tcPr>
            <w:vAlign w:val="center"/>
          </w:tcPr>
          <w:p w:rsidR="00000000" w:rsidDel="00000000" w:rsidP="00000000" w:rsidRDefault="00000000" w:rsidRPr="00000000" w14:paraId="0000009D">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20,9%</w:t>
            </w:r>
          </w:p>
        </w:tc>
      </w:tr>
      <w:tr>
        <w:trPr>
          <w:cantSplit w:val="0"/>
          <w:tblHeader w:val="0"/>
        </w:trPr>
        <w:tc>
          <w:tcPr>
            <w:vAlign w:val="center"/>
          </w:tcPr>
          <w:p w:rsidR="00000000" w:rsidDel="00000000" w:rsidP="00000000" w:rsidRDefault="00000000" w:rsidRPr="00000000" w14:paraId="0000009E">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Bahia</w:t>
            </w:r>
          </w:p>
        </w:tc>
        <w:tc>
          <w:tcPr>
            <w:vAlign w:val="center"/>
          </w:tcPr>
          <w:p w:rsidR="00000000" w:rsidDel="00000000" w:rsidP="00000000" w:rsidRDefault="00000000" w:rsidRPr="00000000" w14:paraId="0000009F">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w:t>
            </w:r>
          </w:p>
        </w:tc>
      </w:tr>
      <w:tr>
        <w:trPr>
          <w:cantSplit w:val="0"/>
          <w:tblHeader w:val="0"/>
        </w:trPr>
        <w:tc>
          <w:tcPr>
            <w:vAlign w:val="center"/>
          </w:tcPr>
          <w:p w:rsidR="00000000" w:rsidDel="00000000" w:rsidP="00000000" w:rsidRDefault="00000000" w:rsidRPr="00000000" w14:paraId="000000A0">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Pará</w:t>
            </w:r>
          </w:p>
        </w:tc>
        <w:tc>
          <w:tcPr>
            <w:vAlign w:val="center"/>
          </w:tcPr>
          <w:p w:rsidR="00000000" w:rsidDel="00000000" w:rsidP="00000000" w:rsidRDefault="00000000" w:rsidRPr="00000000" w14:paraId="000000A1">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w:t>
            </w:r>
          </w:p>
        </w:tc>
      </w:tr>
      <w:tr>
        <w:trPr>
          <w:cantSplit w:val="0"/>
          <w:tblHeader w:val="0"/>
        </w:trPr>
        <w:tc>
          <w:tcPr>
            <w:vAlign w:val="center"/>
          </w:tcPr>
          <w:p w:rsidR="00000000" w:rsidDel="00000000" w:rsidP="00000000" w:rsidRDefault="00000000" w:rsidRPr="00000000" w14:paraId="000000A2">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Mato Grosso</w:t>
            </w:r>
          </w:p>
        </w:tc>
        <w:tc>
          <w:tcPr>
            <w:vAlign w:val="center"/>
          </w:tcPr>
          <w:p w:rsidR="00000000" w:rsidDel="00000000" w:rsidP="00000000" w:rsidRDefault="00000000" w:rsidRPr="00000000" w14:paraId="000000A3">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18,2%</w:t>
            </w:r>
          </w:p>
        </w:tc>
      </w:tr>
      <w:tr>
        <w:trPr>
          <w:cantSplit w:val="0"/>
          <w:tblHeader w:val="0"/>
        </w:trPr>
        <w:tc>
          <w:tcPr>
            <w:vAlign w:val="center"/>
          </w:tcPr>
          <w:p w:rsidR="00000000" w:rsidDel="00000000" w:rsidP="00000000" w:rsidRDefault="00000000" w:rsidRPr="00000000" w14:paraId="000000A4">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Ceará</w:t>
            </w:r>
          </w:p>
        </w:tc>
        <w:tc>
          <w:tcPr>
            <w:vAlign w:val="center"/>
          </w:tcPr>
          <w:p w:rsidR="00000000" w:rsidDel="00000000" w:rsidP="00000000" w:rsidRDefault="00000000" w:rsidRPr="00000000" w14:paraId="000000A5">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17,7%</w:t>
            </w:r>
          </w:p>
        </w:tc>
      </w:tr>
      <w:tr>
        <w:trPr>
          <w:cantSplit w:val="0"/>
          <w:tblHeader w:val="0"/>
        </w:trPr>
        <w:tc>
          <w:tcPr>
            <w:vAlign w:val="center"/>
          </w:tcPr>
          <w:p w:rsidR="00000000" w:rsidDel="00000000" w:rsidP="00000000" w:rsidRDefault="00000000" w:rsidRPr="00000000" w14:paraId="000000A6">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Goiás</w:t>
            </w:r>
          </w:p>
        </w:tc>
        <w:tc>
          <w:tcPr>
            <w:vAlign w:val="center"/>
          </w:tcPr>
          <w:p w:rsidR="00000000" w:rsidDel="00000000" w:rsidP="00000000" w:rsidRDefault="00000000" w:rsidRPr="00000000" w14:paraId="000000A7">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15,3%</w:t>
            </w:r>
          </w:p>
        </w:tc>
      </w:tr>
      <w:tr>
        <w:trPr>
          <w:cantSplit w:val="0"/>
          <w:tblHeader w:val="0"/>
        </w:trPr>
        <w:tc>
          <w:tcPr>
            <w:vAlign w:val="center"/>
          </w:tcPr>
          <w:p w:rsidR="00000000" w:rsidDel="00000000" w:rsidP="00000000" w:rsidRDefault="00000000" w:rsidRPr="00000000" w14:paraId="000000A8">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Minas Gerais</w:t>
            </w:r>
          </w:p>
        </w:tc>
        <w:tc>
          <w:tcPr>
            <w:vAlign w:val="center"/>
          </w:tcPr>
          <w:p w:rsidR="00000000" w:rsidDel="00000000" w:rsidP="00000000" w:rsidRDefault="00000000" w:rsidRPr="00000000" w14:paraId="000000A9">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w:t>
            </w:r>
          </w:p>
        </w:tc>
      </w:tr>
      <w:tr>
        <w:trPr>
          <w:cantSplit w:val="0"/>
          <w:tblHeader w:val="0"/>
        </w:trPr>
        <w:tc>
          <w:tcPr>
            <w:vAlign w:val="center"/>
          </w:tcPr>
          <w:p w:rsidR="00000000" w:rsidDel="00000000" w:rsidP="00000000" w:rsidRDefault="00000000" w:rsidRPr="00000000" w14:paraId="000000AA">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São Paulo</w:t>
            </w:r>
          </w:p>
        </w:tc>
        <w:tc>
          <w:tcPr>
            <w:vAlign w:val="center"/>
          </w:tcPr>
          <w:p w:rsidR="00000000" w:rsidDel="00000000" w:rsidP="00000000" w:rsidRDefault="00000000" w:rsidRPr="00000000" w14:paraId="000000AB">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w:t>
            </w:r>
          </w:p>
        </w:tc>
      </w:tr>
      <w:tr>
        <w:trPr>
          <w:cantSplit w:val="0"/>
          <w:tblHeader w:val="0"/>
        </w:trPr>
        <w:tc>
          <w:tcPr>
            <w:vAlign w:val="center"/>
          </w:tcPr>
          <w:p w:rsidR="00000000" w:rsidDel="00000000" w:rsidP="00000000" w:rsidRDefault="00000000" w:rsidRPr="00000000" w14:paraId="000000AC">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Santa Catarina</w:t>
            </w:r>
          </w:p>
        </w:tc>
        <w:tc>
          <w:tcPr>
            <w:vAlign w:val="center"/>
          </w:tcPr>
          <w:p w:rsidR="00000000" w:rsidDel="00000000" w:rsidP="00000000" w:rsidRDefault="00000000" w:rsidRPr="00000000" w14:paraId="000000AD">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7,9%</w:t>
            </w:r>
          </w:p>
        </w:tc>
      </w:tr>
      <w:tr>
        <w:trPr>
          <w:cantSplit w:val="0"/>
          <w:tblHeader w:val="0"/>
        </w:trPr>
        <w:tc>
          <w:tcPr>
            <w:vAlign w:val="center"/>
          </w:tcPr>
          <w:p w:rsidR="00000000" w:rsidDel="00000000" w:rsidP="00000000" w:rsidRDefault="00000000" w:rsidRPr="00000000" w14:paraId="000000AE">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Distrito Federal</w:t>
            </w:r>
          </w:p>
        </w:tc>
        <w:tc>
          <w:tcPr>
            <w:vAlign w:val="center"/>
          </w:tcPr>
          <w:p w:rsidR="00000000" w:rsidDel="00000000" w:rsidP="00000000" w:rsidRDefault="00000000" w:rsidRPr="00000000" w14:paraId="000000AF">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r>
          </w:p>
        </w:tc>
      </w:tr>
    </w:tbl>
    <w:p w:rsidR="00000000" w:rsidDel="00000000" w:rsidP="00000000" w:rsidRDefault="00000000" w:rsidRPr="00000000" w14:paraId="000000B0">
      <w:pPr>
        <w:spacing w:after="160" w:before="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DATASUS</w:t>
      </w:r>
    </w:p>
    <w:p w:rsidR="00000000" w:rsidDel="00000000" w:rsidP="00000000" w:rsidRDefault="00000000" w:rsidRPr="00000000" w14:paraId="000000B1">
      <w:pPr>
        <w:spacing w:after="160" w:before="0" w:lineRule="auto"/>
        <w:ind w:left="0"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2">
      <w:pPr>
        <w:spacing w:after="160" w:before="0" w:lineRule="auto"/>
        <w:ind w:left="0" w:firstLine="720"/>
        <w:rPr>
          <w:i w:val="1"/>
          <w:iCs w:val="1"/>
        </w:rPr>
      </w:pPr>
      <w:r w:rsidDel="00000000" w:rsidR="00000000" w:rsidRPr="00000000">
        <w:rPr>
          <w:i w:val="1"/>
          <w:iCs w:val="1"/>
          <w:rtl w:val="0"/>
        </w:rPr>
        <w:t xml:space="preserve">4.5 Correlação entre Frota e Sinistros Fatais</w:t>
      </w:r>
    </w:p>
    <w:p w:rsidR="00000000" w:rsidDel="00000000" w:rsidP="00000000" w:rsidRDefault="00000000" w:rsidRPr="00000000" w14:paraId="000000B3">
      <w:pPr>
        <w:spacing w:after="160" w:before="0" w:lineRule="auto"/>
        <w:ind w:left="0" w:firstLine="0"/>
        <w:rPr>
          <w:b w:val="1"/>
          <w:bCs w:val="1"/>
        </w:rPr>
      </w:pPr>
      <w:r w:rsidDel="00000000" w:rsidR="00000000" w:rsidRPr="00000000">
        <w:rPr>
          <w:rtl w:val="0"/>
        </w:rPr>
        <w:t xml:space="preserve"> </w:t>
        <w:tab/>
        <w:t xml:space="preserve">   Entre 2015 e 2024, a frota nacional cresceu 28%, passando de 94 milhões para 120 milhões   de veículos, sendo as motocicletas responsáveis por 48% desse crescimento.</w:t>
        <w:br w:type="textWrapping"/>
        <w:t xml:space="preserve">A correlação estatística calculada (r = 0,82) indica forte relação positiva entre o aumento da frota e o crescimento dos sinistros fatais — especialmente nos estados do Norte e Nordeste, onde o aumento da frota de motos superou 60% no período.</w:t>
      </w:r>
      <w:r w:rsidDel="00000000" w:rsidR="00000000" w:rsidRPr="00000000">
        <w:rPr>
          <w:rtl w:val="0"/>
        </w:rPr>
      </w:r>
    </w:p>
    <w:p w:rsidR="00000000" w:rsidDel="00000000" w:rsidP="00000000" w:rsidRDefault="00000000" w:rsidRPr="00000000" w14:paraId="000000B4">
      <w:pPr>
        <w:pStyle w:val="Heading3"/>
        <w:spacing w:after="281" w:before="281"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Style w:val="Heading1"/>
        <w:numPr>
          <w:ilvl w:val="0"/>
          <w:numId w:val="1"/>
        </w:numPr>
        <w:ind w:left="570" w:hanging="360"/>
        <w:rPr/>
      </w:pPr>
      <w:r w:rsidDel="00000000" w:rsidR="00000000" w:rsidRPr="00000000">
        <w:rPr>
          <w:rtl w:val="0"/>
        </w:rPr>
        <w:t xml:space="preserve">Resultados esperados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284" w:right="0" w:firstLine="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 fim, este estudo sobre a segurança viária no Brasil entre 2015 e 2024 busca oferecer uma contribuição relevante tanto no campo técnico quanto acadêmico da logística e mobilidade urbana. Os resultados esperados envolvem a identificação de padrões e fatores determinantes dos sinistros de trânsito, a</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avaliação da efetividade das políticas públicas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 a</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proposição de estratégias integradas que possam subsidiar decisões voltadas à redução de mortes e lesões no trânsito.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284" w:right="0" w:firstLine="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ponto de vista técnico, espera-se que a análise estatística e comparativa dos dados provenientes da PRF, DATASUS, SENATRAN e RENAEST contribua para o planejamento logístico e operacional do transporte rodoviário, permitindo otimizar fluxos, aprimorar a infraestrutura viária e orientar investimentos em segurança. A utilização de ferramentas como Python, Power BI e Google Colab reforça o caráter tecnológico e analítico do trabalho, demonstrando o potencial das metodologias baseadas em dados para o monitoramento e a gestão eficiente do tráfego.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284" w:right="0" w:firstLine="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Sob o aspecto acadêmico, o estudo amplia o entendimento sobre a interdependência entre segurança viária, mobilidade sustentável e eficiência logística, oferecendo uma base sólida para futuras pesquisas e para a formulação de políticas públicas orientadas por evidências. Ao correlacionar fatores humanos, estruturais e institucionais, o trabalho estimula a reflexão crítica sobre o papel da logística na preservação da vida e na construção de sistemas de transporte mais seguros e integrados.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284" w:right="0" w:firstLine="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Assim, a pesquisa reforça a importância estratégica da segurança viária dentro da logística nacional, destacando que o desenvolvimento econômico e a fluidez dos transportes devem caminhar lado a lado com a sustentabilidade, a segurança e a responsabilidade social</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pStyle w:val="Heading1"/>
        <w:ind w:left="648" w:hanging="360"/>
        <w:rPr/>
      </w:pPr>
      <w:r w:rsidDel="00000000" w:rsidR="00000000" w:rsidRPr="00000000">
        <w:rPr>
          <w:rtl w:val="0"/>
        </w:rPr>
        <w:t xml:space="preserve">Referências</w:t>
      </w:r>
    </w:p>
    <w:p w:rsidR="00000000" w:rsidDel="00000000" w:rsidP="00000000" w:rsidRDefault="00000000" w:rsidRPr="00000000" w14:paraId="000000BD">
      <w:pPr>
        <w:ind w:left="0" w:firstLine="0"/>
        <w:rPr/>
      </w:pPr>
      <w:bookmarkStart w:colFirst="0" w:colLast="0" w:name="_5ng3nld2stxo" w:id="6"/>
      <w:bookmarkEnd w:id="6"/>
      <w:r w:rsidDel="00000000" w:rsidR="00000000" w:rsidRPr="00000000">
        <w:rPr>
          <w:rtl w:val="0"/>
        </w:rPr>
        <w:t xml:space="preserve">AGÊNCIA NACIONAL DE TRANSPORTES TERRESTRES (ANTT). </w:t>
      </w:r>
      <w:r w:rsidDel="00000000" w:rsidR="00000000" w:rsidRPr="00000000">
        <w:rPr>
          <w:i w:val="1"/>
          <w:iCs w:val="1"/>
          <w:rtl w:val="0"/>
        </w:rPr>
        <w:t xml:space="preserve">Relatórios Anuais de Acidentes Rodoviários.</w:t>
      </w:r>
      <w:r w:rsidDel="00000000" w:rsidR="00000000" w:rsidRPr="00000000">
        <w:rPr>
          <w:rtl w:val="0"/>
        </w:rPr>
        <w:t xml:space="preserve"> Brasília: ANTT, 2015–2024. Disponível em: https://www.gov.br/antt. Acesso em: 9 nov. 2025.</w:t>
      </w:r>
    </w:p>
    <w:p w:rsidR="00000000" w:rsidDel="00000000" w:rsidP="00000000" w:rsidRDefault="00000000" w:rsidRPr="00000000" w14:paraId="000000BE">
      <w:pPr>
        <w:ind w:left="0" w:firstLine="0"/>
        <w:rPr/>
      </w:pPr>
      <w:r w:rsidDel="00000000" w:rsidR="00000000" w:rsidRPr="00000000">
        <w:rPr>
          <w:rtl w:val="0"/>
        </w:rPr>
        <w:t xml:space="preserve">BRASIL. </w:t>
      </w:r>
      <w:r w:rsidDel="00000000" w:rsidR="00000000" w:rsidRPr="00000000">
        <w:rPr>
          <w:i w:val="1"/>
          <w:iCs w:val="1"/>
          <w:rtl w:val="0"/>
        </w:rPr>
        <w:t xml:space="preserve">Código de Trânsito Brasileiro: Lei nº 9.503, de 23 de setembro de 1997.</w:t>
      </w:r>
      <w:r w:rsidDel="00000000" w:rsidR="00000000" w:rsidRPr="00000000">
        <w:rPr>
          <w:rtl w:val="0"/>
        </w:rPr>
        <w:t xml:space="preserve"> Diário Oficial da União: seção 1, Brasília, DF, 24 set. 1997. Atualizado até a Lei nº 14.599, de 19 de junho de 2023. Disponível em: https://www.planalto.gov.br/ccivil_03/leis/l9503.htm. Acesso em: 9 nov. 2025.</w:t>
      </w:r>
    </w:p>
    <w:p w:rsidR="00000000" w:rsidDel="00000000" w:rsidP="00000000" w:rsidRDefault="00000000" w:rsidRPr="00000000" w14:paraId="000000BF">
      <w:pPr>
        <w:ind w:left="0" w:firstLine="0"/>
        <w:rPr/>
      </w:pPr>
      <w:r w:rsidDel="00000000" w:rsidR="00000000" w:rsidRPr="00000000">
        <w:rPr>
          <w:rtl w:val="0"/>
        </w:rPr>
        <w:t xml:space="preserve">BRASIL. DEPARTAMENTO DE INFORMÁTICA DO SUS (DATASUS). </w:t>
      </w:r>
      <w:r w:rsidDel="00000000" w:rsidR="00000000" w:rsidRPr="00000000">
        <w:rPr>
          <w:i w:val="1"/>
          <w:iCs w:val="1"/>
          <w:rtl w:val="0"/>
        </w:rPr>
        <w:t xml:space="preserve">Informações de Saúde (TABNET): Estatísticas de Mortalidade e Internações Hospitalares – Causas Externas (Acidentes de Trânsito).</w:t>
      </w:r>
      <w:r w:rsidDel="00000000" w:rsidR="00000000" w:rsidRPr="00000000">
        <w:rPr>
          <w:rtl w:val="0"/>
        </w:rPr>
        <w:t xml:space="preserve"> Brasília: Ministério da Saúde, 2015–2024. Disponível em: </w:t>
      </w:r>
      <w:hyperlink r:id="rId10">
        <w:r w:rsidDel="00000000" w:rsidR="00000000" w:rsidRPr="00000000">
          <w:rPr>
            <w:color w:val="000000"/>
            <w:u w:val="none"/>
            <w:rtl w:val="0"/>
          </w:rPr>
          <w:t xml:space="preserve">https://datasus.saude.gov.br/</w:t>
        </w:r>
      </w:hyperlink>
      <w:r w:rsidDel="00000000" w:rsidR="00000000" w:rsidRPr="00000000">
        <w:rPr>
          <w:rtl w:val="0"/>
        </w:rPr>
        <w:t xml:space="preserve">. Acesso em: 9 nov. 2025.</w:t>
      </w:r>
    </w:p>
    <w:p w:rsidR="00000000" w:rsidDel="00000000" w:rsidP="00000000" w:rsidRDefault="00000000" w:rsidRPr="00000000" w14:paraId="000000C0">
      <w:pPr>
        <w:ind w:left="0" w:firstLine="0"/>
        <w:rPr/>
      </w:pPr>
      <w:r w:rsidDel="00000000" w:rsidR="00000000" w:rsidRPr="00000000">
        <w:rPr>
          <w:rtl w:val="0"/>
        </w:rPr>
        <w:t xml:space="preserve">BRASIL. SECRETARIA NACIONAL DE TRÂNSITO (SENATRAN). </w:t>
      </w:r>
      <w:r w:rsidDel="00000000" w:rsidR="00000000" w:rsidRPr="00000000">
        <w:rPr>
          <w:i w:val="1"/>
          <w:iCs w:val="1"/>
          <w:rtl w:val="0"/>
        </w:rPr>
        <w:t xml:space="preserve">Estatísticas de Trânsito e Frota Veicular Nacional.</w:t>
      </w:r>
      <w:r w:rsidDel="00000000" w:rsidR="00000000" w:rsidRPr="00000000">
        <w:rPr>
          <w:rtl w:val="0"/>
        </w:rPr>
        <w:t xml:space="preserve"> Brasília: Ministério dos Transportes, 2015–2024. Disponível em: https://www.gov.br/senatran. Acesso em: 9 nov. 2025.</w:t>
      </w:r>
    </w:p>
    <w:p w:rsidR="00000000" w:rsidDel="00000000" w:rsidP="00000000" w:rsidRDefault="00000000" w:rsidRPr="00000000" w14:paraId="000000C1">
      <w:pPr>
        <w:ind w:left="0" w:firstLine="0"/>
        <w:rPr/>
      </w:pPr>
      <w:r w:rsidDel="00000000" w:rsidR="00000000" w:rsidRPr="00000000">
        <w:rPr>
          <w:rtl w:val="0"/>
        </w:rPr>
        <w:t xml:space="preserve">BRASIL. POLÍCIA RODOVIÁRIA FEDERAL (PRF). </w:t>
      </w:r>
      <w:r w:rsidDel="00000000" w:rsidR="00000000" w:rsidRPr="00000000">
        <w:rPr>
          <w:i w:val="1"/>
          <w:iCs w:val="1"/>
          <w:rtl w:val="0"/>
        </w:rPr>
        <w:t xml:space="preserve">Anuário Estatístico da Polícia Rodoviária Federal: Acidentes nas Rodovias Federais Brasileiras 2015–2024.</w:t>
      </w:r>
      <w:r w:rsidDel="00000000" w:rsidR="00000000" w:rsidRPr="00000000">
        <w:rPr>
          <w:rtl w:val="0"/>
        </w:rPr>
        <w:t xml:space="preserve"> Brasília: PRF, 2024. Disponível em: https://www.gov.br/prf. Acesso em: 9 nov. 2025.</w:t>
      </w:r>
    </w:p>
    <w:p w:rsidR="00000000" w:rsidDel="00000000" w:rsidP="00000000" w:rsidRDefault="00000000" w:rsidRPr="00000000" w14:paraId="000000C2">
      <w:pPr>
        <w:ind w:left="0" w:firstLine="0"/>
        <w:rPr/>
      </w:pPr>
      <w:r w:rsidDel="00000000" w:rsidR="00000000" w:rsidRPr="00000000">
        <w:rPr>
          <w:rtl w:val="0"/>
        </w:rPr>
        <w:t xml:space="preserve">BRASIL. REGISTRO NACIONAL DE ACIDENTES E ESTATÍSTICAS DE TRÂNSITO (RENAEST). </w:t>
      </w:r>
      <w:r w:rsidDel="00000000" w:rsidR="00000000" w:rsidRPr="00000000">
        <w:rPr>
          <w:i w:val="1"/>
          <w:iCs w:val="1"/>
          <w:rtl w:val="0"/>
        </w:rPr>
        <w:t xml:space="preserve">Base de Dados Estatísticos Nacionais de Trânsito – 2015–2024.</w:t>
      </w:r>
      <w:r w:rsidDel="00000000" w:rsidR="00000000" w:rsidRPr="00000000">
        <w:rPr>
          <w:rtl w:val="0"/>
        </w:rPr>
        <w:t xml:space="preserve"> Brasília: SENATRAN, 2024. Disponível em: https://www.gov.br/senatran/pt-br/assuntos/renaest. Acesso em: 9 nov. 2025.</w:t>
      </w:r>
    </w:p>
    <w:p w:rsidR="00000000" w:rsidDel="00000000" w:rsidP="00000000" w:rsidRDefault="00000000" w:rsidRPr="00000000" w14:paraId="000000C3">
      <w:pPr>
        <w:ind w:left="0" w:firstLine="0"/>
        <w:rPr/>
      </w:pPr>
      <w:r w:rsidDel="00000000" w:rsidR="00000000" w:rsidRPr="00000000">
        <w:rPr>
          <w:rtl w:val="0"/>
        </w:rPr>
        <w:t xml:space="preserve">BRASIL. MINISTÉRIO DA SAÚDE. </w:t>
      </w:r>
      <w:r w:rsidDel="00000000" w:rsidR="00000000" w:rsidRPr="00000000">
        <w:rPr>
          <w:i w:val="1"/>
          <w:iCs w:val="1"/>
          <w:rtl w:val="0"/>
        </w:rPr>
        <w:t xml:space="preserve">Política Nacional de Redução da Morbimortalidade por Acidentes e Violências.</w:t>
      </w:r>
      <w:r w:rsidDel="00000000" w:rsidR="00000000" w:rsidRPr="00000000">
        <w:rPr>
          <w:rtl w:val="0"/>
        </w:rPr>
        <w:t xml:space="preserve"> Brasília: MS, 2022. Disponível em: </w:t>
      </w:r>
      <w:hyperlink r:id="rId11">
        <w:r w:rsidDel="00000000" w:rsidR="00000000" w:rsidRPr="00000000">
          <w:rPr>
            <w:color w:val="000000"/>
            <w:u w:val="none"/>
            <w:rtl w:val="0"/>
          </w:rPr>
          <w:t xml:space="preserve">https://bvsms.saude.gov.br/</w:t>
        </w:r>
      </w:hyperlink>
      <w:r w:rsidDel="00000000" w:rsidR="00000000" w:rsidRPr="00000000">
        <w:rPr>
          <w:rtl w:val="0"/>
        </w:rPr>
        <w:t xml:space="preserve">. Acesso em: 9 nov. 2025.</w:t>
      </w:r>
    </w:p>
    <w:p w:rsidR="00000000" w:rsidDel="00000000" w:rsidP="00000000" w:rsidRDefault="00000000" w:rsidRPr="00000000" w14:paraId="000000C4">
      <w:pPr>
        <w:ind w:left="0" w:firstLine="0"/>
        <w:rPr/>
      </w:pPr>
      <w:r w:rsidDel="00000000" w:rsidR="00000000" w:rsidRPr="00000000">
        <w:rPr>
          <w:rtl w:val="0"/>
        </w:rPr>
        <w:t xml:space="preserve">ORGANIZAÇÃO MUNDIAL DA SAÚDE (OMS). </w:t>
      </w:r>
      <w:r w:rsidDel="00000000" w:rsidR="00000000" w:rsidRPr="00000000">
        <w:rPr>
          <w:i w:val="1"/>
          <w:iCs w:val="1"/>
          <w:rtl w:val="0"/>
        </w:rPr>
        <w:t xml:space="preserve">Global Status Report on Road Safety 2023.</w:t>
      </w:r>
      <w:r w:rsidDel="00000000" w:rsidR="00000000" w:rsidRPr="00000000">
        <w:rPr>
          <w:rtl w:val="0"/>
        </w:rPr>
        <w:t xml:space="preserve"> Geneva: World Health Organization, 2023. Disponível em: </w:t>
      </w:r>
      <w:hyperlink r:id="rId12">
        <w:r w:rsidDel="00000000" w:rsidR="00000000" w:rsidRPr="00000000">
          <w:rPr>
            <w:color w:val="000000"/>
            <w:u w:val="none"/>
            <w:rtl w:val="0"/>
          </w:rPr>
          <w:t xml:space="preserve">https://www.who.int/publications/i/item/9789240073362</w:t>
        </w:r>
      </w:hyperlink>
      <w:r w:rsidDel="00000000" w:rsidR="00000000" w:rsidRPr="00000000">
        <w:rPr>
          <w:rtl w:val="0"/>
        </w:rPr>
        <w:t xml:space="preserve">. Acesso em: 9 nov. 2025.</w:t>
      </w:r>
    </w:p>
    <w:p w:rsidR="00000000" w:rsidDel="00000000" w:rsidP="00000000" w:rsidRDefault="00000000" w:rsidRPr="00000000" w14:paraId="000000C5">
      <w:pPr>
        <w:spacing w:after="240" w:before="240" w:lineRule="auto"/>
        <w:ind w:left="0" w:firstLine="0"/>
        <w:rPr>
          <w:sz w:val="20"/>
          <w:szCs w:val="20"/>
        </w:rPr>
      </w:pPr>
      <w:r w:rsidDel="00000000" w:rsidR="00000000" w:rsidRPr="00000000">
        <w:rPr>
          <w:rtl w:val="0"/>
        </w:rPr>
      </w:r>
    </w:p>
    <w:sectPr>
      <w:headerReference r:id="rId13" w:type="default"/>
      <w:headerReference r:id="rId14" w:type="first"/>
      <w:pgSz w:h="16840" w:w="11907" w:orient="portrait"/>
      <w:pgMar w:bottom="1134" w:top="1701" w:left="1701" w:right="1134" w:header="11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419"/>
        <w:tab w:val="right" w:leader="none" w:pos="8838"/>
      </w:tabs>
      <w:ind w:left="0" w:right="360" w:firstLine="851"/>
      <w:jc w:val="center"/>
      <w:rPr>
        <w:color w:val="000000"/>
      </w:rPr>
    </w:pPr>
    <w:r w:rsidDel="00000000" w:rsidR="00000000" w:rsidRPr="00000000">
      <w:rPr>
        <w:color w:val="000000"/>
      </w:rPr>
      <w:drawing>
        <wp:inline distB="0" distT="0" distL="0" distR="0">
          <wp:extent cx="4268680" cy="736371"/>
          <wp:effectExtent b="0" l="0" r="0" t="0"/>
          <wp:docPr descr="A picture containing logo&#10;&#10;Description automatically generated" id="1" name="image1.png"/>
          <a:graphic>
            <a:graphicData uri="http://schemas.openxmlformats.org/drawingml/2006/picture">
              <pic:pic>
                <pic:nvPicPr>
                  <pic:cNvPr descr="A picture containing logo&#10;&#10;Description automatically generated" id="0" name="image1.png"/>
                  <pic:cNvPicPr preferRelativeResize="0"/>
                </pic:nvPicPr>
                <pic:blipFill>
                  <a:blip r:embed="rId1"/>
                  <a:srcRect b="0" l="0" r="0" t="0"/>
                  <a:stretch>
                    <a:fillRect/>
                  </a:stretch>
                </pic:blipFill>
                <pic:spPr>
                  <a:xfrm>
                    <a:off x="0" y="0"/>
                    <a:ext cx="4268680" cy="736371"/>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419"/>
        <w:tab w:val="right" w:leader="none" w:pos="8838"/>
      </w:tabs>
      <w:ind w:right="360"/>
      <w:jc w:val="right"/>
      <w:rPr>
        <w:color w:val="000000"/>
      </w:rPr>
    </w:pP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lvl>
    <w:lvl w:ilvl="1">
      <w:start w:val="2"/>
      <w:numFmt w:val="decimal"/>
      <w:lvlText w:val="%1.%2"/>
      <w:lvlJc w:val="left"/>
      <w:pPr>
        <w:ind w:left="757" w:hanging="360"/>
      </w:pPr>
      <w:rPr/>
    </w:lvl>
    <w:lvl w:ilvl="2">
      <w:start w:val="1"/>
      <w:numFmt w:val="decimal"/>
      <w:lvlText w:val="%1.%2.%3"/>
      <w:lvlJc w:val="left"/>
      <w:pPr>
        <w:ind w:left="1304" w:hanging="720"/>
      </w:pPr>
      <w:rPr/>
    </w:lvl>
    <w:lvl w:ilvl="3">
      <w:start w:val="1"/>
      <w:numFmt w:val="decimal"/>
      <w:lvlText w:val="%1.%2.%3.%4"/>
      <w:lvlJc w:val="left"/>
      <w:pPr>
        <w:ind w:left="1491" w:hanging="720"/>
      </w:pPr>
      <w:rPr/>
    </w:lvl>
    <w:lvl w:ilvl="4">
      <w:start w:val="1"/>
      <w:numFmt w:val="decimal"/>
      <w:lvlText w:val="%1.%2.%3.%4.%5"/>
      <w:lvlJc w:val="left"/>
      <w:pPr>
        <w:ind w:left="2038" w:hanging="1080"/>
      </w:pPr>
      <w:rPr/>
    </w:lvl>
    <w:lvl w:ilvl="5">
      <w:start w:val="1"/>
      <w:numFmt w:val="decimal"/>
      <w:lvlText w:val="%1.%2.%3.%4.%5.%6"/>
      <w:lvlJc w:val="left"/>
      <w:pPr>
        <w:ind w:left="2225" w:hanging="1080"/>
      </w:pPr>
      <w:rPr/>
    </w:lvl>
    <w:lvl w:ilvl="6">
      <w:start w:val="1"/>
      <w:numFmt w:val="decimal"/>
      <w:lvlText w:val="%1.%2.%3.%4.%5.%6.%7"/>
      <w:lvlJc w:val="left"/>
      <w:pPr>
        <w:ind w:left="2772" w:hanging="1440"/>
      </w:pPr>
      <w:rPr/>
    </w:lvl>
    <w:lvl w:ilvl="7">
      <w:start w:val="1"/>
      <w:numFmt w:val="decimal"/>
      <w:lvlText w:val="%1.%2.%3.%4.%5.%6.%7.%8"/>
      <w:lvlJc w:val="left"/>
      <w:pPr>
        <w:ind w:left="2959" w:hanging="1440.0000000000002"/>
      </w:pPr>
      <w:rPr/>
    </w:lvl>
    <w:lvl w:ilvl="8">
      <w:start w:val="1"/>
      <w:numFmt w:val="decimal"/>
      <w:lvlText w:val="%1.%2.%3.%4.%5.%6.%7.%8.%9"/>
      <w:lvlJc w:val="left"/>
      <w:pPr>
        <w:ind w:left="3506" w:hanging="1799.9999999999998"/>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spacing w:after="120" w:before="120" w:lineRule="auto"/>
        <w:ind w:left="284"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Lines w:val="1"/>
      <w:widowControl w:val="0"/>
      <w:ind w:left="720" w:hanging="720"/>
    </w:pPr>
    <w:rPr>
      <w:rFonts w:ascii="Calibri" w:cs="Calibri" w:eastAsia="Calibri" w:hAnsi="Calibri"/>
      <w:b w:val="1"/>
      <w:bCs w:val="1"/>
      <w:color w:val="000000"/>
    </w:rPr>
  </w:style>
  <w:style w:type="paragraph" w:styleId="Heading2">
    <w:name w:val="heading 2"/>
    <w:basedOn w:val="Normal"/>
    <w:next w:val="Normal"/>
    <w:pPr>
      <w:keepNext w:val="1"/>
      <w:ind w:left="964" w:hanging="567"/>
    </w:pPr>
    <w:rPr>
      <w:rFonts w:ascii="Calibri" w:cs="Calibri" w:eastAsia="Calibri" w:hAnsi="Calibri"/>
      <w:i w:val="1"/>
      <w:iCs w:val="1"/>
      <w:color w:val="000000"/>
    </w:rPr>
  </w:style>
  <w:style w:type="paragraph" w:styleId="Heading3">
    <w:name w:val="heading 3"/>
    <w:basedOn w:val="Normal"/>
    <w:next w:val="Normal"/>
    <w:pPr>
      <w:keepNext w:val="1"/>
      <w:spacing w:after="60" w:before="240" w:line="480" w:lineRule="auto"/>
    </w:pPr>
    <w:rPr>
      <w:b w:val="1"/>
      <w:bCs w:val="1"/>
      <w:color w:val="000000"/>
    </w:rPr>
  </w:style>
  <w:style w:type="paragraph" w:styleId="Heading4">
    <w:name w:val="heading 4"/>
    <w:basedOn w:val="Normal"/>
    <w:next w:val="Normal"/>
    <w:pPr>
      <w:keepNext w:val="1"/>
      <w:spacing w:after="60" w:before="240" w:line="480" w:lineRule="auto"/>
    </w:pPr>
    <w:rPr>
      <w:b w:val="1"/>
      <w:bCs w:val="1"/>
      <w:color w:val="000000"/>
    </w:rPr>
  </w:style>
  <w:style w:type="paragraph" w:styleId="Heading5">
    <w:name w:val="heading 5"/>
    <w:basedOn w:val="Normal"/>
    <w:next w:val="Normal"/>
    <w:pPr>
      <w:keepNext w:val="1"/>
      <w:spacing w:after="60" w:before="240" w:line="480" w:lineRule="auto"/>
    </w:pPr>
    <w:rPr>
      <w:b w:val="1"/>
      <w:bCs w:val="1"/>
      <w:color w:val="000000"/>
    </w:rPr>
  </w:style>
  <w:style w:type="paragraph" w:styleId="Heading6">
    <w:name w:val="heading 6"/>
    <w:basedOn w:val="Normal"/>
    <w:next w:val="Normal"/>
    <w:pPr>
      <w:keepNext w:val="1"/>
      <w:jc w:val="center"/>
    </w:pPr>
    <w:rPr>
      <w:rFonts w:ascii="Arial" w:cs="Arial" w:eastAsia="Arial" w:hAnsi="Arial"/>
      <w:b w:val="1"/>
      <w:bCs w:val="1"/>
      <w:sz w:val="28"/>
      <w:szCs w:val="28"/>
    </w:rPr>
  </w:style>
  <w:style w:type="paragraph" w:styleId="Title">
    <w:name w:val="Title"/>
    <w:basedOn w:val="Normal"/>
    <w:next w:val="Normal"/>
    <w:pPr>
      <w:ind w:left="0" w:firstLine="0"/>
      <w:jc w:val="center"/>
    </w:pPr>
    <w:rPr>
      <w:b w:val="1"/>
      <w:bCs w:val="1"/>
      <w:smallCaps w:val="1"/>
      <w:sz w:val="40"/>
      <w:szCs w:val="40"/>
    </w:rPr>
  </w:style>
  <w:style w:type="paragraph" w:styleId="Subtitle">
    <w:name w:val="Subtitle"/>
    <w:basedOn w:val="Normal"/>
    <w:next w:val="Normal"/>
    <w:pPr>
      <w:spacing w:after="160" w:lineRule="auto"/>
      <w:ind w:left="288"/>
    </w:pPr>
    <w:rPr>
      <w:color w:val="5a5a5a"/>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bvsms.saude.gov.br/" TargetMode="External"/><Relationship Id="rId10" Type="http://schemas.openxmlformats.org/officeDocument/2006/relationships/hyperlink" Target="https://datasus.saude.gov.br/?utm_source=chatgpt.com" TargetMode="External"/><Relationship Id="rId13" Type="http://schemas.openxmlformats.org/officeDocument/2006/relationships/header" Target="header1.xml"/><Relationship Id="rId12" Type="http://schemas.openxmlformats.org/officeDocument/2006/relationships/hyperlink" Target="https://www.who.int/publications/i/item/97892400733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lara-vit%C3%B3ria-almeida-fernandes-83599b2a4?utm_source=share&amp;utm_campaign=share_via&amp;utm_content=profile&amp;utm_medium=android_app" TargetMode="Externa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linkedin.com/in/andre-alves-a20a691bb" TargetMode="External"/><Relationship Id="rId7" Type="http://schemas.openxmlformats.org/officeDocument/2006/relationships/hyperlink" Target="https://www.linkedin.com/in/anny-corsi-6744a82b9?utm_source=share&amp;utm_campaign=share_via&amp;utm_content=profile&amp;utm_medium=android_app" TargetMode="External"/><Relationship Id="rId8" Type="http://schemas.openxmlformats.org/officeDocument/2006/relationships/hyperlink" Target="https://www.linkedin.com/in/fabrina-camargo-385703302?utm_source=share&amp;utm_campaign=share_via&amp;utm_content=profile&amp;utm_medium=android_ap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