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Adverse Media Review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{agent}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{reviewDate}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08" w:right="0" w:hanging="108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registrazione: {registrationDate}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Documenti inviati: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Informazioni aggiuntive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{#documentsSent}{document}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{status}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{info}{/documentsSent}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Primo importo depositato: {firstDeposit}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Deposito totale nel tempo: {totalDeposited}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Età del cliente: {age}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e luogo di nascita: {birthplace}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Posizione di login più recente: Accesso più recente il {latestLogin} da IP {latestLoginIP} ({latestLoginNationality}).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{#reputationalIndicatorsRich}</w:t>
      </w:r>
    </w:p>
    <w:p w:rsidR="00000000" w:rsidDel="00000000" w:rsidP="00000000" w:rsidRDefault="00000000" w:rsidRPr="00000000" w14:paraId="00000020">
      <w:pPr>
        <w:spacing w:after="160" w:line="259" w:lineRule="auto"/>
        <w:rPr/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{prefix}{#hasLink}{^link}{/hasLink}{^hasLink}{authorLabel}{/hasLink}{suffix}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{/reputationalIndicatorsRich}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sz w:val="22"/>
          <w:szCs w:val="22"/>
          <w:rtl w:val="0"/>
        </w:rPr>
        <w:t xml:space="preserve">Conclusioni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headerReference r:id="rId6" w:type="default"/>
      <w:footerReference r:id="rId7" w:type="default"/>
      <w:pgSz w:h="142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>{authorLabel}</w:t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2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