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  <w:r>
        <w:t xml:space="preserve"/>
      </w:r>
    </w:p>
    <w:p>
      <w:pPr>
        <w:spacing w:after="40"/>
      </w:pPr>
      <w:r>
        <w:rPr>
          <w:b/>
          <w:bCs/>
          <w:color w:val="2E5496"/>
          <w:spacing w:val="60"/>
          <w:sz w:val="26"/>
          <w:szCs w:val="26"/>
        </w:rPr>
        <w:t xml:space="preserve">ANALISI TECNICA</w:t>
      </w:r>
    </w:p>
    <w:p>
      <w:pPr>
        <w:pStyle w:val="Title"/>
        <w:spacing w:after="60"/>
      </w:pPr>
      <w:r>
        <w:t xml:space="preserve">Il Sistema AlgoEagle</w:t>
      </w:r>
    </w:p>
    <w:p>
      <w:pPr>
        <w:spacing w:after="260"/>
      </w:pPr>
      <w:r>
        <w:rPr>
          <w:color w:val="404040"/>
          <w:sz w:val="26"/>
          <w:szCs w:val="26"/>
        </w:rPr>
        <w:t xml:space="preserve">Studio approfondito di metodologia, output e track record</w:t>
      </w:r>
    </w:p>
    <w:p>
      <w:pPr>
        <w:pBdr>
          <w:bottom w:val="single" w:color="2E5496" w:sz="6" w:space="1"/>
        </w:pBdr>
        <w:spacing w:after="12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Oggetto:  </w:t>
      </w:r>
      <w:r>
        <w:t xml:space="preserve">comprensione del processo d’investimento quantitativo di AlgoEagle Sagl come base per valutare la costruzione di un tool proprietario di asset allocation per LFG.</w:t>
      </w:r>
    </w:p>
    <w:p>
      <w:pPr>
        <w:spacing w:after="120" w:line="276"/>
      </w:pPr>
      <w:r>
        <w:rPr>
          <w:b/>
          <w:bCs/>
        </w:rPr>
        <w:t xml:space="preserve">Fase:  </w:t>
      </w:r>
      <w:r>
        <w:t xml:space="preserve">0 — Analisi e comprensione (nessuna implementazione in questo stadio).</w:t>
      </w:r>
    </w:p>
    <w:p>
      <w:pPr>
        <w:spacing w:after="120" w:line="276"/>
      </w:pPr>
      <w:r>
        <w:rPr>
          <w:b/>
          <w:bCs/>
        </w:rPr>
        <w:t xml:space="preserve">Fonti:  </w:t>
      </w:r>
      <w:r>
        <w:t xml:space="preserve">Investment Process (43 slide), Risk Software (24 slide), report mensili Early/Mid June 2026 (67/71 pagine), report settimanale (22 pagine), file di asset allocation EUR/USD, report PortfolioAnalyst di Interactive Brokers.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0FA" w:sz="1"/>
              <w:left w:val="single" w:color="1F3864" w:sz="18"/>
              <w:bottom w:val="single" w:color="EAF0FA" w:sz="1"/>
              <w:right w:val="single" w:color="EAF0FA" w:sz="1"/>
            </w:tcBorders>
            <w:shd w:fill="EAF0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In una riga</w:t>
            </w:r>
          </w:p>
          <w:p>
            <w:pPr>
              <w:spacing w:after="0" w:line="268"/>
            </w:pPr>
            <w:r>
              <w:rPr>
                <w:i/>
                <w:iCs/>
                <w:sz w:val="21"/>
                <w:szCs w:val="21"/>
              </w:rPr>
              <w:t xml:space="preserve">AlgoEagle non è “un algoritmo” ma una pipeline quantitativa a quattro stadi (Segnali → Ottimizzazione → Backtesting → Risk Management). Il ~70-75% è ricostruibile con strumenti open source; il ~25-30% che fa la differenza — il regime di mercato letto dalle opzioni — è il vero know-how proprietario.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bCs/>
          <w:color w:val="1F3864"/>
          <w:sz w:val="28"/>
          <w:szCs w:val="28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 Sintesi esecutiva</w:t>
      </w:r>
    </w:p>
    <w:p>
      <w:pPr>
        <w:spacing w:after="120" w:line="276"/>
      </w:pPr>
      <w:r>
        <w:t xml:space="preserve">Il sistema AlgoEagle è un processo d’investimento quantitativo completo e coerente, non un singolo modello. La sua logica portante è la </w:t>
      </w:r>
      <w:r>
        <w:rPr>
          <w:b/>
          <w:bCs/>
        </w:rPr>
        <w:t xml:space="preserve">lettura del rischio prezzato dalle opzioni</w:t>
      </w:r>
      <w:r>
        <w:t xml:space="preserve"> tramite financial machine learning, declinata in tre cadenze (mensile, metà mese, settimanale) e tre profili di rischio (Moderato, Bilanciato, Elevato).</w:t>
      </w:r>
    </w:p>
    <w:p>
      <w:pPr>
        <w:spacing w:after="120" w:line="276"/>
      </w:pPr>
      <w:r>
        <w:t xml:space="preserve">Per il progetto LFG, l’obiettivo non è clonare il sistema — dietro ci sono anni di sviluppo — ma </w:t>
      </w:r>
      <w:r>
        <w:rPr>
          <w:b/>
          <w:bCs/>
        </w:rPr>
        <w:t xml:space="preserve">capirlo a fondo e decidere cosa ricostruire e cosa adattare</w:t>
      </w:r>
      <w:r>
        <w:t xml:space="preserve">. Questa analisi è la base di partenza.</w:t>
      </w:r>
    </w:p>
    <w:p>
      <w:pPr>
        <w:pStyle w:val="Heading3"/>
      </w:pPr>
      <w:r>
        <w:t xml:space="preserve">Conclusioni principali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È un processo, non un modello. </w:t>
      </w:r>
      <w:r>
        <w:t xml:space="preserve">Quattro stadi integrati, con razionale economico esplicito per ogni componente (“no black box”).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Il cuore proprietario è il regime da opzioni. </w:t>
      </w:r>
      <w:r>
        <w:t xml:space="preserve">La scomposizione della volatilità implicita in componente di lungo e di breve termine, tradotta in segnale Bull/Bear per asset class, non è in alcuna libreria pubblica.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Gran parte del resto è ricostruibile. </w:t>
      </w:r>
      <w:r>
        <w:t xml:space="preserve">Risk management, ottimizzazione multi-modello e data pipeline poggiano su tecniche note e librerie open source mature (in particolare Riskfolio-Lib e l’ecosistema di López de Prado).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Track record incoraggiante ma corto. </w:t>
      </w:r>
      <w:r>
        <w:t xml:space="preserve">13 mesi live, Sharpe 1.53, Max Drawdown 4.5% — da stressare su scenari avversi prima di trarne conclusioni.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0FA" w:sz="1"/>
              <w:left w:val="single" w:color="548235" w:sz="18"/>
              <w:bottom w:val="single" w:color="EAF0FA" w:sz="1"/>
              <w:right w:val="single" w:color="EAF0FA" w:sz="1"/>
            </w:tcBorders>
            <w:shd w:fill="EAF0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Stima di replicabilità complessiva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~70-75% del sistema ricostruibile con strumenti pubblici e buona ingegnerizzazione. ~25-30% (regime da opzioni, alpha crash, tuning dei forecast) richiede ricerca propria o una collaborazione/licenza.</w:t>
            </w:r>
          </w:p>
        </w:tc>
      </w:tr>
    </w:tbl>
    <w:p>
      <w:pPr>
        <w:pStyle w:val="Heading1"/>
      </w:pPr>
      <w:r>
        <w:t xml:space="preserve">2.  I materiali: tre categorie diverse</w:t>
      </w:r>
    </w:p>
    <w:p>
      <w:pPr>
        <w:spacing w:after="120" w:line="276"/>
      </w:pPr>
      <w:r>
        <w:t xml:space="preserve">Punto di partenza essenziale, perché cambia la lettura di tutto: i file ricevuti </w:t>
      </w:r>
      <w:r>
        <w:rPr>
          <w:b/>
          <w:bCs/>
        </w:rPr>
        <w:t xml:space="preserve">non sono tutti la stessa cosa</w:t>
      </w:r>
      <w:r>
        <w:t xml:space="preserve">. Si dividono in tre famiglie nettamente distinte.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4360"/>
        <w:gridCol w:w="2360"/>
      </w:tblGrid>
      <w:tr>
        <w:trPr>
          <w:tblHeader/>
        </w:trP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Cosa è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A) Metodologia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Investment_Process.pdf (43 slide)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Documento-chiave: l’intero processo end-to-end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A) Metodologia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Risk_Software.pptx (24 slide)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Il modulo di risk management stratificato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B) Output operativi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Report_Portfolio_Early/Mid_June (67/71 pp)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Il report mensile completo (motore dei segnali)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B) Output operativi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Weekly_22_06_2026.pdf (22 pp)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 settimanale ridotto (regimi + overbought)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B) Output operativi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Summary_06_2026_EUR_USD.xlsx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Asset allocation: 3 profili × 2 valute</w:t>
            </w:r>
          </w:p>
        </w:tc>
      </w:tr>
      <w:tr>
        <w:tc>
          <w:tcPr>
            <w:tcW w:type="dxa" w:w="26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D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C) Track record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Global_Macro_*.pdf (×2)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 PortfolioAnalyst di Interactive Brokers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2CC" w:sz="1"/>
              <w:left w:val="single" w:color="BF8F00" w:sz="18"/>
              <w:bottom w:val="single" w:color="FFF2CC" w:sz="1"/>
              <w:right w:val="single" w:color="FFF2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Attenzione — un equivoco da evitare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I due file “Global_Macro” </w:t>
            </w:r>
            <w:r>
              <w:rPr>
                <w:b/>
                <w:bCs/>
                <w:sz w:val="20"/>
                <w:szCs w:val="20"/>
              </w:rPr>
              <w:t xml:space="preserve">non sono report macro</w:t>
            </w:r>
            <w:r>
              <w:rPr>
                <w:sz w:val="20"/>
                <w:szCs w:val="20"/>
              </w:rPr>
              <w:t xml:space="preserve">. Sono i report PortfolioAnalyst del conto reale Interactive Brokers (strategia “ALGO_Bilanciato_EUR”, account DUM588273): sono la prova del track record, non un’analisi di mercato.</w:t>
            </w:r>
          </w:p>
        </w:tc>
      </w:tr>
    </w:tbl>
    <w:p>
      <w:pPr>
        <w:spacing w:after="120" w:line="276"/>
      </w:pPr>
      <w:r>
        <w:t xml:space="preserve">Regola da fissare nel progetto: </w:t>
      </w:r>
      <w:r>
        <w:rPr>
          <w:b/>
          <w:bCs/>
        </w:rPr>
        <w:t xml:space="preserve">metodologia ≠ output ≠ track record</w:t>
      </w:r>
      <w:r>
        <w:t xml:space="preserve">. La replica riguarderà soprattutto la ricostruzione del motore che produce gli output (B), guidata dai documenti metodologici (A).</w:t>
      </w:r>
    </w:p>
    <w:p>
      <w:pPr>
        <w:pStyle w:val="Heading1"/>
      </w:pPr>
      <w:r>
        <w:t xml:space="preserve">3.  L’architettura in quattro stadi</w:t>
      </w:r>
    </w:p>
    <w:p>
      <w:pPr>
        <w:spacing w:after="120" w:line="276"/>
      </w:pPr>
      <w:r>
        <w:t xml:space="preserve">AlgoEagle si definisce “not a model but a full investment process”. La spina dorsale è una pipeline a quattro stadi: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3000"/>
        <w:gridCol w:w="5540"/>
      </w:tblGrid>
      <w:tr>
        <w:trPr>
          <w:tblHeader/>
        </w:trP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Stadio</w:t>
            </w:r>
          </w:p>
        </w:tc>
        <w:tc>
          <w:tcPr>
            <w:tcW w:type="dxa" w:w="5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Contenuto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Securities &amp; Signals</w:t>
            </w:r>
          </w:p>
        </w:tc>
        <w:tc>
          <w:tcPr>
            <w:tcW w:type="dxa" w:w="5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Segnali mensili, data management, security selection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Portfolio Optimization</w:t>
            </w:r>
          </w:p>
        </w:tc>
        <w:tc>
          <w:tcPr>
            <w:tcW w:type="dxa" w:w="5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40+ modelli in parallelo → media dei 4 migliori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Backtesting</w:t>
            </w:r>
          </w:p>
        </w:tc>
        <w:tc>
          <w:tcPr>
            <w:tcW w:type="dxa" w:w="5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Walk-forward, cross-validation, permutation, simulazioni</w:t>
            </w:r>
          </w:p>
        </w:tc>
      </w:tr>
      <w:tr>
        <w:tc>
          <w:tcPr>
            <w:tcW w:type="dxa" w:w="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Risk Management</w:t>
            </w:r>
          </w:p>
        </w:tc>
        <w:tc>
          <w:tcPr>
            <w:tcW w:type="dxa" w:w="55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Stratificato su 5 linee di difesa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Il valore intellettuale si concentra nello </w:t>
      </w:r>
      <w:r>
        <w:rPr>
          <w:b/>
          <w:bCs/>
        </w:rPr>
        <w:t xml:space="preserve">Stadio 1</w:t>
      </w:r>
      <w:r>
        <w:t xml:space="preserve"> (lettura del rischio dalle opzioni) e nello </w:t>
      </w:r>
      <w:r>
        <w:rPr>
          <w:b/>
          <w:bCs/>
        </w:rPr>
        <w:t xml:space="preserve">Stadio 4</w:t>
      </w:r>
      <w:r>
        <w:t xml:space="preserve"> (risk management stratificato). Gli Stadi 2 e 3 sono sofisticati ma in larga parte basati su tecniche note — ed è lì che possiamo muoverci più velocemente.</w:t>
      </w:r>
    </w:p>
    <w:p>
      <w:pPr>
        <w:pStyle w:val="Heading1"/>
      </w:pPr>
      <w:r>
        <w:t xml:space="preserve">4.  Stadio 1 — Segnali (il vero “segreto”)</w:t>
      </w:r>
    </w:p>
    <w:p>
      <w:pPr>
        <w:spacing w:after="120" w:line="276"/>
      </w:pPr>
      <w:r>
        <w:t xml:space="preserve">Il report mensile produce, per </w:t>
      </w:r>
      <w:r>
        <w:rPr>
          <w:b/>
          <w:bCs/>
        </w:rPr>
        <w:t xml:space="preserve">ogni strumento</w:t>
      </w:r>
      <w:r>
        <w:t xml:space="preserve"> e ogni asset class, una tabella sintetica con cinque colonne di segnale che convergono in un giudizio finale (“SUMMARY”), ciascuna con una probabilità associata: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740"/>
        <w:gridCol w:w="1740"/>
        <w:gridCol w:w="1740"/>
        <w:gridCol w:w="2400"/>
      </w:tblGrid>
      <w:tr>
        <w:trPr>
          <w:tblHeader/>
        </w:trPr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A.I.</w:t>
            </w:r>
          </w:p>
        </w:tc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Alpha Crash</w:t>
            </w:r>
          </w:p>
        </w:tc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Trend</w:t>
            </w:r>
          </w:p>
        </w:tc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Oscillators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LONG</w:t>
            </w:r>
          </w:p>
        </w:tc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L</w:t>
            </w:r>
          </w:p>
        </w:tc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C00000"/>
                <w:sz w:val="19"/>
                <w:szCs w:val="19"/>
              </w:rPr>
              <w:t xml:space="preserve">Short</w:t>
            </w:r>
          </w:p>
        </w:tc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C00000"/>
                <w:sz w:val="19"/>
                <w:szCs w:val="19"/>
              </w:rPr>
              <w:t xml:space="preserve">Short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=/+</w:t>
            </w:r>
          </w:p>
        </w:tc>
      </w:tr>
      <w:tr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prob 0.69</w:t>
            </w:r>
          </w:p>
        </w:tc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0.75</w:t>
            </w:r>
          </w:p>
        </w:tc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0.625</w:t>
            </w:r>
          </w:p>
        </w:tc>
        <w:tc>
          <w:tcPr>
            <w:tcW w:type="dxa" w:w="17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0.472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0.625</w:t>
            </w:r>
          </w:p>
        </w:tc>
      </w:tr>
    </w:tbl>
    <w:p>
      <w:pPr>
        <w:spacing w:after="120" w:before="60"/>
      </w:pPr>
      <w:r>
        <w:rPr>
          <w:i/>
          <w:iCs/>
          <w:color w:val="595959"/>
          <w:sz w:val="18"/>
          <w:szCs w:val="18"/>
        </w:rPr>
        <w:t xml:space="preserve">Esempio reale: S&amp;P 500, report di inizio giugno 2026.</w:t>
      </w:r>
    </w:p>
    <w:p>
      <w:pPr>
        <w:pStyle w:val="Heading3"/>
      </w:pPr>
      <w:r>
        <w:t xml:space="preserve">I cinque elementi del framework predittivo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Regime Scanner (opzioni) — il pezzo proprietario. </w:t>
      </w:r>
      <w:r>
        <w:t xml:space="preserve">Identifica per ogni asset class se siamo in regime Bull o Bear leggendo il contenuto informativo delle opzioni. La volatilità implicita è forward-looking; scomponendola nelle componenti di lungo e di breve termine si ottiene il segnale di regime. Affiancati gli indici di vol ufficiali (VIX per l’equity, MOVE per il Treasury).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Trend Scanner. </w:t>
      </w:r>
      <w:r>
        <w:t xml:space="preserve">Cattura overbought/oversold critico misurando la forza del trend, con filtro di volatilità da opzioni. Scala colore da −20 (bearish forte) a +40 (bullish/overbought).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A.I. Forecast. </w:t>
      </w:r>
      <w:r>
        <w:t xml:space="preserve">Direzione di medio termine: mediana di un ensemble di Support Vector Machines. Restituisce segno atteso, confronto con la mediana storica, range interquantile 75-25 e raccomandazione.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Alpha Crash. </w:t>
      </w:r>
      <w:r>
        <w:t xml:space="preserve">Strategia long/short su futures pensata per rendere durante i crash (quando le correlazioni esplodono). Si basa su stagionalità × momentum, con posizioni inversamente proporzionali alla volatilità e un target di vol aggregato.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40+ indicatori tecnici. </w:t>
      </w:r>
      <w:r>
        <w:t xml:space="preserve">Fluttuazioni di breve termine.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0FA" w:sz="1"/>
              <w:left w:val="single" w:color="2E5496" w:sz="18"/>
              <w:bottom w:val="single" w:color="EAF0FA" w:sz="1"/>
              <w:right w:val="single" w:color="EAF0FA" w:sz="1"/>
            </w:tcBorders>
            <w:shd w:fill="EAF0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Probability Analysis — perché conta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Ogni segnale ha una probabilità/forza associata e — punto cruciale — la potenza predittiva di ciascun segnale cambia col regime. Questo è ciò che, a loro dire, genera l’overperformance di lungo periodo.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Copertura: </w:t>
      </w:r>
      <w:r>
        <w:t xml:space="preserve">26 indici azionari, 16 cambi valutari, 18 commodity, 15 ETF fixed-income + Bitcoin.</w:t>
      </w:r>
    </w:p>
    <w:p>
      <w:pPr>
        <w:spacing w:after="120" w:line="276"/>
      </w:pPr>
      <w:r>
        <w:rPr>
          <w:b/>
          <w:bCs/>
        </w:rPr>
        <w:t xml:space="preserve">Track record dei segnali: </w:t>
      </w:r>
      <w:r>
        <w:t xml:space="preserve">hit ratio medio mensile 0.77 (punte: NASDAQ 0.92, S&amp;P/DAX 0.86). Live dal gennaio 2024.</w:t>
      </w:r>
    </w:p>
    <w:p>
      <w:pPr>
        <w:spacing w:after="120"/>
      </w:pPr>
      <w:r>
        <w:t xml:space="preserve"/>
      </w:r>
    </w:p>
    <w:p>
      <w:pPr>
        <w:spacing w:after="40"/>
        <w:jc w:val="center"/>
      </w:pPr>
      <w:r>
        <w:drawing>
          <wp:inline distT="0" distB="0" distL="0" distR="0">
            <wp:extent cx="49530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95959"/>
          <w:sz w:val="17"/>
          <w:szCs w:val="17"/>
        </w:rPr>
        <w:t xml:space="preserve">Regimi Bull/Bear sulle commodity (dalla documentazione AlgoEagle): in regime “Bull” i rendimenti cumulati sono nettamente positivi; in “Bear” piatti o negativi.</w:t>
      </w:r>
    </w:p>
    <w:p>
      <w:pPr>
        <w:pStyle w:val="Heading1"/>
      </w:pPr>
      <w:r>
        <w:t xml:space="preserve">5.  Data management (lo strato che rende i segnali affidabili)</w:t>
      </w:r>
    </w:p>
    <w:p>
      <w:pPr>
        <w:spacing w:after="120" w:line="276"/>
      </w:pPr>
      <w:r>
        <w:t xml:space="preserve">Spesso sottovalutato, ma è dove si vince o si perde. Tre blocchi: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De-noising. </w:t>
      </w:r>
      <w:r>
        <w:t xml:space="preserve">Trattamento outlier e stazionarietà sugli indicatori; Fractional Differentiation sulle serie dei rendimenti (rende stazionario preservando memoria); PCA per de-noising della matrice varianza-covarianza.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Feature Selection. </w:t>
      </w:r>
      <w:r>
        <w:t xml:space="preserve">Per i modelli ML: Mean-Decrease Impurity, Mean-Decrease Accuracy, Probability-Weighted Accuracy. Per i modelli tecnici: mRMR, Local Feature Selection, MARS.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Model Selection. </w:t>
      </w:r>
      <w:r>
        <w:t xml:space="preserve">Nested Walk-Forward per evitare il selection bias.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1"/>
              <w:left w:val="single" w:color="548235" w:sz="18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Nota chiave per la replica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Tutto l’impianto (fractional differentiation, nested walk-forward, combinatorial purged cross-validation, probability analysis) è chiaramente ispirato a </w:t>
            </w:r>
            <w:r>
              <w:rPr>
                <w:i/>
                <w:iCs/>
                <w:sz w:val="20"/>
                <w:szCs w:val="20"/>
              </w:rPr>
              <w:t xml:space="preserve">Advances in Financial Machine Learning di Marcos López de Prado</w:t>
            </w:r>
            <w:r>
              <w:rPr>
                <w:sz w:val="20"/>
                <w:szCs w:val="20"/>
              </w:rPr>
              <w:t xml:space="preserve">. È letteratura pubblica, con codice open source disponibile — una buona notizia per noi.</w:t>
            </w:r>
          </w:p>
        </w:tc>
      </w:tr>
    </w:tbl>
    <w:p>
      <w:pPr>
        <w:pStyle w:val="Heading1"/>
      </w:pPr>
      <w:r>
        <w:t xml:space="preserve">6.  Stadio 2 — Portfolio Optimization (40+ modelli)</w:t>
      </w:r>
    </w:p>
    <w:p>
      <w:pPr>
        <w:spacing w:after="120" w:line="276"/>
      </w:pPr>
      <w:r>
        <w:t xml:space="preserve">Per ogni allocazione girano fino a </w:t>
      </w:r>
      <w:r>
        <w:rPr>
          <w:b/>
          <w:bCs/>
        </w:rPr>
        <w:t xml:space="preserve">40 modelli in parallelo</w:t>
      </w:r>
      <w:r>
        <w:t xml:space="preserve"> → 40 asset allocation → un Nested Walk-Forward seleziona i </w:t>
      </w:r>
      <w:r>
        <w:rPr>
          <w:b/>
          <w:bCs/>
        </w:rPr>
        <w:t xml:space="preserve">4 migliori</w:t>
      </w:r>
      <w:r>
        <w:t xml:space="preserve"> → l’allocazione finale è la media semplice dei 4. I cinque set:</w:t>
      </w:r>
    </w:p>
    <w:p>
      <w:pPr>
        <w:pStyle w:val="Heading3"/>
      </w:pPr>
      <w:r>
        <w:t xml:space="preserve">Set 1 — Classics Revised</w:t>
      </w:r>
    </w:p>
    <w:p>
      <w:pPr>
        <w:spacing w:after="120" w:line="276"/>
      </w:pPr>
      <w:r>
        <w:t xml:space="preserve">Markowitz 2019 con minimizzazione drawdown, Kelly, Volatility/Reward-to-risk timing, Parametric Portfolio Policies, Risk Parity con risk factor.</w:t>
      </w:r>
    </w:p>
    <w:p>
      <w:pPr>
        <w:pStyle w:val="Heading3"/>
      </w:pPr>
      <w:r>
        <w:t xml:space="preserve">Set 2 — Bayesiani</w:t>
      </w:r>
    </w:p>
    <w:p>
      <w:pPr>
        <w:spacing w:after="120" w:line="276"/>
      </w:pPr>
      <w:r>
        <w:t xml:space="preserve">Jorion, Black-Litterman, Meucci.</w:t>
      </w:r>
    </w:p>
    <w:p>
      <w:pPr>
        <w:pStyle w:val="Heading3"/>
      </w:pPr>
      <w:r>
        <w:t xml:space="preserve">Set 3 — Online Portfolio Optimization</w:t>
      </w:r>
    </w:p>
    <w:p>
      <w:pPr>
        <w:spacing w:after="120" w:line="276"/>
      </w:pPr>
      <w:r>
        <w:t xml:space="preserve">Momentum (Exponential Gradient, Follow-the-Leader / Regularized-Leader), Mean-Reversion (Anti-Correlation, PAMR, OLMAR, RMR), Pattern-Matching (kernel / nearest-neighbor log-optimal, CORN).</w:t>
      </w:r>
    </w:p>
    <w:p>
      <w:pPr>
        <w:pStyle w:val="Heading3"/>
      </w:pPr>
      <w:r>
        <w:t xml:space="preserve">Set 4 — Volatility &amp; Uncertainty Reduction</w:t>
      </w:r>
    </w:p>
    <w:p>
      <w:pPr>
        <w:spacing w:after="120" w:line="276"/>
      </w:pPr>
      <w:r>
        <w:t xml:space="preserve">Robust Optimization, Parameter Uncertainty, “Markowitz meets the Talmud”, “Markowitz meets Goldilocks”.</w:t>
      </w:r>
    </w:p>
    <w:p>
      <w:pPr>
        <w:pStyle w:val="Heading3"/>
      </w:pPr>
      <w:r>
        <w:t xml:space="preserve">Set 5 — A.I. Based</w:t>
      </w:r>
    </w:p>
    <w:p>
      <w:pPr>
        <w:spacing w:after="120" w:line="276"/>
      </w:pPr>
      <w:r>
        <w:t xml:space="preserve">Nested Clustered Optimization, Hierarchical Risk Parity, HERC, Deep Learning, Deep Reinforcement Learning.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FDA" w:sz="1"/>
              <w:left w:val="single" w:color="548235" w:sz="18"/>
              <w:bottom w:val="single" w:color="E2EFDA" w:sz="1"/>
              <w:right w:val="single" w:color="E2EFDA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Dove acceleriamo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Buona parte di questi modelli (HRP, HERC, NCO, Black-Litterman, Risk Parity, l’intera famiglia di risk measures) è già implementata in librerie mature — in particolare Riskfolio-Lib. Il meccanismo “40 modelli → media dei 4 migliori via nested walk-forward” è orchestrazione, non magia.</w:t>
            </w:r>
          </w:p>
        </w:tc>
      </w:tr>
    </w:tbl>
    <w:p>
      <w:pPr>
        <w:pStyle w:val="Heading1"/>
      </w:pPr>
      <w:r>
        <w:t xml:space="preserve">7.  Stadio 3 — Backtesting &amp; Analysis of Coherence</w:t>
      </w:r>
    </w:p>
    <w:p>
      <w:pPr>
        <w:spacing w:after="120" w:line="276"/>
      </w:pPr>
      <w:r>
        <w:rPr>
          <w:b/>
          <w:bCs/>
        </w:rPr>
        <w:t xml:space="preserve">Cinque approcci: </w:t>
      </w:r>
      <w:r>
        <w:t xml:space="preserve">Walk-Forward (basic/nested/con permutazione), Cross-Validation (basic/combinatorial/symmetric), Permutation Test (in/out of sample), Simulazioni (Monte Carlo, Historical Filtered, GAN), Controlled Environments (soglie e parametri ottimali).</w:t>
      </w:r>
    </w:p>
    <w:p>
      <w:pPr>
        <w:spacing w:after="120" w:line="276"/>
      </w:pPr>
      <w:r>
        <w:t xml:space="preserve">A questo affiancano l’</w:t>
      </w:r>
      <w:r>
        <w:rPr>
          <w:b/>
          <w:bCs/>
        </w:rPr>
        <w:t xml:space="preserve">Analysis of Coherence</w:t>
      </w:r>
      <w:r>
        <w:t xml:space="preserve">, un tratto distintivo intelligente: il backtest dice </w:t>
      </w:r>
      <w:r>
        <w:rPr>
          <w:i/>
          <w:iCs/>
        </w:rPr>
        <w:t xml:space="preserve">se</w:t>
      </w:r>
      <w:r>
        <w:t xml:space="preserve"> qualcosa funziona statisticamente; la coherence analysis dice </w:t>
      </w:r>
      <w:r>
        <w:rPr>
          <w:i/>
          <w:iCs/>
        </w:rPr>
        <w:t xml:space="preserve">perché</w:t>
      </w:r>
      <w:r>
        <w:t xml:space="preserve"> e </w:t>
      </w:r>
      <w:r>
        <w:rPr>
          <w:i/>
          <w:iCs/>
        </w:rPr>
        <w:t xml:space="preserve">in quali scenari</w:t>
      </w:r>
      <w:r>
        <w:t xml:space="preserve">. Identificano da dove arriva l’overperformance, legano una probabilità a ciascuno scenario e verificano che l’out-of-sample rispetti le aspettative. È il loro modo di difendersi dall’overfitting — e di poter dire “no black box”.</w:t>
      </w:r>
    </w:p>
    <w:p>
      <w:pPr>
        <w:pStyle w:val="Heading1"/>
      </w:pPr>
      <w:r>
        <w:t xml:space="preserve">8.  Stadio 4 — Risk Management Stratificato</w:t>
      </w:r>
    </w:p>
    <w:p>
      <w:pPr>
        <w:spacing w:after="120" w:line="276"/>
      </w:pPr>
      <w:r>
        <w:t xml:space="preserve">Il modulo di risk è il secondo pezzo forte. Due principi: </w:t>
      </w:r>
      <w:r>
        <w:rPr>
          <w:b/>
          <w:bCs/>
        </w:rPr>
        <w:t xml:space="preserve">stratificazione</w:t>
      </w:r>
      <w:r>
        <w:t xml:space="preserve"> (più misure di protezione per rendere il processo robusto) e </w:t>
      </w:r>
      <w:r>
        <w:rPr>
          <w:b/>
          <w:bCs/>
        </w:rPr>
        <w:t xml:space="preserve">proattività</w:t>
      </w:r>
      <w:r>
        <w:t xml:space="preserve"> (tagliare il rischio prima che le perdite si materializzino). Cinque linee di difesa: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700"/>
        <w:gridCol w:w="5880"/>
      </w:tblGrid>
      <w:tr>
        <w:trPr>
          <w:tblHeader/>
        </w:trP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Linea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Dimensione</w:t>
            </w:r>
          </w:p>
        </w:tc>
        <w:tc>
          <w:tcPr>
            <w:tcW w:type="dxa" w:w="5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Contenuto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Regimes</w:t>
            </w:r>
          </w:p>
        </w:tc>
        <w:tc>
          <w:tcPr>
            <w:tcW w:type="dxa" w:w="5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 asset class; in bear si evitano posizioni speculative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Aggregate Risk</w:t>
            </w:r>
          </w:p>
        </w:tc>
        <w:tc>
          <w:tcPr>
            <w:tcW w:type="dxa" w:w="5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VaR/CVaR sui soli dati del regime corrente; batteria di modelli + backtest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Factorial Risk</w:t>
            </w:r>
          </w:p>
        </w:tc>
        <w:tc>
          <w:tcPr>
            <w:tcW w:type="dxa" w:w="5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Scomposizione su fattori equity (MTUM, QUAL, SIZE, USMV, VLUE) e bond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Individual Risk</w:t>
            </w:r>
          </w:p>
        </w:tc>
        <w:tc>
          <w:tcPr>
            <w:tcW w:type="dxa" w:w="5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Marginal Risk, Risk Contribution, Worst Realization, Leave-One-Out per regime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Stress Testing</w:t>
            </w:r>
          </w:p>
        </w:tc>
        <w:tc>
          <w:tcPr>
            <w:tcW w:type="dxa" w:w="5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Approccio bayesiano/posterior: shock su strumento o fattore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Aggregate Risk — la batteria di modelli VaR</w:t>
      </w:r>
    </w:p>
    <w:p>
      <w:pPr>
        <w:spacing w:after="120" w:line="276"/>
      </w:pPr>
      <w:r>
        <w:t xml:space="preserve">Calcolano il VaR con una decina di modelli e poi scelgono il migliore per backtest: Historical, EVT, Cornish-Fisher, Monte Carlo, Parametric, HFS, Gaussian Copula, T-Stat Copula, </w:t>
      </w:r>
      <w:r>
        <w:rPr>
          <w:b/>
          <w:bCs/>
        </w:rPr>
        <w:t xml:space="preserve">Deep VaR</w:t>
      </w:r>
      <w:r>
        <w:t xml:space="preserve"> e </w:t>
      </w:r>
      <w:r>
        <w:rPr>
          <w:b/>
          <w:bCs/>
        </w:rPr>
        <w:t xml:space="preserve">CNN VaR</w:t>
      </w:r>
      <w:r>
        <w:t xml:space="preserve">. Validazione con Kupiec test (failure rate), Christoffersen Independence e Conditional Coverage, con p-value e uno score model che seleziona il modello.</w:t>
      </w:r>
    </w:p>
    <w:p>
      <w:pPr>
        <w:pStyle w:val="Heading3"/>
      </w:pPr>
      <w:r>
        <w:t xml:space="preserve">Stress Testing — approccio posterior</w:t>
      </w:r>
    </w:p>
    <w:p>
      <w:pPr>
        <w:spacing w:after="120" w:line="276"/>
      </w:pPr>
      <w:r>
        <w:t xml:space="preserve">Si shocca uno strumento o un fattore (es. “−10% sul Financial Confidence Index”, o uno shock sul Treasury) e si calcola l’impatto sulla distribuzione </w:t>
      </w:r>
      <w:r>
        <w:rPr>
          <w:i/>
          <w:iCs/>
        </w:rPr>
        <w:t xml:space="preserve">a posteriori</w:t>
      </w:r>
      <w:r>
        <w:t xml:space="preserve"> di tutti gli altri strumenti — nello stile dell’entropy-pooling di Meucci.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0FA" w:sz="1"/>
              <w:left w:val="single" w:color="2E5496" w:sz="18"/>
              <w:bottom w:val="single" w:color="EAF0FA" w:sz="1"/>
              <w:right w:val="single" w:color="EAF0FA" w:sz="1"/>
            </w:tcBorders>
            <w:shd w:fill="EAF0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Indizio sullo stack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La tassonomia completa di risk measures (StdDev, MAD, Semi-StdDev, FLPM, SLPM, VaR, CVaR, EVaR, Tail Gini, RLVaR + famiglia drawdown: Ulcer, ADD, DaR, CDaR, EDaR, RLDaR, MDD) è esattamente quella di Riskfolio-Lib. È quasi certamente la libreria sotto il cofano del modulo di risk.</w:t>
            </w:r>
          </w:p>
        </w:tc>
      </w:tr>
    </w:tbl>
    <w:p>
      <w:pPr>
        <w:pStyle w:val="Heading1"/>
      </w:pPr>
      <w:r>
        <w:t xml:space="preserve">9.  Come i segnali diventano portafoglio</w:t>
      </w:r>
    </w:p>
    <w:p>
      <w:pPr>
        <w:spacing w:after="120" w:line="276"/>
      </w:pPr>
      <w:r>
        <w:t xml:space="preserve">Il ciclo operativo mensile, mettendo insieme i pezzi: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Inizio mese: </w:t>
      </w:r>
      <w:r>
        <w:t xml:space="preserve">gira il report completo (67 pp). Per ogni strumento produce i 5 segnali + SUMMARY + probabilità.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Security Selection: </w:t>
      </w:r>
      <w:r>
        <w:t xml:space="preserve">nelle asset class in regime bullish si eliminano gli strumenti ad alto rischio; in quelle bearish anche quelli a rischio medio-alto. Si fissano i pesi per asset class secondo i vincoli del profilo.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Ottimizzazione: </w:t>
      </w:r>
      <w:r>
        <w:t xml:space="preserve">girata separatamente dentro ogni asset class sugli strumenti sopravvissuti.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Risk management stratificato: </w:t>
      </w:r>
      <w:r>
        <w:t xml:space="preserve">se coerente → fine; se no → si modifica la selezione e si ripete.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Metà mese: </w:t>
      </w:r>
      <w:r>
        <w:t xml:space="preserve">si rigira tutto per vedere se i segnali sono cambiati.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Settimanale: </w:t>
      </w:r>
      <w:r>
        <w:t xml:space="preserve">si controllano solo regimi e overbought (documento più leggero).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Esempio concreto — giugno 2026 (combacia con la mail di Matteo)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Equity: </w:t>
      </w:r>
      <w:r>
        <w:t xml:space="preserve">regime bullish → esposizione massimizzata (60% nel Bilanciato).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Fixed Income: </w:t>
      </w:r>
      <w:r>
        <w:t xml:space="preserve">a inizio mese bearish, segnali misti. Nel weekly del 22/06 il regime del Treasury 10Y è ribaltato da −1 a +1 il 09/06 (transizione Fear→Regime, MOVE in calo da ~77 a ~65) → da qui il suggerimento di andare tatticamente long sul decennale USA.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Commodities: </w:t>
      </w:r>
      <w:r>
        <w:t xml:space="preserve">bearish, e Gold in overbought critico → solo 5% su Oil.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Dollaro: </w:t>
      </w:r>
      <w:r>
        <w:t xml:space="preserve">bullish → 50% del NAV long USD, niente hedge.</w:t>
      </w:r>
    </w:p>
    <w:p>
      <w:pPr>
        <w:pStyle w:val="Heading1"/>
      </w:pPr>
      <w:r>
        <w:t xml:space="preserve">10.  Il track record (report Interactive Brokers)</w:t>
      </w:r>
    </w:p>
    <w:p>
      <w:pPr>
        <w:spacing w:after="120" w:line="276"/>
      </w:pPr>
      <w:r>
        <w:t xml:space="preserve">Dal PortfolioAnalyst reale (strategia Bilanciato EUR, base EUR):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Periodo / nota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Rendimento cumulato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13.78%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01/10/2025 – 19/06/2026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Sharpe Ratio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1.53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Annualizzato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Max Drawdown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4.53%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Peak-to-valley 13/03 – 21/04/2026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Dev. standard giornaliera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0.60%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Volatilità contenuta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Track record dichiarato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22.72% / 13 mesi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Coerente coi report IB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t xml:space="preserve">Il conto detiene ETF (96.6%) ma anche futures (FDXM, MNQ, ES) e FX forward (EUR/JPY, JPY/EUR) per l’hedging valutario: l’implementazione live è quindi più ricca dei soli ETF presenti nel file Excel di allocazione.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2CC" w:sz="1"/>
              <w:left w:val="single" w:color="BF8F00" w:sz="18"/>
              <w:bottom w:val="single" w:color="FFF2CC" w:sz="1"/>
              <w:right w:val="single" w:color="FFF2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Onestà intellettuale (per la presentazione interna)</w:t>
            </w:r>
          </w:p>
          <w:p>
            <w:pPr>
              <w:spacing w:after="0" w:line="268"/>
            </w:pPr>
            <w:r>
              <w:rPr>
                <w:sz w:val="20"/>
                <w:szCs w:val="20"/>
              </w:rPr>
              <w:t xml:space="preserve">13 mesi di live sono incoraggianti ma corti, e attraversano un periodo di mercati per lo più favorevoli. Il Max Drawdown bassissimo è il dato più interessante (è la promessa del risk management proattivo), ma va stressato su scenari avversi prima di trarne conclusioni.</w:t>
            </w:r>
          </w:p>
        </w:tc>
      </w:tr>
    </w:tbl>
    <w:p>
      <w:pPr>
        <w:pStyle w:val="Heading1"/>
      </w:pPr>
      <w:r>
        <w:t xml:space="preserve">11.  Cosa è replicabile, e quanto</w:t>
      </w:r>
    </w:p>
    <w:p>
      <w:pPr>
        <w:spacing w:after="120" w:line="276"/>
      </w:pPr>
      <w:r>
        <w:t xml:space="preserve">“Capire e adattare” è un obiettivo realistico; “clonare in un secondo” no. Stima componente per componente: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700"/>
        <w:gridCol w:w="4480"/>
      </w:tblGrid>
      <w:tr>
        <w:trPr>
          <w:tblHeader/>
        </w:trPr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Difficoltà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Perché</w:t>
            </w:r>
          </w:p>
        </w:tc>
      </w:tr>
      <w:tr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Risk management stratificato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548235"/>
                <w:sz w:val="19"/>
                <w:szCs w:val="19"/>
              </w:rPr>
              <w:t xml:space="preserve">Bassa–Media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Quasi tutto in Riskfolio-Lib; backtest VaR standard</w:t>
            </w:r>
          </w:p>
        </w:tc>
      </w:tr>
      <w:tr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Portfolio optimization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Media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HRP/HERC/NCO/BL in libreria; OPS in librerie dedicate</w:t>
            </w:r>
          </w:p>
        </w:tc>
      </w:tr>
      <w:tr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management / FinML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Media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Tutto in López de Prado, con codice pubblico</w:t>
            </w:r>
          </w:p>
        </w:tc>
      </w:tr>
      <w:tr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 Forecast (ensemble SVM)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BF8F00"/>
                <w:sz w:val="19"/>
                <w:szCs w:val="19"/>
              </w:rPr>
              <w:t xml:space="preserve">Media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Architettura nota; il valore è nel feature engineering</w:t>
            </w:r>
          </w:p>
        </w:tc>
      </w:tr>
      <w:tr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Alpha Crash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55A11"/>
                <w:sz w:val="19"/>
                <w:szCs w:val="19"/>
              </w:rPr>
              <w:t xml:space="preserve">Media–Alta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Logica descritta ma non i dettagli; da calibrare</w:t>
            </w:r>
          </w:p>
        </w:tc>
      </w:tr>
      <w:tr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Regime Scanner da opzioni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00000"/>
                <w:sz w:val="19"/>
                <w:szCs w:val="19"/>
              </w:rPr>
              <w:t xml:space="preserve">Alta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Il vero know-how proprietario; non in alcuna libreria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In sintesi: </w:t>
      </w:r>
      <w:r>
        <w:t xml:space="preserve">il 70-75% del sistema (risk, ottimizzazione, data pipeline, backtesting) è ricostruibile con strumenti pubblici e buona ingegnerizzazione. Il 25-30% che fa la differenza (regime da opzioni, in parte alpha crash e il tuning dei forecast) è dove si concentrano gli anni di lavoro e dove andrà decisa la strategia: ricerca interna, dato acquistato, o collaborazione/licenza con AlgoEagle.</w:t>
      </w:r>
    </w:p>
    <w:p>
      <w:pPr>
        <w:pStyle w:val="Heading1"/>
      </w:pPr>
      <w:r>
        <w:t xml:space="preserve">12.  Lo stack tecnologico presupposto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Linguaggio: </w:t>
      </w:r>
      <w:r>
        <w:t xml:space="preserve">Python (tutto l’ecosistema FinML lo è).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Librerie probabili: </w:t>
      </w:r>
      <w:r>
        <w:t xml:space="preserve">Riskfolio-Lib (risk + optimization), scikit-learn (SVM ensemble), mlfinlab / codice López de Prado (FinML), librerie di Online Portfolio Selection, PyPortfolioOpt come complemento.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Dati: </w:t>
      </w:r>
      <w:r>
        <w:t xml:space="preserve">prezzi multi-asset + dati opzioni / volatilità implicita (il pezzo costoso e critico) + indici di vol (VIX, MOVE).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Esecuzione / track record: </w:t>
      </w:r>
      <w:r>
        <w:t xml:space="preserve">Interactive Brokers API (già usata per automatizzare).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</w:rPr>
        <w:t xml:space="preserve">Reporting: </w:t>
      </w:r>
      <w:r>
        <w:t xml:space="preserve">LaTeX per i report PDF, Excel per le allocation, PortfolioAnalyst per il track record.</w:t>
      </w:r>
    </w:p>
    <w:p>
      <w:pPr>
        <w:pStyle w:val="Heading1"/>
      </w:pPr>
      <w:r>
        <w:t xml:space="preserve">13.  Conclusione e prossimo passo</w:t>
      </w:r>
    </w:p>
    <w:p>
      <w:pPr>
        <w:spacing w:after="120" w:line="276"/>
      </w:pPr>
      <w:r>
        <w:t xml:space="preserve">Il sistema è </w:t>
      </w:r>
      <w:r>
        <w:rPr>
          <w:b/>
          <w:bCs/>
        </w:rPr>
        <w:t xml:space="preserve">serio, coerente e ben costruito</w:t>
      </w:r>
      <w:r>
        <w:t xml:space="preserve">: i quattro stadi si tengono, il risk management è genuinamente sopra la media di mercato, e il “no black box” è credibile perché ogni modello ha un razionale economico esplicito. Non è marketing.</w:t>
      </w:r>
    </w:p>
    <w:p>
      <w:pPr>
        <w:spacing w:after="120" w:line="276"/>
      </w:pPr>
      <w:r>
        <w:t xml:space="preserve">Per il progetto LFG, la strada sensata non è clonare, ma: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Ricostruire la spina dorsale </w:t>
      </w:r>
      <w:r>
        <w:t xml:space="preserve">(data pipeline + risk stratificato + ottimizzazione multi-modello) con strumenti open source — fattibile e a basso rischio.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Isolare il core proprietario </w:t>
      </w:r>
      <w:r>
        <w:t xml:space="preserve">(regime da opzioni) e decidere consapevolmente: ricerca interna, dato acquistato, o collaborazione con AlgoEagle.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b/>
          <w:bCs/>
        </w:rPr>
        <w:t xml:space="preserve">Adattare </w:t>
      </w:r>
      <w:r>
        <w:t xml:space="preserve">il tutto alle esigenze di un gestore patrimoniale (vincoli, profili cliente, integrazione col processo LFG) — non di un fornitore di segnali.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F0FA" w:sz="1"/>
              <w:left w:val="single" w:color="1F3864" w:sz="18"/>
              <w:bottom w:val="single" w:color="EAF0FA" w:sz="1"/>
              <w:right w:val="single" w:color="EAF0FA" w:sz="1"/>
            </w:tcBorders>
            <w:shd w:fill="EAF0FA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Stato del progetto</w:t>
            </w:r>
          </w:p>
          <w:p>
            <w:pPr>
              <w:spacing w:after="0" w:line="268"/>
            </w:pPr>
            <w:r>
              <w:rPr>
                <w:b/>
                <w:bCs/>
                <w:sz w:val="20"/>
                <w:szCs w:val="20"/>
              </w:rPr>
              <w:t xml:space="preserve">Fase 0 (comprensione) completata: il sistema è stato capito a fondo. </w:t>
            </w:r>
            <w:r>
              <w:rPr>
                <w:sz w:val="20"/>
                <w:szCs w:val="20"/>
              </w:rPr>
              <w:t xml:space="preserve">Passo successivo, quando si vorrà: strutturare il progetto — tradurre questa analisi in una descrizione di progetto, una mappa dei workstream (con priorità e dipendenze) e l’impostazione del lavoro su più chat / repo / Cowork.</w:t>
            </w:r>
          </w:p>
        </w:tc>
      </w:tr>
    </w:tbl>
    <w:p>
      <w:pPr>
        <w:spacing w:after="120"/>
      </w:pPr>
      <w:r>
        <w:t xml:space="preserve"/>
      </w:r>
    </w:p>
    <w:p>
      <w:pPr>
        <w:jc w:val="center"/>
      </w:pPr>
      <w:r>
        <w:rPr>
          <w:color w:val="595959"/>
          <w:sz w:val="18"/>
          <w:szCs w:val="18"/>
        </w:rPr>
        <w:t xml:space="preserve">—  Fine del documento  —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Fase 0 — Comprensione del sistema</w:t>
    </w:r>
    <w:r>
      <w:rPr>
        <w:sz w:val="16"/>
        <w:szCs w:val="16"/>
      </w:rPr>
      <w:t xml:space="preserve">	</w:t>
    </w:r>
    <w:r>
      <w:rPr>
        <w:color w:val="595959"/>
        <w:sz w:val="16"/>
        <w:szCs w:val="16"/>
      </w:rPr>
      <w:t xml:space="preserve">Pag.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tabs>
        <w:tab w:val="right" w:pos="9360"/>
      </w:tabs>
      <w:spacing w:after="0"/>
    </w:pPr>
    <w:r>
      <w:rPr>
        <w:color w:val="595959"/>
        <w:sz w:val="16"/>
        <w:szCs w:val="16"/>
      </w:rPr>
      <w:t xml:space="preserve">Progetto Asset Allocation — Analisi AlgoEagle</w:t>
    </w:r>
    <w:r>
      <w:rPr>
        <w:color w:val="595959"/>
        <w:sz w:val="16"/>
        <w:szCs w:val="16"/>
      </w:rPr>
      <w:t xml:space="preserve">	Uso interno — Confidenziale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color w:val="2E5496"/>
      </w:rPr>
    </w:lvl>
    <w:lvl w:ilvl="1" w15:tentative="1">
      <w:start w:val="1"/>
      <w:numFmt w:val="bullet"/>
      <w:lvlText w:val="–"/>
      <w:lvlJc w:val="left"/>
      <w:pPr>
        <w:ind w:left="1020" w:hanging="260"/>
      </w:pPr>
      <w:rPr>
        <w:color w:val="2E549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Calibri" w:hAnsi="Calibri"/>
      <w:b/>
      <w:bCs/>
      <w:color w:val="1F3864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9E2F3" w:sz="6" w:space="6"/>
      </w:pBdr>
      <w:spacing w:after="140" w:before="3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2a0a81ee9b8ee4324cd0cdc112db73f007a0d4c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 del Sistema AlgoEagle</dc:title>
  <dc:creator>LFG — Asset Allocation Project</dc:creator>
  <cp:lastModifiedBy>Un-named</cp:lastModifiedBy>
  <cp:revision>1</cp:revision>
  <dcterms:created xsi:type="dcterms:W3CDTF">2026-06-28T10:47:59.073Z</dcterms:created>
  <dcterms:modified xsi:type="dcterms:W3CDTF">2026-06-28T10:47:59.073Z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